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79" w:rsidRDefault="00425979" w:rsidP="00425979">
      <w:pPr>
        <w:jc w:val="center"/>
        <w:rPr>
          <w:lang w:val="sr-Latn-RS"/>
        </w:rPr>
      </w:pPr>
      <w:r>
        <w:rPr>
          <w:lang w:val="sr-Latn-RS"/>
        </w:rPr>
        <w:t>UNIVERZITET CRNE GORE – EKONOMSKI FAKULTET</w:t>
      </w:r>
    </w:p>
    <w:p w:rsidR="00425979" w:rsidRDefault="00425979" w:rsidP="00425979">
      <w:pPr>
        <w:jc w:val="center"/>
        <w:rPr>
          <w:lang w:val="sr-Latn-RS"/>
        </w:rPr>
      </w:pPr>
      <w:r>
        <w:rPr>
          <w:lang w:val="sr-Latn-RS"/>
        </w:rPr>
        <w:t>STUDIJE MENADŽMENTA PODGORICA</w:t>
      </w:r>
    </w:p>
    <w:p w:rsidR="00425979" w:rsidRDefault="00425979" w:rsidP="00425979">
      <w:pPr>
        <w:jc w:val="center"/>
        <w:rPr>
          <w:lang w:val="sr-Latn-RS"/>
        </w:rPr>
      </w:pPr>
      <w:r>
        <w:rPr>
          <w:lang w:val="sr-Latn-RS"/>
        </w:rPr>
        <w:t>PRIMIJENJENE</w:t>
      </w:r>
      <w:r>
        <w:rPr>
          <w:lang w:val="sr-Latn-RS"/>
        </w:rPr>
        <w:t xml:space="preserve"> MASTER STUDIJE</w:t>
      </w:r>
    </w:p>
    <w:p w:rsidR="001F65B0" w:rsidRDefault="00425979" w:rsidP="00425979">
      <w:pPr>
        <w:jc w:val="center"/>
        <w:rPr>
          <w:lang w:val="sr-Latn-RS"/>
        </w:rPr>
      </w:pPr>
      <w:r>
        <w:rPr>
          <w:lang w:val="sr-Latn-RS"/>
        </w:rPr>
        <w:t>KORPORATIVNO UPRAVLJANE I KONTROLA</w:t>
      </w:r>
    </w:p>
    <w:p w:rsidR="00425979" w:rsidRDefault="00425979" w:rsidP="00425979">
      <w:pPr>
        <w:jc w:val="center"/>
        <w:rPr>
          <w:lang w:val="sr-Latn-RS"/>
        </w:rPr>
      </w:pPr>
      <w:r>
        <w:rPr>
          <w:lang w:val="sr-Latn-RS"/>
        </w:rPr>
        <w:t xml:space="preserve"> SEMINARSKI RADOVI</w:t>
      </w:r>
    </w:p>
    <w:p w:rsidR="00425979" w:rsidRDefault="00425979" w:rsidP="00425979">
      <w:pPr>
        <w:jc w:val="center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195"/>
        <w:gridCol w:w="1526"/>
        <w:gridCol w:w="2937"/>
      </w:tblGrid>
      <w:tr w:rsidR="007161E6" w:rsidTr="007161E6">
        <w:tc>
          <w:tcPr>
            <w:tcW w:w="918" w:type="dxa"/>
            <w:shd w:val="clear" w:color="auto" w:fill="D9D9D9" w:themeFill="background1" w:themeFillShade="D9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Re. br.</w:t>
            </w:r>
          </w:p>
        </w:tc>
        <w:tc>
          <w:tcPr>
            <w:tcW w:w="4195" w:type="dxa"/>
            <w:shd w:val="clear" w:color="auto" w:fill="D9D9D9" w:themeFill="background1" w:themeFillShade="D9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 i ime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Broj indeksa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Tema</w:t>
            </w: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Mekić Kenan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1/2020</w:t>
            </w:r>
          </w:p>
        </w:tc>
        <w:tc>
          <w:tcPr>
            <w:tcW w:w="2937" w:type="dxa"/>
            <w:vMerge w:val="restart"/>
            <w:vAlign w:val="center"/>
          </w:tcPr>
          <w:p w:rsidR="007161E6" w:rsidRPr="007161E6" w:rsidRDefault="007161E6" w:rsidP="007161E6">
            <w:pPr>
              <w:jc w:val="center"/>
              <w:rPr>
                <w:b/>
                <w:lang w:val="sr-Latn-RS"/>
              </w:rPr>
            </w:pPr>
            <w:r w:rsidRPr="007161E6">
              <w:rPr>
                <w:b/>
                <w:lang w:val="sr-Latn-RS"/>
              </w:rPr>
              <w:t>Odbor direktora kao interni mehanizam kor</w:t>
            </w:r>
            <w:r>
              <w:rPr>
                <w:b/>
                <w:lang w:val="sr-Latn-RS"/>
              </w:rPr>
              <w:t>porativnog upravljanja u Crnoj G</w:t>
            </w:r>
            <w:r w:rsidRPr="007161E6">
              <w:rPr>
                <w:b/>
                <w:lang w:val="sr-Latn-RS"/>
              </w:rPr>
              <w:t>ori</w:t>
            </w: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Perović Vojislav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Maraš Kristina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10/20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Peličić Dejana 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Radulović Jovana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Mijanović Dragana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Hadžajlić Enes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19/2020</w:t>
            </w:r>
          </w:p>
        </w:tc>
        <w:tc>
          <w:tcPr>
            <w:tcW w:w="2937" w:type="dxa"/>
            <w:vMerge w:val="restart"/>
            <w:vAlign w:val="center"/>
          </w:tcPr>
          <w:p w:rsidR="007161E6" w:rsidRPr="007161E6" w:rsidRDefault="007161E6" w:rsidP="007161E6">
            <w:pPr>
              <w:jc w:val="center"/>
              <w:rPr>
                <w:b/>
                <w:lang w:val="sr-Latn-RS"/>
              </w:rPr>
            </w:pPr>
            <w:r w:rsidRPr="007161E6">
              <w:rPr>
                <w:b/>
                <w:lang w:val="sr-Latn-RS"/>
              </w:rPr>
              <w:t>Interna revizija i interna kontrola u Crnoj Gori</w:t>
            </w: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Banović Marina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Ćupić Marica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31/2020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Boljević Miroslav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39/2020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  <w:tr w:rsidR="007161E6" w:rsidTr="007161E6">
        <w:tc>
          <w:tcPr>
            <w:tcW w:w="918" w:type="dxa"/>
            <w:vAlign w:val="center"/>
          </w:tcPr>
          <w:p w:rsidR="007161E6" w:rsidRDefault="007161E6" w:rsidP="007161E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4195" w:type="dxa"/>
          </w:tcPr>
          <w:p w:rsidR="007161E6" w:rsidRDefault="007161E6" w:rsidP="00425979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Vučinić Nikola</w:t>
            </w:r>
          </w:p>
        </w:tc>
        <w:tc>
          <w:tcPr>
            <w:tcW w:w="1526" w:type="dxa"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46/2020</w:t>
            </w:r>
          </w:p>
        </w:tc>
        <w:tc>
          <w:tcPr>
            <w:tcW w:w="2937" w:type="dxa"/>
            <w:vMerge/>
          </w:tcPr>
          <w:p w:rsidR="007161E6" w:rsidRDefault="007161E6" w:rsidP="00425979">
            <w:pPr>
              <w:jc w:val="center"/>
              <w:rPr>
                <w:lang w:val="sr-Latn-RS"/>
              </w:rPr>
            </w:pPr>
          </w:p>
        </w:tc>
      </w:tr>
    </w:tbl>
    <w:p w:rsidR="00425979" w:rsidRPr="00425979" w:rsidRDefault="00425979" w:rsidP="00425979">
      <w:pPr>
        <w:jc w:val="center"/>
        <w:rPr>
          <w:lang w:val="sr-Latn-RS"/>
        </w:rPr>
      </w:pPr>
      <w:bookmarkStart w:id="0" w:name="_GoBack"/>
      <w:bookmarkEnd w:id="0"/>
    </w:p>
    <w:sectPr w:rsidR="00425979" w:rsidRPr="0042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58"/>
    <w:rsid w:val="001F65B0"/>
    <w:rsid w:val="00425979"/>
    <w:rsid w:val="007161E6"/>
    <w:rsid w:val="00A4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2</cp:revision>
  <dcterms:created xsi:type="dcterms:W3CDTF">2020-12-14T11:46:00Z</dcterms:created>
  <dcterms:modified xsi:type="dcterms:W3CDTF">2020-12-14T12:00:00Z</dcterms:modified>
</cp:coreProperties>
</file>