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40AE221B" w:rsidR="0019063C" w:rsidRPr="004C1B0F" w:rsidRDefault="00D87A2C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MENA</w:t>
            </w:r>
            <w:r w:rsidR="007264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DŽMENT U RAČUNOVODSTVU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3599B64A" w:rsidR="00A77F09" w:rsidRPr="004C1B0F" w:rsidRDefault="00D9671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3680E16B" w:rsidR="00A77F09" w:rsidRPr="004C1B0F" w:rsidRDefault="006D6F8E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4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6670C9C4" w:rsidR="00A77F09" w:rsidRPr="004C1B0F" w:rsidRDefault="00A77F09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D96719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-master</w:t>
            </w:r>
            <w:r w:rsidR="00990F35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studije</w:t>
            </w:r>
            <w:bookmarkStart w:id="0" w:name="_GoBack"/>
            <w:bookmarkEnd w:id="0"/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219FC279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7264AC">
              <w:rPr>
                <w:rFonts w:ascii="Arial" w:hAnsi="Arial" w:cs="Arial"/>
                <w:sz w:val="18"/>
                <w:szCs w:val="20"/>
              </w:rPr>
              <w:t xml:space="preserve">informacione potpore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upravljačkog računovodstva; </w:t>
            </w:r>
          </w:p>
          <w:p w14:paraId="7BED7437" w14:textId="5444B670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osposobi studente da razumije specifičnost sistema izvještavanja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>i samih informacija upravljačkog računovodstva koje su potrebne savremenom menadžmentu</w:t>
            </w:r>
            <w:r w:rsidR="007264AC">
              <w:rPr>
                <w:rFonts w:ascii="Arial" w:hAnsi="Arial" w:cs="Arial"/>
                <w:sz w:val="18"/>
                <w:szCs w:val="20"/>
              </w:rPr>
              <w:t xml:space="preserve"> koji se nalazi na različitim hijerarhijskim nivoima u preduzeću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 xml:space="preserve">; </w:t>
            </w:r>
          </w:p>
          <w:p w14:paraId="5F90687A" w14:textId="3B7E6A54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7264AC">
              <w:rPr>
                <w:rFonts w:ascii="Arial" w:hAnsi="Arial" w:cs="Arial"/>
                <w:sz w:val="18"/>
                <w:szCs w:val="20"/>
              </w:rPr>
              <w:t xml:space="preserve">upotrebe metoda i tehnika, kako kvantitativnih tako i kvalitativnih (KPI)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upravljačkog računovodstva,  kako bi bili u mogućnosti da menadžmentu kroz sistem izveštavanja pruže informacije koje su potrebne za </w:t>
            </w:r>
            <w:r w:rsidR="00580F6B" w:rsidRPr="004C1B0F">
              <w:rPr>
                <w:rFonts w:ascii="Arial" w:hAnsi="Arial" w:cs="Arial"/>
                <w:sz w:val="18"/>
                <w:szCs w:val="20"/>
              </w:rPr>
              <w:t>uspstavljanje i sprovođenje vizije, misije i strategije kompanije;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4204EBF5" w14:textId="303B87CA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omogući lični rast osposobljavanjem stud</w:t>
            </w:r>
            <w:r w:rsidR="007264AC">
              <w:rPr>
                <w:rFonts w:ascii="Arial" w:hAnsi="Arial" w:cs="Arial"/>
                <w:sz w:val="18"/>
                <w:szCs w:val="20"/>
              </w:rPr>
              <w:t>enata kompetencijama iz oblasti</w:t>
            </w:r>
            <w:r w:rsidRPr="004C1B0F">
              <w:rPr>
                <w:rFonts w:ascii="Arial" w:hAnsi="Arial" w:cs="Arial"/>
                <w:sz w:val="18"/>
                <w:szCs w:val="20"/>
              </w:rPr>
              <w:t>upravljačkog računovodsta koje im kasnije predstavljaju osnovu za sticanje daljih kompetencija i znanja kroz program cjeloživotnog učenja;</w:t>
            </w:r>
          </w:p>
          <w:p w14:paraId="656D25AC" w14:textId="76D519A9" w:rsidR="0019063C" w:rsidRPr="004C1B0F" w:rsidRDefault="0019063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da prati, prepoznaje, učestvuje u diskusiji o problemima koji su u domenu upravljačkog računovodstva i da bude relevantna informaciona podrška budućem menadžment timu.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7F09" w:rsidRPr="004C1B0F" w14:paraId="4B93E6CE" w14:textId="77777777" w:rsidTr="00DC3F78">
        <w:trPr>
          <w:cantSplit/>
          <w:trHeight w:val="221"/>
        </w:trPr>
        <w:tc>
          <w:tcPr>
            <w:tcW w:w="1315" w:type="pct"/>
          </w:tcPr>
          <w:p w14:paraId="1C75D1D2" w14:textId="28A6DBA6" w:rsidR="00A77F09" w:rsidRPr="004C1B0F" w:rsidRDefault="00990F35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FF19F6" w14:textId="768C32F4" w:rsidR="00A77F09" w:rsidRPr="007D6F57" w:rsidRDefault="007264AC" w:rsidP="007D6F57">
            <w:pPr>
              <w:autoSpaceDE w:val="0"/>
              <w:autoSpaceDN w:val="0"/>
              <w:adjustRightInd w:val="0"/>
              <w:jc w:val="both"/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</w:pPr>
            <w:r w:rsidRPr="007D6F57"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  <w:t>RA</w:t>
            </w:r>
            <w:r w:rsidRPr="007D6F57">
              <w:rPr>
                <w:rFonts w:ascii="Cambria" w:hAnsi="Cambria" w:cs="TTE1B621E0t00"/>
                <w:b/>
                <w:sz w:val="16"/>
                <w:szCs w:val="16"/>
                <w:lang w:val="sr-Latn-ME" w:eastAsia="sr-Latn-ME"/>
              </w:rPr>
              <w:t>C</w:t>
            </w:r>
            <w:r w:rsidRPr="007D6F57"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  <w:t>UNOVODSTVO PREDUZE</w:t>
            </w:r>
            <w:r w:rsidRPr="007D6F57">
              <w:rPr>
                <w:rFonts w:ascii="Cambria" w:hAnsi="Cambria" w:cs="TTE1B621E0t00"/>
                <w:b/>
                <w:sz w:val="16"/>
                <w:szCs w:val="16"/>
                <w:lang w:val="sr-Latn-ME" w:eastAsia="sr-Latn-ME"/>
              </w:rPr>
              <w:t>Ć</w:t>
            </w:r>
            <w:r w:rsidRPr="007D6F57">
              <w:rPr>
                <w:rFonts w:ascii="Cambria" w:hAnsi="Cambria" w:cs="Helvetica-Bold"/>
                <w:b/>
                <w:bCs/>
                <w:sz w:val="16"/>
                <w:szCs w:val="16"/>
                <w:lang w:val="sr-Latn-ME" w:eastAsia="sr-Latn-ME"/>
              </w:rPr>
              <w:t>A, SUŠTINA, STRUKTURA, FUNKCIJE I SAVREMENI PRISTUP</w:t>
            </w:r>
          </w:p>
        </w:tc>
      </w:tr>
      <w:tr w:rsidR="00A77F09" w:rsidRPr="004C1B0F" w14:paraId="02A8AC67" w14:textId="77777777" w:rsidTr="00DC3F78">
        <w:trPr>
          <w:cantSplit/>
          <w:trHeight w:val="220"/>
        </w:trPr>
        <w:tc>
          <w:tcPr>
            <w:tcW w:w="1315" w:type="pct"/>
          </w:tcPr>
          <w:p w14:paraId="040A512B" w14:textId="0EBDFD04" w:rsidR="00A77F09" w:rsidRPr="004C1B0F" w:rsidRDefault="00990F35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89A6B" w14:textId="51FDD8BD" w:rsidR="00A77F09" w:rsidRPr="007D6F57" w:rsidRDefault="00D96719" w:rsidP="00D9671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REPOZICIONIRANJE UPRAVLJAČKOG RAČUNOVODSTVA U SAVREMENIM USLOVIMA POSLOVANJA </w:t>
            </w:r>
          </w:p>
        </w:tc>
      </w:tr>
      <w:tr w:rsidR="00A77F09" w:rsidRPr="004C1B0F" w14:paraId="35491D12" w14:textId="77777777" w:rsidTr="00DC3F78">
        <w:trPr>
          <w:cantSplit/>
          <w:trHeight w:val="221"/>
        </w:trPr>
        <w:tc>
          <w:tcPr>
            <w:tcW w:w="1315" w:type="pct"/>
          </w:tcPr>
          <w:p w14:paraId="1BEAA15E" w14:textId="042A6727" w:rsidR="00A77F09" w:rsidRPr="004C1B0F" w:rsidRDefault="00990F35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3D649A" w14:textId="7B8BB991" w:rsidR="00A77F09" w:rsidRPr="007D6F57" w:rsidRDefault="007264AC" w:rsidP="00D96719">
            <w:pPr>
              <w:pStyle w:val="BodyText3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KVANTITATIVNE KARAKTERISTIKE INFORMACIJA UPRAVLJAČKOG RAČUNOVODSTVA-POJAM I ZNAČAJ</w:t>
            </w:r>
          </w:p>
        </w:tc>
      </w:tr>
      <w:tr w:rsidR="00A77F09" w:rsidRPr="004C1B0F" w14:paraId="709A092B" w14:textId="77777777" w:rsidTr="00DC3F78">
        <w:trPr>
          <w:cantSplit/>
          <w:trHeight w:val="221"/>
        </w:trPr>
        <w:tc>
          <w:tcPr>
            <w:tcW w:w="1315" w:type="pct"/>
          </w:tcPr>
          <w:p w14:paraId="50ED0D0F" w14:textId="1C477BB9" w:rsidR="00A77F09" w:rsidRPr="004C1B0F" w:rsidRDefault="00990F35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1AEA44" w14:textId="075B2249" w:rsidR="00A77F09" w:rsidRPr="007D6F57" w:rsidRDefault="007264AC" w:rsidP="00D96719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POTREBA ZASPRECIFIČNIM  INFORMACIJAMA UPRAVLJAČKOG RAČUNOVODSTVA ZAVISNO OD NIVOA MENADŽMENTA</w:t>
            </w:r>
          </w:p>
        </w:tc>
      </w:tr>
      <w:tr w:rsidR="00AE2DF6" w:rsidRPr="004C1B0F" w14:paraId="2925D910" w14:textId="77777777" w:rsidTr="00DC3F78">
        <w:trPr>
          <w:cantSplit/>
          <w:trHeight w:val="220"/>
        </w:trPr>
        <w:tc>
          <w:tcPr>
            <w:tcW w:w="1315" w:type="pct"/>
          </w:tcPr>
          <w:p w14:paraId="605EA7FC" w14:textId="37F51870" w:rsidR="00AE2DF6" w:rsidRPr="004C1B0F" w:rsidRDefault="00990F35" w:rsidP="00AE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5F6802" w14:textId="60E259F9" w:rsidR="00AE2DF6" w:rsidRPr="007D6F57" w:rsidRDefault="007264AC" w:rsidP="00D96719">
            <w:pPr>
              <w:pStyle w:val="BodyText3"/>
              <w:rPr>
                <w:rFonts w:ascii="Cambria" w:hAnsi="Cambria" w:cs="Arial"/>
                <w:sz w:val="16"/>
                <w:szCs w:val="16"/>
                <w:lang w:val="en-US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UPRAVLJAČKI RAČUNOVOĐA-NEKADA I SADA</w:t>
            </w:r>
            <w:r w:rsidR="00D96719" w:rsidRPr="007D6F57">
              <w:rPr>
                <w:rFonts w:ascii="Cambria" w:hAnsi="Cambria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264AC" w:rsidRPr="004C1B0F" w14:paraId="0141423E" w14:textId="77777777" w:rsidTr="00DC3F78">
        <w:trPr>
          <w:cantSplit/>
          <w:trHeight w:val="221"/>
        </w:trPr>
        <w:tc>
          <w:tcPr>
            <w:tcW w:w="1315" w:type="pct"/>
          </w:tcPr>
          <w:p w14:paraId="2C050777" w14:textId="2221E0DC" w:rsidR="007264AC" w:rsidRPr="004C1B0F" w:rsidRDefault="00990F35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FC331A" w14:textId="0EFA2BA8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TOP MENADŽMENT-CASE STUDY</w:t>
            </w:r>
          </w:p>
        </w:tc>
      </w:tr>
      <w:tr w:rsidR="007264AC" w:rsidRPr="004C1B0F" w14:paraId="036EC38B" w14:textId="77777777" w:rsidTr="00DC3F78">
        <w:trPr>
          <w:cantSplit/>
          <w:trHeight w:val="221"/>
        </w:trPr>
        <w:tc>
          <w:tcPr>
            <w:tcW w:w="1315" w:type="pct"/>
          </w:tcPr>
          <w:p w14:paraId="3F96F72D" w14:textId="330DC2B5" w:rsidR="007264AC" w:rsidRPr="004C1B0F" w:rsidRDefault="00990F35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6B93114E" w:rsidR="007264AC" w:rsidRPr="007D6F57" w:rsidRDefault="007264AC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KREIRANJE IZVJEŠTAJA UPRAVLJAČKOG RAČUNOVODSTVA: TAKTIČKI I OPERATIVNI MENADŽMENT-CASE STUDY</w:t>
            </w:r>
          </w:p>
        </w:tc>
      </w:tr>
      <w:tr w:rsidR="00990F35" w:rsidRPr="004C1B0F" w14:paraId="06769C10" w14:textId="77777777" w:rsidTr="00990F35">
        <w:trPr>
          <w:cantSplit/>
          <w:trHeight w:val="220"/>
        </w:trPr>
        <w:tc>
          <w:tcPr>
            <w:tcW w:w="1315" w:type="pct"/>
            <w:shd w:val="clear" w:color="auto" w:fill="FFFFFF" w:themeFill="background1"/>
          </w:tcPr>
          <w:p w14:paraId="4B506D95" w14:textId="62E2E8AF" w:rsidR="00990F35" w:rsidRPr="004C1B0F" w:rsidRDefault="00990F35" w:rsidP="00990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88CEE9" w14:textId="22815DF4" w:rsidR="00990F35" w:rsidRPr="007D6F57" w:rsidRDefault="00990F35" w:rsidP="00990F3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KOMPANIJE-POJAM I KARAKTERISTIKE</w:t>
            </w:r>
          </w:p>
        </w:tc>
      </w:tr>
      <w:tr w:rsidR="00990F35" w:rsidRPr="004C1B0F" w14:paraId="08A5B449" w14:textId="77777777" w:rsidTr="00990F35">
        <w:trPr>
          <w:cantSplit/>
          <w:trHeight w:val="221"/>
        </w:trPr>
        <w:tc>
          <w:tcPr>
            <w:tcW w:w="1315" w:type="pct"/>
            <w:shd w:val="clear" w:color="auto" w:fill="FFFFFF" w:themeFill="background1"/>
          </w:tcPr>
          <w:p w14:paraId="0F4DB602" w14:textId="083FEFC9" w:rsidR="00990F35" w:rsidRPr="004C1B0F" w:rsidRDefault="00990F35" w:rsidP="00990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C13F0" w14:textId="57FE0E3D" w:rsidR="00990F35" w:rsidRPr="007D6F57" w:rsidRDefault="00990F35" w:rsidP="00990F3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IZVJEŠTAVANJE O PERFORMANSAMA KOMPANIJE-CASE STUDY</w:t>
            </w:r>
          </w:p>
        </w:tc>
      </w:tr>
      <w:tr w:rsidR="00990F35" w:rsidRPr="004C1B0F" w14:paraId="560CA199" w14:textId="77777777" w:rsidTr="00DC3F78">
        <w:trPr>
          <w:cantSplit/>
          <w:trHeight w:val="220"/>
        </w:trPr>
        <w:tc>
          <w:tcPr>
            <w:tcW w:w="1315" w:type="pct"/>
          </w:tcPr>
          <w:p w14:paraId="5801FCAE" w14:textId="52C7D316" w:rsidR="00990F35" w:rsidRPr="004C1B0F" w:rsidRDefault="00990F35" w:rsidP="00990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4786D6" w14:textId="517E33CA" w:rsidR="00990F35" w:rsidRPr="007D6F57" w:rsidRDefault="00990F35" w:rsidP="00990F3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BALANSE SCORECARD-ULOGA I ZNAČAJ</w:t>
            </w:r>
          </w:p>
        </w:tc>
      </w:tr>
      <w:tr w:rsidR="00990F35" w:rsidRPr="004C1B0F" w14:paraId="4F1D2935" w14:textId="77777777" w:rsidTr="00DC3F78">
        <w:trPr>
          <w:cantSplit/>
          <w:trHeight w:val="221"/>
        </w:trPr>
        <w:tc>
          <w:tcPr>
            <w:tcW w:w="1315" w:type="pct"/>
          </w:tcPr>
          <w:p w14:paraId="3DA04CF7" w14:textId="476AA21A" w:rsidR="00990F35" w:rsidRPr="004C1B0F" w:rsidRDefault="00990F35" w:rsidP="00990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B5662A" w14:textId="1430B4BA" w:rsidR="00990F35" w:rsidRPr="007D6F57" w:rsidRDefault="00990F35" w:rsidP="00990F3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7D6F57">
              <w:rPr>
                <w:rFonts w:ascii="Cambria" w:hAnsi="Cambria" w:cs="Arial"/>
                <w:b/>
                <w:bCs/>
                <w:sz w:val="16"/>
                <w:szCs w:val="16"/>
              </w:rPr>
              <w:t>INTEGRISANO FINANISJSKO IZVJEŠTAVANJE-potreba menadžmenta danas</w:t>
            </w:r>
          </w:p>
        </w:tc>
      </w:tr>
      <w:tr w:rsidR="00990F35" w:rsidRPr="00990F35" w14:paraId="47EC6853" w14:textId="77777777" w:rsidTr="00990F35">
        <w:trPr>
          <w:cantSplit/>
          <w:trHeight w:val="221"/>
        </w:trPr>
        <w:tc>
          <w:tcPr>
            <w:tcW w:w="1315" w:type="pct"/>
            <w:shd w:val="clear" w:color="auto" w:fill="C6D9F1" w:themeFill="text2" w:themeFillTint="33"/>
          </w:tcPr>
          <w:p w14:paraId="2CC2A8D4" w14:textId="19C5B592" w:rsidR="00990F35" w:rsidRPr="00990F35" w:rsidRDefault="00990F35" w:rsidP="00990F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0F35">
              <w:rPr>
                <w:rFonts w:ascii="Arial" w:eastAsia="Times New Roman" w:hAnsi="Arial" w:cs="Arial"/>
                <w:b/>
                <w:sz w:val="20"/>
                <w:szCs w:val="20"/>
              </w:rPr>
              <w:t>07.05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2D386EF" w14:textId="3573CD80" w:rsidR="00990F35" w:rsidRPr="00990F35" w:rsidRDefault="00990F35" w:rsidP="00990F35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990F35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Kolokvijum </w:t>
            </w:r>
          </w:p>
        </w:tc>
      </w:tr>
      <w:tr w:rsidR="00990F35" w:rsidRPr="00990F35" w14:paraId="207B414D" w14:textId="77777777" w:rsidTr="00990F35">
        <w:trPr>
          <w:cantSplit/>
          <w:trHeight w:val="220"/>
        </w:trPr>
        <w:tc>
          <w:tcPr>
            <w:tcW w:w="1315" w:type="pct"/>
            <w:shd w:val="clear" w:color="auto" w:fill="C6D9F1" w:themeFill="text2" w:themeFillTint="33"/>
          </w:tcPr>
          <w:p w14:paraId="536B0866" w14:textId="56DAB6BE" w:rsidR="00990F35" w:rsidRPr="00990F35" w:rsidRDefault="00990F35" w:rsidP="00990F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0F35">
              <w:rPr>
                <w:rFonts w:ascii="Arial" w:eastAsia="Times New Roman" w:hAnsi="Arial" w:cs="Arial"/>
                <w:b/>
                <w:sz w:val="20"/>
                <w:szCs w:val="20"/>
              </w:rPr>
              <w:t>14.05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C2E1F80" w14:textId="2145ABDD" w:rsidR="00990F35" w:rsidRPr="00990F35" w:rsidRDefault="00990F35" w:rsidP="00990F35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990F35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Popravni kolokvijum </w:t>
            </w:r>
          </w:p>
        </w:tc>
      </w:tr>
      <w:tr w:rsidR="007264AC" w:rsidRPr="004C1B0F" w14:paraId="3E34B121" w14:textId="77777777" w:rsidTr="00990F35">
        <w:trPr>
          <w:cantSplit/>
          <w:trHeight w:val="221"/>
        </w:trPr>
        <w:tc>
          <w:tcPr>
            <w:tcW w:w="1315" w:type="pct"/>
            <w:shd w:val="clear" w:color="auto" w:fill="FFFFFF" w:themeFill="background1"/>
          </w:tcPr>
          <w:p w14:paraId="3384EB9C" w14:textId="6FA9CDC3" w:rsidR="007264AC" w:rsidRPr="004C1B0F" w:rsidRDefault="00990F35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4F81D6" w14:textId="03DE00F0" w:rsidR="007264AC" w:rsidRPr="007D6F57" w:rsidRDefault="00990F35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u w:val="single"/>
              </w:rPr>
              <w:t>Savremene tendencije menadžment računovodstva</w:t>
            </w:r>
          </w:p>
        </w:tc>
      </w:tr>
      <w:tr w:rsidR="007264AC" w:rsidRPr="004C1B0F" w14:paraId="106A7F0C" w14:textId="77777777" w:rsidTr="00990F35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7C1649" w14:textId="387DADA4" w:rsidR="007264AC" w:rsidRPr="004C1B0F" w:rsidRDefault="00990F35" w:rsidP="00726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6F9315" w14:textId="3DE0DC9B" w:rsidR="007264AC" w:rsidRPr="007D6F57" w:rsidRDefault="00990F35" w:rsidP="007264A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u w:val="single"/>
              </w:rPr>
              <w:t>Priprema za završni ispit</w:t>
            </w:r>
          </w:p>
        </w:tc>
      </w:tr>
      <w:tr w:rsidR="007264AC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7264AC" w:rsidRPr="004C1B0F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7264AC" w:rsidRPr="004C1B0F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51D00646" w14:textId="77777777" w:rsidR="007264AC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  <w:p w14:paraId="6098B0D8" w14:textId="348D8798" w:rsidR="007264AC" w:rsidRPr="004C1B0F" w:rsidRDefault="007264AC" w:rsidP="007264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power point</w:t>
            </w:r>
          </w:p>
        </w:tc>
      </w:tr>
      <w:tr w:rsidR="007264AC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7264AC" w:rsidRPr="004C1B0F" w:rsidRDefault="007264AC" w:rsidP="00726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7264AC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lastRenderedPageBreak/>
              <w:t>Nedjeljno</w:t>
            </w:r>
          </w:p>
          <w:p w14:paraId="55C2C19D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7264AC" w:rsidRPr="004C1B0F" w:rsidRDefault="007264AC" w:rsidP="007264AC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7264AC" w:rsidRPr="004C1B0F" w:rsidRDefault="007264AC" w:rsidP="00726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7264AC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3581581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7264AC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77777777" w:rsidR="007264AC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7D9AE6CD" w14:textId="77777777" w:rsidR="007264AC" w:rsidRDefault="007264AC" w:rsidP="007264A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Lalević Filipović, A., Vukčević, M.,</w:t>
            </w:r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Osnove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upravljačkog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računovodstva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Univerzitet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 xml:space="preserve"> Crne Gore, Podgorica, </w:t>
            </w:r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2022 </w:t>
            </w:r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 xml:space="preserve">(u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>procesu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>publikovanja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6"/>
                <w:szCs w:val="18"/>
              </w:rPr>
              <w:t>)</w:t>
            </w:r>
          </w:p>
          <w:p w14:paraId="70954411" w14:textId="39859A71" w:rsidR="007264AC" w:rsidRPr="006D6F8E" w:rsidRDefault="007264AC" w:rsidP="007264A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Gajić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, P.,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Upravljačko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 xml:space="preserve"> računovodstvo</w:t>
            </w:r>
            <w:r>
              <w:rPr>
                <w:rFonts w:ascii="Arial" w:eastAsiaTheme="minorHAnsi" w:hAnsi="Arial" w:cs="Arial"/>
                <w:bCs/>
                <w:iCs/>
                <w:sz w:val="18"/>
                <w:szCs w:val="18"/>
              </w:rPr>
              <w:t>, Ekonomski fakultet u Banja Luci, Banja Luka, 2017</w:t>
            </w:r>
          </w:p>
        </w:tc>
      </w:tr>
      <w:tr w:rsidR="007264AC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7264AC" w:rsidRPr="004C1B0F" w:rsidRDefault="007264AC" w:rsidP="007264AC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349795BB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definiše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pojam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suštinu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savremenih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tendencija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razvoja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bitno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menedžment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preduzeća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907BA8" w14:textId="6A4960C5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objasni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ulogu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posebno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KPI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menadžment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preduzeća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D343175" w14:textId="1C1257AF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koristi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aktivno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učestvujete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kreiranju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izvještaja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nalaze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različitim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hijerarhijskim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nivoima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665A33E9" w14:textId="06BAA08E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specifičnost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informacija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upravljačko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računovodstvo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nudi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menadžerima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bi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osnovu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toga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donosili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odluke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866CC1" w14:textId="0C762693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sposobnost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kontruktivnog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uvida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logičkog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strateško-računovodstvenog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razmišljanja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isto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praksi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8049D" w14:textId="79C44238" w:rsidR="007264AC" w:rsidRPr="004C1B0F" w:rsidRDefault="007264AC" w:rsidP="007264A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računovodstvena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postojeće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novoosnovana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privredna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društva</w:t>
            </w:r>
            <w:proofErr w:type="spellEnd"/>
            <w:r w:rsidRPr="004C1B0F">
              <w:rPr>
                <w:rFonts w:ascii="Arial" w:hAnsi="Arial" w:cs="Arial"/>
              </w:rPr>
              <w:t>;</w:t>
            </w:r>
          </w:p>
        </w:tc>
      </w:tr>
      <w:tr w:rsidR="007264AC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02571DF6" w14:textId="052ED878" w:rsidR="007264AC" w:rsidRPr="004C1B0F" w:rsidRDefault="00B549E6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K</w:t>
            </w:r>
            <w:r w:rsidR="007264AC" w:rsidRPr="004C1B0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lokvijuma sa po maksimum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</w:t>
            </w:r>
            <w:r w:rsidR="007D6F57" w:rsidRPr="007D6F5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</w:t>
            </w:r>
            <w:r w:rsidR="007264AC" w:rsidRPr="007D6F5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poena</w:t>
            </w:r>
            <w:r w:rsidR="007264AC" w:rsidRPr="004C1B0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</w:t>
            </w:r>
            <w:r w:rsidR="007264AC"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18"/>
              </w:rPr>
              <w:t xml:space="preserve">Test se sastoji od </w:t>
            </w:r>
            <w:r w:rsidR="007D6F57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18"/>
              </w:rPr>
              <w:t>problem zadataka</w:t>
            </w:r>
            <w:r w:rsidR="007264AC"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18"/>
              </w:rPr>
              <w:t>.)</w:t>
            </w:r>
          </w:p>
          <w:p w14:paraId="12F10099" w14:textId="63857A1B" w:rsidR="00B549E6" w:rsidRPr="004C1B0F" w:rsidRDefault="00B549E6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Završni  </w:t>
            </w:r>
            <w:r w:rsidR="00990F35" w:rsidRPr="00990F3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35</w:t>
            </w:r>
            <w:r w:rsidRPr="00990F3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poena</w:t>
            </w:r>
            <w:r w:rsidR="00990F35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(Teorijski dio-</w:t>
            </w:r>
            <w:r w:rsidR="00990F35"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</w:rPr>
              <w:t xml:space="preserve">Za student koji žele ocjene C, D ili E u pitanju je pismeni test iz </w:t>
            </w:r>
            <w:r w:rsidR="00990F35"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  <w:u w:val="single"/>
              </w:rPr>
              <w:t>cjelopunog teorijskog gradiva</w:t>
            </w:r>
            <w:r w:rsidR="00990F35"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</w:rPr>
              <w:t xml:space="preserve">. Za student koji žele ocjenu A ili B u pitanju je usmeni ispit iz </w:t>
            </w:r>
            <w:r w:rsidR="00990F35" w:rsidRPr="004C1B0F">
              <w:rPr>
                <w:rFonts w:ascii="Arial" w:hAnsi="Arial" w:cs="Arial"/>
                <w:bCs/>
                <w:i/>
                <w:color w:val="000000"/>
                <w:kern w:val="24"/>
                <w:sz w:val="18"/>
                <w:szCs w:val="20"/>
                <w:u w:val="single"/>
              </w:rPr>
              <w:t>cjelokupnog teorijskog gradiva)</w:t>
            </w:r>
            <w:r w:rsidR="00990F35"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>.</w:t>
            </w:r>
          </w:p>
          <w:p w14:paraId="227F9815" w14:textId="5F623759" w:rsidR="007264AC" w:rsidRPr="004C1B0F" w:rsidRDefault="007264AC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Aktivnosti na časovima predavanja i vježbi se boduju sa max 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5</w:t>
            </w:r>
            <w:r w:rsidR="007D6F57"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poena</w:t>
            </w: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>.</w:t>
            </w:r>
          </w:p>
          <w:p w14:paraId="13FA2D6E" w14:textId="0B70C568" w:rsidR="007264AC" w:rsidRPr="004C1B0F" w:rsidRDefault="007264AC" w:rsidP="007264A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4C1B0F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Seminarski rad – pisani dio i prezentacije se boduje sa max </w:t>
            </w:r>
            <w:r w:rsidR="00B549E6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30</w:t>
            </w:r>
            <w:r w:rsidRPr="007D6F57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poena.</w:t>
            </w:r>
          </w:p>
          <w:p w14:paraId="07EF1412" w14:textId="77777777" w:rsidR="007264AC" w:rsidRPr="004C1B0F" w:rsidRDefault="007264AC" w:rsidP="007264A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3F6C64A" w14:textId="7179107D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20"/>
                <w:szCs w:val="20"/>
              </w:rPr>
              <w:t xml:space="preserve">Napomena: </w:t>
            </w:r>
            <w:r w:rsidRPr="004C1B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Poeni se kumulativno sakupljaju. Ne postoji uslovljenost na testovima. </w:t>
            </w:r>
            <w:r w:rsidRPr="004C1B0F">
              <w:rPr>
                <w:rFonts w:ascii="Arial" w:hAnsi="Arial" w:cs="Arial"/>
                <w:bCs/>
                <w:sz w:val="20"/>
                <w:szCs w:val="20"/>
              </w:rPr>
              <w:t>Prelazna ocjena se dobija sa ukupno 50 poen</w:t>
            </w:r>
          </w:p>
        </w:tc>
      </w:tr>
      <w:tr w:rsidR="007264AC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7264AC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43C88D10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</w:p>
        </w:tc>
      </w:tr>
      <w:tr w:rsidR="007264AC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7264AC" w:rsidRPr="004C1B0F" w:rsidRDefault="007264AC" w:rsidP="007264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2D7E" w14:textId="77777777" w:rsidR="00192854" w:rsidRDefault="00192854" w:rsidP="00A616E4">
      <w:pPr>
        <w:spacing w:after="0" w:line="240" w:lineRule="auto"/>
      </w:pPr>
      <w:r>
        <w:separator/>
      </w:r>
    </w:p>
  </w:endnote>
  <w:endnote w:type="continuationSeparator" w:id="0">
    <w:p w14:paraId="1434CA3C" w14:textId="77777777" w:rsidR="00192854" w:rsidRDefault="00192854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621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74ADF" w14:textId="77777777" w:rsidR="00192854" w:rsidRDefault="00192854" w:rsidP="00A616E4">
      <w:pPr>
        <w:spacing w:after="0" w:line="240" w:lineRule="auto"/>
      </w:pPr>
      <w:r>
        <w:separator/>
      </w:r>
    </w:p>
  </w:footnote>
  <w:footnote w:type="continuationSeparator" w:id="0">
    <w:p w14:paraId="5D4FB6B1" w14:textId="77777777" w:rsidR="00192854" w:rsidRDefault="00192854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9063C"/>
    <w:rsid w:val="00192854"/>
    <w:rsid w:val="001C4C2D"/>
    <w:rsid w:val="001C5E0D"/>
    <w:rsid w:val="001D770A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D09C3"/>
    <w:rsid w:val="002E0461"/>
    <w:rsid w:val="002F3CF2"/>
    <w:rsid w:val="00302F34"/>
    <w:rsid w:val="00311E6B"/>
    <w:rsid w:val="00317D87"/>
    <w:rsid w:val="00322E18"/>
    <w:rsid w:val="00327E62"/>
    <w:rsid w:val="00376796"/>
    <w:rsid w:val="00395CCA"/>
    <w:rsid w:val="003A03AF"/>
    <w:rsid w:val="003C168E"/>
    <w:rsid w:val="003C24C5"/>
    <w:rsid w:val="003C6B75"/>
    <w:rsid w:val="003D4D95"/>
    <w:rsid w:val="003D629B"/>
    <w:rsid w:val="00417964"/>
    <w:rsid w:val="0042417C"/>
    <w:rsid w:val="00430237"/>
    <w:rsid w:val="00456075"/>
    <w:rsid w:val="004A5564"/>
    <w:rsid w:val="004A57B7"/>
    <w:rsid w:val="004A7E85"/>
    <w:rsid w:val="004B32FD"/>
    <w:rsid w:val="004B4F11"/>
    <w:rsid w:val="004C1B0F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264AC"/>
    <w:rsid w:val="0074498E"/>
    <w:rsid w:val="0075308F"/>
    <w:rsid w:val="00753EDA"/>
    <w:rsid w:val="00757557"/>
    <w:rsid w:val="0076289D"/>
    <w:rsid w:val="0077475A"/>
    <w:rsid w:val="00782CC8"/>
    <w:rsid w:val="00793C66"/>
    <w:rsid w:val="007958E6"/>
    <w:rsid w:val="007A5A5E"/>
    <w:rsid w:val="007C12A7"/>
    <w:rsid w:val="007D6F57"/>
    <w:rsid w:val="007E394E"/>
    <w:rsid w:val="0081003B"/>
    <w:rsid w:val="00821FC6"/>
    <w:rsid w:val="00830E3B"/>
    <w:rsid w:val="00831AB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0F35"/>
    <w:rsid w:val="009956D6"/>
    <w:rsid w:val="009C0E9D"/>
    <w:rsid w:val="009C21D9"/>
    <w:rsid w:val="009C559E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D5A4A"/>
    <w:rsid w:val="00AE2DF6"/>
    <w:rsid w:val="00AE65BF"/>
    <w:rsid w:val="00AF42B1"/>
    <w:rsid w:val="00AF43DF"/>
    <w:rsid w:val="00B04FFA"/>
    <w:rsid w:val="00B12F61"/>
    <w:rsid w:val="00B1568F"/>
    <w:rsid w:val="00B1597B"/>
    <w:rsid w:val="00B31BC3"/>
    <w:rsid w:val="00B34E03"/>
    <w:rsid w:val="00B5046E"/>
    <w:rsid w:val="00B549E6"/>
    <w:rsid w:val="00BA7618"/>
    <w:rsid w:val="00BB74C4"/>
    <w:rsid w:val="00BF6793"/>
    <w:rsid w:val="00C140E2"/>
    <w:rsid w:val="00C146C2"/>
    <w:rsid w:val="00C17C1B"/>
    <w:rsid w:val="00C31DE6"/>
    <w:rsid w:val="00C5226F"/>
    <w:rsid w:val="00C640EC"/>
    <w:rsid w:val="00C759AC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216CF"/>
    <w:rsid w:val="00D2754B"/>
    <w:rsid w:val="00D3330A"/>
    <w:rsid w:val="00D37067"/>
    <w:rsid w:val="00D41D7C"/>
    <w:rsid w:val="00D82C07"/>
    <w:rsid w:val="00D87A2C"/>
    <w:rsid w:val="00D96719"/>
    <w:rsid w:val="00DA1CBD"/>
    <w:rsid w:val="00DA6338"/>
    <w:rsid w:val="00DC3835"/>
    <w:rsid w:val="00DC3F78"/>
    <w:rsid w:val="00DC7529"/>
    <w:rsid w:val="00DE26A8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E348-AF74-4AB2-8902-AB5DA61F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LalevicFilipovic</cp:lastModifiedBy>
  <cp:revision>2</cp:revision>
  <cp:lastPrinted>2019-12-16T07:50:00Z</cp:lastPrinted>
  <dcterms:created xsi:type="dcterms:W3CDTF">2024-02-18T18:55:00Z</dcterms:created>
  <dcterms:modified xsi:type="dcterms:W3CDTF">2024-02-18T18:55:00Z</dcterms:modified>
</cp:coreProperties>
</file>