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C60E3" w14:textId="77777777" w:rsidR="006278D6" w:rsidRPr="006278D6" w:rsidRDefault="006278D6" w:rsidP="006278D6">
      <w:pPr>
        <w:shd w:val="clear" w:color="auto" w:fill="FFFFFF"/>
        <w:spacing w:after="150" w:line="240" w:lineRule="auto"/>
        <w:textAlignment w:val="baseline"/>
        <w:rPr>
          <w:rFonts w:ascii="Garamond" w:eastAsia="Times New Roman" w:hAnsi="Garamond" w:cs="Arial"/>
          <w:color w:val="434A52"/>
          <w:sz w:val="28"/>
          <w:szCs w:val="28"/>
        </w:rPr>
      </w:pP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Literatura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:</w:t>
      </w:r>
    </w:p>
    <w:p w14:paraId="5D3DE929" w14:textId="77777777" w:rsidR="006278D6" w:rsidRPr="006278D6" w:rsidRDefault="006278D6" w:rsidP="006278D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aramond" w:eastAsia="Times New Roman" w:hAnsi="Garamond" w:cs="Arial"/>
          <w:color w:val="434A52"/>
          <w:sz w:val="28"/>
          <w:szCs w:val="28"/>
        </w:rPr>
      </w:pP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Normativni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faktori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uticaja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– </w:t>
      </w:r>
      <w:proofErr w:type="spellStart"/>
      <w:r w:rsidRPr="006278D6">
        <w:rPr>
          <w:rFonts w:ascii="Garamond" w:eastAsia="Times New Roman" w:hAnsi="Garamond" w:cs="Arial"/>
          <w:b/>
          <w:bCs/>
          <w:color w:val="434A52"/>
          <w:sz w:val="28"/>
          <w:szCs w:val="28"/>
          <w:bdr w:val="none" w:sz="0" w:space="0" w:color="auto" w:frame="1"/>
        </w:rPr>
        <w:t>Checkel</w:t>
      </w:r>
      <w:proofErr w:type="spellEnd"/>
      <w:r w:rsidRPr="006278D6">
        <w:rPr>
          <w:rFonts w:ascii="Garamond" w:eastAsia="Times New Roman" w:hAnsi="Garamond" w:cs="Arial"/>
          <w:b/>
          <w:bCs/>
          <w:color w:val="434A52"/>
          <w:sz w:val="28"/>
          <w:szCs w:val="28"/>
          <w:bdr w:val="none" w:sz="0" w:space="0" w:color="auto" w:frame="1"/>
        </w:rPr>
        <w:t>, 1993,</w:t>
      </w:r>
      <w:r w:rsidRPr="006278D6">
        <w:rPr>
          <w:rFonts w:ascii="Garamond" w:eastAsia="Times New Roman" w:hAnsi="Garamond" w:cs="Arial"/>
          <w:color w:val="434A52"/>
          <w:sz w:val="28"/>
          <w:szCs w:val="28"/>
        </w:rPr>
        <w:t> </w:t>
      </w:r>
    </w:p>
    <w:p w14:paraId="2B26BE1C" w14:textId="77777777" w:rsidR="006278D6" w:rsidRPr="006278D6" w:rsidRDefault="006278D6" w:rsidP="006278D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aramond" w:eastAsia="Times New Roman" w:hAnsi="Garamond" w:cs="Arial"/>
          <w:color w:val="434A52"/>
          <w:sz w:val="28"/>
          <w:szCs w:val="28"/>
        </w:rPr>
      </w:pP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Organizacioni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faktori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uticaja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na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spoljnopolitičko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djelovanje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– </w:t>
      </w:r>
      <w:r w:rsidRPr="006278D6">
        <w:rPr>
          <w:rFonts w:ascii="Garamond" w:eastAsia="Times New Roman" w:hAnsi="Garamond" w:cs="Arial"/>
          <w:b/>
          <w:bCs/>
          <w:i/>
          <w:iCs/>
          <w:color w:val="434A52"/>
          <w:sz w:val="28"/>
          <w:szCs w:val="28"/>
          <w:bdr w:val="none" w:sz="0" w:space="0" w:color="auto" w:frame="1"/>
        </w:rPr>
        <w:t>Hagan et al., 2001</w:t>
      </w:r>
    </w:p>
    <w:p w14:paraId="08580773" w14:textId="77777777" w:rsidR="006278D6" w:rsidRPr="006278D6" w:rsidRDefault="006278D6" w:rsidP="006278D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aramond" w:eastAsia="Times New Roman" w:hAnsi="Garamond" w:cs="Arial"/>
          <w:color w:val="434A52"/>
          <w:sz w:val="28"/>
          <w:szCs w:val="28"/>
        </w:rPr>
      </w:pPr>
      <w:r w:rsidRPr="006278D6">
        <w:rPr>
          <w:rFonts w:ascii="Garamond" w:eastAsia="Times New Roman" w:hAnsi="Garamond" w:cs="Arial"/>
          <w:b/>
          <w:bCs/>
          <w:color w:val="434A52"/>
          <w:sz w:val="28"/>
          <w:szCs w:val="28"/>
          <w:bdr w:val="none" w:sz="0" w:space="0" w:color="auto" w:frame="1"/>
        </w:rPr>
        <w:t> 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Uticaj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društvenih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grupa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i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javnog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mnjenja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na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proces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spoljnopolitičkog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odlučivanja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- "The Israel Lobby", </w:t>
      </w:r>
      <w:r w:rsidRPr="006278D6">
        <w:rPr>
          <w:rFonts w:ascii="Garamond" w:eastAsia="Times New Roman" w:hAnsi="Garamond" w:cs="Arial"/>
          <w:b/>
          <w:bCs/>
          <w:i/>
          <w:iCs/>
          <w:color w:val="434A52"/>
          <w:sz w:val="28"/>
          <w:szCs w:val="28"/>
          <w:bdr w:val="none" w:sz="0" w:space="0" w:color="auto" w:frame="1"/>
        </w:rPr>
        <w:t xml:space="preserve">J. </w:t>
      </w:r>
      <w:proofErr w:type="spellStart"/>
      <w:r w:rsidRPr="006278D6">
        <w:rPr>
          <w:rFonts w:ascii="Garamond" w:eastAsia="Times New Roman" w:hAnsi="Garamond" w:cs="Arial"/>
          <w:b/>
          <w:bCs/>
          <w:i/>
          <w:iCs/>
          <w:color w:val="434A52"/>
          <w:sz w:val="28"/>
          <w:szCs w:val="28"/>
          <w:bdr w:val="none" w:sz="0" w:space="0" w:color="auto" w:frame="1"/>
        </w:rPr>
        <w:t>Mearsheimeir</w:t>
      </w:r>
      <w:proofErr w:type="spellEnd"/>
      <w:r w:rsidRPr="006278D6">
        <w:rPr>
          <w:rFonts w:ascii="Garamond" w:eastAsia="Times New Roman" w:hAnsi="Garamond" w:cs="Arial"/>
          <w:b/>
          <w:bCs/>
          <w:i/>
          <w:iCs/>
          <w:color w:val="434A5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b/>
          <w:bCs/>
          <w:i/>
          <w:iCs/>
          <w:color w:val="434A52"/>
          <w:sz w:val="28"/>
          <w:szCs w:val="28"/>
          <w:bdr w:val="none" w:sz="0" w:space="0" w:color="auto" w:frame="1"/>
        </w:rPr>
        <w:t>i</w:t>
      </w:r>
      <w:proofErr w:type="spellEnd"/>
      <w:r w:rsidRPr="006278D6">
        <w:rPr>
          <w:rFonts w:ascii="Garamond" w:eastAsia="Times New Roman" w:hAnsi="Garamond" w:cs="Arial"/>
          <w:b/>
          <w:bCs/>
          <w:i/>
          <w:iCs/>
          <w:color w:val="434A52"/>
          <w:sz w:val="28"/>
          <w:szCs w:val="28"/>
          <w:bdr w:val="none" w:sz="0" w:space="0" w:color="auto" w:frame="1"/>
        </w:rPr>
        <w:t xml:space="preserve"> S. Walt</w:t>
      </w:r>
      <w:r w:rsidRPr="006278D6">
        <w:rPr>
          <w:rFonts w:ascii="Garamond" w:eastAsia="Times New Roman" w:hAnsi="Garamond" w:cs="Arial"/>
          <w:color w:val="434A52"/>
          <w:sz w:val="28"/>
          <w:szCs w:val="28"/>
        </w:rPr>
        <w:t> (</w:t>
      </w:r>
      <w:hyperlink r:id="rId5" w:history="1">
        <w:r w:rsidRPr="006278D6">
          <w:rPr>
            <w:rFonts w:ascii="Garamond" w:eastAsia="Times New Roman" w:hAnsi="Garamond" w:cs="Arial"/>
            <w:color w:val="003B7D"/>
            <w:sz w:val="28"/>
            <w:szCs w:val="28"/>
            <w:u w:val="single"/>
            <w:bdr w:val="none" w:sz="0" w:space="0" w:color="auto" w:frame="1"/>
          </w:rPr>
          <w:t>https://www.lrb.co.uk/the-paper/v28/n06/john-mearsheimer/the-israel-lobby</w:t>
        </w:r>
      </w:hyperlink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);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i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 </w:t>
      </w:r>
      <w:r w:rsidRPr="006278D6">
        <w:rPr>
          <w:rFonts w:ascii="Garamond" w:eastAsia="Times New Roman" w:hAnsi="Garamond" w:cs="Arial"/>
          <w:b/>
          <w:bCs/>
          <w:i/>
          <w:iCs/>
          <w:color w:val="434A52"/>
          <w:sz w:val="28"/>
          <w:szCs w:val="28"/>
          <w:bdr w:val="none" w:sz="0" w:space="0" w:color="auto" w:frame="1"/>
        </w:rPr>
        <w:t>Kaufmann, 2004.</w:t>
      </w:r>
    </w:p>
    <w:p w14:paraId="342280FF" w14:textId="77777777" w:rsidR="006278D6" w:rsidRPr="006278D6" w:rsidRDefault="006278D6" w:rsidP="006278D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aramond" w:eastAsia="Times New Roman" w:hAnsi="Garamond" w:cs="Arial"/>
          <w:color w:val="434A52"/>
          <w:sz w:val="28"/>
          <w:szCs w:val="28"/>
        </w:rPr>
      </w:pP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Psihološki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aspekt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spoljnopolitičkog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odlučivanja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: </w:t>
      </w:r>
      <w:proofErr w:type="spellStart"/>
      <w:r w:rsidRPr="006278D6">
        <w:rPr>
          <w:rFonts w:ascii="Garamond" w:eastAsia="Times New Roman" w:hAnsi="Garamond" w:cs="Arial"/>
          <w:b/>
          <w:bCs/>
          <w:color w:val="434A52"/>
          <w:sz w:val="28"/>
          <w:szCs w:val="28"/>
          <w:bdr w:val="none" w:sz="0" w:space="0" w:color="auto" w:frame="1"/>
        </w:rPr>
        <w:t>Byman</w:t>
      </w:r>
      <w:proofErr w:type="spellEnd"/>
      <w:r w:rsidRPr="006278D6">
        <w:rPr>
          <w:rFonts w:ascii="Garamond" w:eastAsia="Times New Roman" w:hAnsi="Garamond" w:cs="Arial"/>
          <w:b/>
          <w:bCs/>
          <w:color w:val="434A52"/>
          <w:sz w:val="28"/>
          <w:szCs w:val="28"/>
          <w:bdr w:val="none" w:sz="0" w:space="0" w:color="auto" w:frame="1"/>
        </w:rPr>
        <w:t xml:space="preserve"> and Pollack (2001); Boulding (1959);</w:t>
      </w:r>
    </w:p>
    <w:p w14:paraId="2ABB95A6" w14:textId="7C9383D8" w:rsidR="006278D6" w:rsidRPr="006278D6" w:rsidRDefault="006278D6" w:rsidP="006278D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aramond" w:eastAsia="Times New Roman" w:hAnsi="Garamond" w:cs="Arial"/>
          <w:color w:val="434A52"/>
          <w:sz w:val="28"/>
          <w:szCs w:val="28"/>
        </w:rPr>
      </w:pP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Uticaj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kulturnog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i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iskorij</w:t>
      </w:r>
      <w:r w:rsidR="00562187">
        <w:rPr>
          <w:rFonts w:ascii="Garamond" w:eastAsia="Times New Roman" w:hAnsi="Garamond" w:cs="Arial"/>
          <w:color w:val="434A52"/>
          <w:sz w:val="28"/>
          <w:szCs w:val="28"/>
        </w:rPr>
        <w:t>s</w:t>
      </w:r>
      <w:r w:rsidRPr="006278D6">
        <w:rPr>
          <w:rFonts w:ascii="Garamond" w:eastAsia="Times New Roman" w:hAnsi="Garamond" w:cs="Arial"/>
          <w:color w:val="434A52"/>
          <w:sz w:val="28"/>
          <w:szCs w:val="28"/>
        </w:rPr>
        <w:t>kog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konteksta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: </w:t>
      </w:r>
      <w:r w:rsidRPr="006278D6">
        <w:rPr>
          <w:rFonts w:ascii="Garamond" w:eastAsia="Times New Roman" w:hAnsi="Garamond" w:cs="Arial"/>
          <w:b/>
          <w:bCs/>
          <w:color w:val="434A52"/>
          <w:sz w:val="28"/>
          <w:szCs w:val="28"/>
          <w:bdr w:val="none" w:sz="0" w:space="0" w:color="auto" w:frame="1"/>
        </w:rPr>
        <w:t xml:space="preserve">Paris (2002); </w:t>
      </w:r>
      <w:proofErr w:type="spellStart"/>
      <w:r w:rsidRPr="006278D6">
        <w:rPr>
          <w:rFonts w:ascii="Garamond" w:eastAsia="Times New Roman" w:hAnsi="Garamond" w:cs="Arial"/>
          <w:b/>
          <w:bCs/>
          <w:color w:val="434A52"/>
          <w:sz w:val="28"/>
          <w:szCs w:val="28"/>
          <w:bdr w:val="none" w:sz="0" w:space="0" w:color="auto" w:frame="1"/>
        </w:rPr>
        <w:t>Vertzberger</w:t>
      </w:r>
      <w:proofErr w:type="spellEnd"/>
      <w:r w:rsidRPr="006278D6">
        <w:rPr>
          <w:rFonts w:ascii="Garamond" w:eastAsia="Times New Roman" w:hAnsi="Garamond" w:cs="Arial"/>
          <w:b/>
          <w:bCs/>
          <w:color w:val="434A52"/>
          <w:sz w:val="28"/>
          <w:szCs w:val="28"/>
          <w:bdr w:val="none" w:sz="0" w:space="0" w:color="auto" w:frame="1"/>
        </w:rPr>
        <w:t xml:space="preserve"> (1986);</w:t>
      </w:r>
    </w:p>
    <w:p w14:paraId="7968C111" w14:textId="77777777" w:rsidR="006278D6" w:rsidRPr="006278D6" w:rsidRDefault="006278D6" w:rsidP="006278D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aramond" w:eastAsia="Times New Roman" w:hAnsi="Garamond" w:cs="Arial"/>
          <w:color w:val="434A52"/>
          <w:sz w:val="28"/>
          <w:szCs w:val="28"/>
        </w:rPr>
      </w:pP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Teorija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realizma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u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spoljnoj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politici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: </w:t>
      </w:r>
      <w:r w:rsidRPr="006278D6">
        <w:rPr>
          <w:rFonts w:ascii="Garamond" w:eastAsia="Times New Roman" w:hAnsi="Garamond" w:cs="Arial"/>
          <w:b/>
          <w:bCs/>
          <w:color w:val="434A52"/>
          <w:sz w:val="28"/>
          <w:szCs w:val="28"/>
          <w:bdr w:val="none" w:sz="0" w:space="0" w:color="auto" w:frame="1"/>
        </w:rPr>
        <w:t>Rose (1998); Waltz (1998);</w:t>
      </w:r>
    </w:p>
    <w:p w14:paraId="42C3991E" w14:textId="77777777" w:rsidR="006278D6" w:rsidRPr="006278D6" w:rsidRDefault="006278D6" w:rsidP="006278D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aramond" w:eastAsia="Times New Roman" w:hAnsi="Garamond" w:cs="Arial"/>
          <w:color w:val="434A52"/>
          <w:sz w:val="28"/>
          <w:szCs w:val="28"/>
        </w:rPr>
      </w:pP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Normativna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teorija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i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spoljna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politika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: </w:t>
      </w:r>
      <w:proofErr w:type="spellStart"/>
      <w:r w:rsidRPr="006278D6">
        <w:rPr>
          <w:rFonts w:ascii="Garamond" w:eastAsia="Times New Roman" w:hAnsi="Garamond" w:cs="Arial"/>
          <w:b/>
          <w:bCs/>
          <w:color w:val="434A52"/>
          <w:sz w:val="28"/>
          <w:szCs w:val="28"/>
          <w:bdr w:val="none" w:sz="0" w:space="0" w:color="auto" w:frame="1"/>
        </w:rPr>
        <w:t>Tannenwald</w:t>
      </w:r>
      <w:proofErr w:type="spellEnd"/>
      <w:r w:rsidRPr="006278D6">
        <w:rPr>
          <w:rFonts w:ascii="Garamond" w:eastAsia="Times New Roman" w:hAnsi="Garamond" w:cs="Arial"/>
          <w:b/>
          <w:bCs/>
          <w:color w:val="434A52"/>
          <w:sz w:val="28"/>
          <w:szCs w:val="28"/>
          <w:bdr w:val="none" w:sz="0" w:space="0" w:color="auto" w:frame="1"/>
        </w:rPr>
        <w:t xml:space="preserve"> (1999);</w:t>
      </w:r>
    </w:p>
    <w:p w14:paraId="64D5FC1F" w14:textId="04CD08CB" w:rsidR="006278D6" w:rsidRPr="006278D6" w:rsidRDefault="006278D6" w:rsidP="006278D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aramond" w:eastAsia="Times New Roman" w:hAnsi="Garamond" w:cs="Arial"/>
          <w:color w:val="434A52"/>
          <w:sz w:val="28"/>
          <w:szCs w:val="28"/>
        </w:rPr>
      </w:pPr>
      <w:bookmarkStart w:id="0" w:name="_GoBack"/>
      <w:bookmarkEnd w:id="0"/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Globalizacija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i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spoljna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 xml:space="preserve"> </w:t>
      </w:r>
      <w:proofErr w:type="spellStart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politka</w:t>
      </w:r>
      <w:proofErr w:type="spellEnd"/>
      <w:r w:rsidRPr="006278D6">
        <w:rPr>
          <w:rFonts w:ascii="Garamond" w:eastAsia="Times New Roman" w:hAnsi="Garamond" w:cs="Arial"/>
          <w:color w:val="434A52"/>
          <w:sz w:val="28"/>
          <w:szCs w:val="28"/>
        </w:rPr>
        <w:t>: </w:t>
      </w:r>
      <w:r w:rsidRPr="006278D6">
        <w:rPr>
          <w:rFonts w:ascii="Garamond" w:eastAsia="Times New Roman" w:hAnsi="Garamond" w:cs="Arial"/>
          <w:b/>
          <w:bCs/>
          <w:color w:val="434A52"/>
          <w:sz w:val="28"/>
          <w:szCs w:val="28"/>
          <w:bdr w:val="none" w:sz="0" w:space="0" w:color="auto" w:frame="1"/>
        </w:rPr>
        <w:t>Robinson (1996).</w:t>
      </w:r>
    </w:p>
    <w:p w14:paraId="1DF1067C" w14:textId="4C64063B" w:rsidR="00150F28" w:rsidRPr="006278D6" w:rsidRDefault="00D42E18">
      <w:pPr>
        <w:rPr>
          <w:rFonts w:ascii="Garamond" w:hAnsi="Garamond"/>
          <w:sz w:val="28"/>
          <w:szCs w:val="28"/>
        </w:rPr>
      </w:pPr>
    </w:p>
    <w:p w14:paraId="344FEE2F" w14:textId="77777777" w:rsidR="006278D6" w:rsidRPr="006278D6" w:rsidRDefault="006278D6">
      <w:pPr>
        <w:rPr>
          <w:rFonts w:ascii="Garamond" w:hAnsi="Garamond"/>
          <w:sz w:val="28"/>
          <w:szCs w:val="28"/>
        </w:rPr>
      </w:pPr>
    </w:p>
    <w:sectPr w:rsidR="006278D6" w:rsidRPr="00627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66C9"/>
    <w:multiLevelType w:val="multilevel"/>
    <w:tmpl w:val="EE2C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AB"/>
    <w:rsid w:val="00415D06"/>
    <w:rsid w:val="00522944"/>
    <w:rsid w:val="00562187"/>
    <w:rsid w:val="006278D6"/>
    <w:rsid w:val="009108AB"/>
    <w:rsid w:val="00BC6208"/>
    <w:rsid w:val="00D42E1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AF3A"/>
  <w15:chartTrackingRefBased/>
  <w15:docId w15:val="{54DF613C-1BB0-40CA-AF0D-19CAF3F5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78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7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rb.co.uk/the-paper/v28/n06/john-mearsheimer/the-israel-lob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5</cp:revision>
  <dcterms:created xsi:type="dcterms:W3CDTF">2020-12-27T11:30:00Z</dcterms:created>
  <dcterms:modified xsi:type="dcterms:W3CDTF">2020-12-27T11:31:00Z</dcterms:modified>
</cp:coreProperties>
</file>