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EBFC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i druga sredstva mirnog rješavanja sporova – međunarodno pregovranje</w:t>
      </w:r>
    </w:p>
    <w:p w14:paraId="2ADBE815" w14:textId="77777777"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prema Povelji UN, istraživanje i mirenje</w:t>
      </w:r>
    </w:p>
    <w:p w14:paraId="516336AF" w14:textId="77777777" w:rsidR="0057718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Sredstva mirnog rješavanja sporova prema Povelji UN, arbitraža i 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>eđunarodni sud pravde</w:t>
      </w:r>
    </w:p>
    <w:p w14:paraId="6635B53C" w14:textId="77777777"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14:paraId="35769A96" w14:textId="77777777" w:rsidR="00C5677F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OEBS-a</w:t>
      </w:r>
    </w:p>
    <w:p w14:paraId="22153387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Uticaj polarne sturukture i kriza na pregovaranje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promjena međunarodnih scena</w:t>
      </w:r>
    </w:p>
    <w:p w14:paraId="22667D03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Međunarodne krize</w:t>
      </w:r>
    </w:p>
    <w:p w14:paraId="50D6B40E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Preventivna diplomatija</w:t>
      </w:r>
    </w:p>
    <w:p w14:paraId="57C6605D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kao način ostvarivanja preventivne diplomatije</w:t>
      </w:r>
    </w:p>
    <w:p w14:paraId="706BC379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Ulozi, stavovi i taktike u preventivnoj diplomatiji</w:t>
      </w:r>
    </w:p>
    <w:p w14:paraId="7136E42D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vrste multilateralnih pregovora i razlozi za buran razvoj multilateralne diplomatije</w:t>
      </w:r>
    </w:p>
    <w:p w14:paraId="61DC8FDA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proceduralna pitanja</w:t>
      </w:r>
    </w:p>
    <w:p w14:paraId="658781A0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Sastajanje na vrhu – summit diplo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matija, pro i contra</w:t>
      </w:r>
    </w:p>
    <w:p w14:paraId="1A84B264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e na vrhu – summit diplomatija,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vrste samita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i pretpostavke za njihov uspjeh</w:t>
      </w:r>
    </w:p>
    <w:p w14:paraId="6FBC62F1" w14:textId="77777777"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Vestfalski mir</w:t>
      </w:r>
    </w:p>
    <w:p w14:paraId="292CB5BB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Bečki kongres</w:t>
      </w:r>
    </w:p>
    <w:p w14:paraId="33449C47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Berlinski kongres</w:t>
      </w:r>
    </w:p>
    <w:p w14:paraId="6A2C255C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Pariška mirovna konferencija</w:t>
      </w:r>
    </w:p>
    <w:p w14:paraId="3AA224E5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konferencije antihitlerovske koalicije</w:t>
      </w:r>
    </w:p>
    <w:p w14:paraId="796E434C" w14:textId="77777777"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Struktura pregovaranja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učesnici u pregovaranju, koalicije</w:t>
      </w:r>
    </w:p>
    <w:p w14:paraId="1618C036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Broj pitanja o kojima se pregovara – situacij nultog i nenultog zbira</w:t>
      </w:r>
    </w:p>
    <w:p w14:paraId="4E9285FF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Zona mogućeg sporazuma (ZMS)</w:t>
      </w:r>
    </w:p>
    <w:p w14:paraId="662B722F" w14:textId="77777777" w:rsidR="00AE7CC8" w:rsidRPr="009B48DE" w:rsidRDefault="00AE7CC8" w:rsidP="00AE7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Povezivanje više pregovora i faktor vremena u pregovorima</w:t>
      </w:r>
    </w:p>
    <w:p w14:paraId="2BC85A27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ntervencija treće strane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uloge u kojima se pojavljuje 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>treća strana</w:t>
      </w:r>
    </w:p>
    <w:p w14:paraId="40376548" w14:textId="77777777" w:rsidR="00AE7CC8" w:rsidRPr="009B48DE" w:rsidRDefault="00AE7CC8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dileme sa kojima se susrijeće treća strana</w:t>
      </w:r>
    </w:p>
    <w:p w14:paraId="28355034" w14:textId="77777777" w:rsidR="00374635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– posredovanje, dobre usluge i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>vrste međunarodnog posredovanja</w:t>
      </w:r>
    </w:p>
    <w:p w14:paraId="20529496" w14:textId="77777777" w:rsidR="008279C6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funkcije posrednika</w:t>
      </w:r>
      <w:r w:rsidR="008279C6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1B1B1317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>zvanični i nezvanični kolosjek</w:t>
      </w:r>
    </w:p>
    <w:p w14:paraId="78B80F9A" w14:textId="77777777"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višestrano posredovanje</w:t>
      </w:r>
    </w:p>
    <w:p w14:paraId="483B7444" w14:textId="77777777"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najpogodniji posrednik</w:t>
      </w:r>
    </w:p>
    <w:p w14:paraId="2BE82F25" w14:textId="77777777" w:rsidR="00283DE1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Sedam principa pregovarnja prodora</w:t>
      </w:r>
    </w:p>
    <w:p w14:paraId="05655B23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(tvrdo ili meko pregovaranje, ukopavanje u pozicije vs. rasprava o kvalitetu predloga, pregovaranje na osnovu principa, interes pregovarača)</w:t>
      </w:r>
    </w:p>
    <w:p w14:paraId="1C660623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(staviti se u tuđu kožu, čuvanje obraza, emocije, simbolični gestovi)</w:t>
      </w:r>
    </w:p>
    <w:p w14:paraId="11063DF1" w14:textId="77777777" w:rsidR="00374635" w:rsidRPr="007672A1" w:rsidRDefault="008279C6" w:rsidP="003746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(komunikacija, tajni ili specijalni kanali, prijetnje, publicitet)</w:t>
      </w:r>
    </w:p>
    <w:p w14:paraId="3782F622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Razvijanje pregovaračkog umjeća – klasična djela o pregovaranju</w:t>
      </w:r>
    </w:p>
    <w:p w14:paraId="362936F1" w14:textId="77777777" w:rsidR="008279C6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Građenje pregovaračke strategije i pregovaračke taktike</w:t>
      </w:r>
    </w:p>
    <w:p w14:paraId="662D850E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BATNA i zatvorenička dilema</w:t>
      </w:r>
    </w:p>
    <w:p w14:paraId="7B564B31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Pretpregovaranje</w:t>
      </w:r>
    </w:p>
    <w:p w14:paraId="388F803A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Unutrašnje pregovaranje, kohezija pregovaračkog tima, priprema pregovora</w:t>
      </w:r>
    </w:p>
    <w:p w14:paraId="7436FA6C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Faze pregovaračkog procesa i ishod pregovora</w:t>
      </w:r>
    </w:p>
    <w:p w14:paraId="7C31FAC4" w14:textId="77777777" w:rsidR="00374635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Međunarodni ugovori</w:t>
      </w:r>
    </w:p>
    <w:p w14:paraId="246E2305" w14:textId="77777777" w:rsidR="00283DE1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atifikacija međunarodnih ugovora</w:t>
      </w:r>
    </w:p>
    <w:p w14:paraId="30424D5C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k u diplomatiji i pregovaranju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diplomatski jezik – jezici, zvanični i radni jezic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i u međunarodnim organizacijama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9E9464" w14:textId="77777777" w:rsidR="00880E74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- jezik u diplomatskim dokumentima</w:t>
      </w:r>
    </w:p>
    <w:p w14:paraId="30AFB598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Jezik u diplomatiji i pregovaranju - diplomatska konverzacija</w:t>
      </w:r>
    </w:p>
    <w:p w14:paraId="5FD64608" w14:textId="77777777"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Jezik u diplomatiji i pregovaranju  -  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jezik pregovar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ača, nejasnoće i dvosmislenosti</w:t>
      </w:r>
    </w:p>
    <w:p w14:paraId="3A499B7D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Otvorena, tajna i javna diplomatija</w:t>
      </w:r>
    </w:p>
    <w:p w14:paraId="34DEEA8B" w14:textId="77777777" w:rsidR="00283DE1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nastojanje Antante da uvuče Italiju u rat na svojoj strani, istovremeno pregovaranje Italije sa Centralnim silama</w:t>
      </w:r>
    </w:p>
    <w:p w14:paraId="66D8B20E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italijanski predlog sporazuma</w:t>
      </w:r>
    </w:p>
    <w:p w14:paraId="2233C1F1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odnos sa Rusijom, značaj Carigrada i Dardanela</w:t>
      </w:r>
    </w:p>
    <w:p w14:paraId="36A401E2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Rapalski ugovor</w:t>
      </w:r>
    </w:p>
    <w:p w14:paraId="4CE911F1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između Izarela i Palestine u Oslu 1992 – 1993.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predistorija</w:t>
      </w:r>
    </w:p>
    <w:p w14:paraId="24623866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probni kontakti, pozicije Izraela i Palestine</w:t>
      </w:r>
    </w:p>
    <w:p w14:paraId="671A5F78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početak i tok pregovora</w:t>
      </w:r>
    </w:p>
    <w:p w14:paraId="79CD6431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završetak pregovora i postizanje sporazuma</w:t>
      </w:r>
    </w:p>
    <w:p w14:paraId="5789B7B1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između Izarela i Palestine u Oslu 1992 – 1993. godine – faktori koji su uticali na uspjeh pregovora</w:t>
      </w:r>
    </w:p>
    <w:p w14:paraId="5958DFEF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Tajna diplomatija – neka pravila</w:t>
      </w:r>
    </w:p>
    <w:p w14:paraId="4193BD79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Shuttle diplomatija, presing i stiplčez diplomatija</w:t>
      </w:r>
    </w:p>
    <w:p w14:paraId="5BD8A924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Dejtonski pregovori, 1995.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pripremanje pregovora</w:t>
      </w:r>
    </w:p>
    <w:p w14:paraId="21DDB048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pregovaračke strane i njihove pozicije, pozicija SAD</w:t>
      </w:r>
    </w:p>
    <w:p w14:paraId="50C08AB4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uloga štampe, simbolični gestovi</w:t>
      </w:r>
    </w:p>
    <w:p w14:paraId="0595FF59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proceduralna pitanja</w:t>
      </w:r>
    </w:p>
    <w:p w14:paraId="6671B8A5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proximity talks i završetak pregovora</w:t>
      </w:r>
    </w:p>
    <w:p w14:paraId="33C57E70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Alibi diplomatija</w:t>
      </w:r>
    </w:p>
    <w:p w14:paraId="3A906920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početni pokušaji u ostvarivanju pregovora</w:t>
      </w:r>
    </w:p>
    <w:p w14:paraId="511DD3AE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proximity talks</w:t>
      </w:r>
    </w:p>
    <w:p w14:paraId="004E9900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simuliranje pregovora i alibi diplomatija od strane glavnih aktera</w:t>
      </w:r>
    </w:p>
    <w:p w14:paraId="62503FDB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Rambujeu, 1999. godine – tok pregovora</w:t>
      </w:r>
    </w:p>
    <w:p w14:paraId="3BAEB0DE" w14:textId="77777777" w:rsidR="009B48DE" w:rsidRPr="007672A1" w:rsidRDefault="007A6662" w:rsidP="009B4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Razlike između pregovora u Dejtonu 1995. godine  i pregovora u Rambujeu 1999. </w:t>
      </w:r>
      <w:r w:rsidR="009B48DE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14:paraId="37C403A0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graničnih sporova</w:t>
      </w:r>
    </w:p>
    <w:p w14:paraId="75CBD5D5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granici između SSSR-a (Rusije) i NR Kine (1986 – 1994)</w:t>
      </w:r>
    </w:p>
    <w:p w14:paraId="27D73BE0" w14:textId="77777777" w:rsidR="00283DE1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Prevlaci između SR Jugoslavije i Hrvatske</w:t>
      </w:r>
    </w:p>
    <w:p w14:paraId="0720BEA5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rješenju tršćanskog pitanja</w:t>
      </w:r>
    </w:p>
    <w:p w14:paraId="0E3E713F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Zajednički elementi poželjnog modela pregovranja o graničnim sporovima</w:t>
      </w:r>
    </w:p>
    <w:p w14:paraId="0C8B454C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lastRenderedPageBreak/>
        <w:t>Pregovori o kontroli naoružanja i razoružanju</w:t>
      </w:r>
    </w:p>
    <w:p w14:paraId="55EE2C0E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disoluciji, sukcesiji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 ponovnom ujedinjenju država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uloga preventivne diplomatije i uslovi za njen uspjeh)</w:t>
      </w:r>
    </w:p>
    <w:p w14:paraId="2D1CFED0" w14:textId="77777777"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Njemačkoj</w:t>
      </w:r>
    </w:p>
    <w:p w14:paraId="4C68305A" w14:textId="77777777"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Sjeverne i Južne Koreje</w:t>
      </w:r>
      <w:r w:rsidR="0016751E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13CEC7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sukcesiji SFRJ</w:t>
      </w:r>
    </w:p>
    <w:p w14:paraId="16F07938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životnoj sredini</w:t>
      </w:r>
    </w:p>
    <w:p w14:paraId="2267136A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o klimatskim promjenama</w:t>
      </w:r>
    </w:p>
    <w:p w14:paraId="67609A94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Trgovinski pregovori</w:t>
      </w:r>
    </w:p>
    <w:p w14:paraId="00170E24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Urugvajska runda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tok pregovora</w:t>
      </w:r>
    </w:p>
    <w:p w14:paraId="0F861D8C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Zajedničke karakteristike Urugvajske runde</w:t>
      </w:r>
    </w:p>
    <w:p w14:paraId="27284C9E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Dohi i Kankunu</w:t>
      </w:r>
    </w:p>
    <w:p w14:paraId="501018D7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Finansijski i dugovni pregovori</w:t>
      </w:r>
    </w:p>
    <w:p w14:paraId="1495D6C3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u okviru MMF-a i Svjetske banke</w:t>
      </w:r>
    </w:p>
    <w:p w14:paraId="535CA478" w14:textId="77777777" w:rsidR="007A6662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evropskoj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integraciji – Zapadni Balkan</w:t>
      </w:r>
    </w:p>
    <w:p w14:paraId="241E8130" w14:textId="77777777" w:rsidR="00B14F33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</w:t>
      </w:r>
      <w:r w:rsidR="00B14F33" w:rsidRPr="009B48DE">
        <w:rPr>
          <w:rFonts w:ascii="Times New Roman" w:hAnsi="Times New Roman" w:cs="Times New Roman"/>
          <w:sz w:val="24"/>
          <w:szCs w:val="24"/>
          <w:lang w:val="en-US"/>
        </w:rPr>
        <w:t>unutar Evropske unije</w:t>
      </w:r>
    </w:p>
    <w:p w14:paraId="414ED000" w14:textId="77777777"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sa teroristima</w:t>
      </w:r>
    </w:p>
    <w:p w14:paraId="078E675F" w14:textId="77777777"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Sjevernoj Irskoj</w:t>
      </w:r>
    </w:p>
    <w:sectPr w:rsidR="00B14F33" w:rsidRPr="009B48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FB57" w14:textId="77777777" w:rsidR="00632D3D" w:rsidRDefault="00632D3D" w:rsidP="00C5677F">
      <w:pPr>
        <w:spacing w:after="0" w:line="240" w:lineRule="auto"/>
      </w:pPr>
      <w:r>
        <w:separator/>
      </w:r>
    </w:p>
  </w:endnote>
  <w:endnote w:type="continuationSeparator" w:id="0">
    <w:p w14:paraId="04DB7432" w14:textId="77777777" w:rsidR="00632D3D" w:rsidRDefault="00632D3D" w:rsidP="00C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7A6C" w14:textId="77777777" w:rsidR="00632D3D" w:rsidRDefault="00632D3D" w:rsidP="00C5677F">
      <w:pPr>
        <w:spacing w:after="0" w:line="240" w:lineRule="auto"/>
      </w:pPr>
      <w:r>
        <w:separator/>
      </w:r>
    </w:p>
  </w:footnote>
  <w:footnote w:type="continuationSeparator" w:id="0">
    <w:p w14:paraId="40A24DC0" w14:textId="77777777" w:rsidR="00632D3D" w:rsidRDefault="00632D3D" w:rsidP="00C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4EF8" w14:textId="610C88EE" w:rsidR="00C5677F" w:rsidRPr="00C5677F" w:rsidRDefault="00632FD4" w:rsidP="00C5677F">
    <w:pPr>
      <w:pStyle w:val="IntenseQuote"/>
      <w:rPr>
        <w:rFonts w:ascii="Times New Roman" w:hAnsi="Times New Roman" w:cs="Times New Roman"/>
        <w:color w:val="820000"/>
      </w:rPr>
    </w:pPr>
    <w:r>
      <w:rPr>
        <w:rFonts w:ascii="Times New Roman" w:hAnsi="Times New Roman" w:cs="Times New Roman"/>
        <w:color w:val="820000"/>
      </w:rPr>
      <w:t>Međunarodno</w:t>
    </w:r>
    <w:r w:rsidR="00C5677F" w:rsidRPr="00C5677F">
      <w:rPr>
        <w:rFonts w:ascii="Times New Roman" w:hAnsi="Times New Roman" w:cs="Times New Roman"/>
        <w:color w:val="820000"/>
      </w:rPr>
      <w:t xml:space="preserve"> pregovaranje</w:t>
    </w:r>
    <w:r w:rsidR="00C5677F" w:rsidRPr="00C5677F">
      <w:rPr>
        <w:rFonts w:ascii="Times New Roman" w:hAnsi="Times New Roman" w:cs="Times New Roman"/>
        <w:color w:val="820000"/>
      </w:rPr>
      <w:ptab w:relativeTo="margin" w:alignment="center" w:leader="none"/>
    </w:r>
    <w:r w:rsidR="00C5677F" w:rsidRPr="00C5677F">
      <w:rPr>
        <w:rFonts w:ascii="Times New Roman" w:hAnsi="Times New Roman" w:cs="Times New Roman"/>
        <w:color w:val="820000"/>
      </w:rPr>
      <w:t xml:space="preserve">Ispitna </w:t>
    </w:r>
    <w:r>
      <w:rPr>
        <w:rFonts w:ascii="Times New Roman" w:hAnsi="Times New Roman" w:cs="Times New Roman"/>
        <w:color w:val="820000"/>
      </w:rPr>
      <w:t>Ljetnji</w:t>
    </w:r>
    <w:r w:rsidR="00BB720E">
      <w:rPr>
        <w:rFonts w:ascii="Times New Roman" w:hAnsi="Times New Roman" w:cs="Times New Roman"/>
        <w:color w:val="820000"/>
      </w:rPr>
      <w:t xml:space="preserve"> semestar 202</w:t>
    </w:r>
    <w:r>
      <w:rPr>
        <w:rFonts w:ascii="Times New Roman" w:hAnsi="Times New Roman" w:cs="Times New Roman"/>
        <w:color w:val="820000"/>
      </w:rPr>
      <w:t>1</w:t>
    </w:r>
    <w:r w:rsidR="00BB720E">
      <w:rPr>
        <w:rFonts w:ascii="Times New Roman" w:hAnsi="Times New Roman" w:cs="Times New Roman"/>
        <w:color w:val="820000"/>
      </w:rPr>
      <w:t>/2</w:t>
    </w:r>
    <w:r>
      <w:rPr>
        <w:rFonts w:ascii="Times New Roman" w:hAnsi="Times New Roman" w:cs="Times New Roman"/>
        <w:color w:val="820000"/>
      </w:rPr>
      <w:t>2</w:t>
    </w:r>
    <w:r w:rsidR="00C5677F" w:rsidRPr="00C5677F">
      <w:rPr>
        <w:rFonts w:ascii="Times New Roman" w:hAnsi="Times New Roman" w:cs="Times New Roman"/>
        <w:color w:val="82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A73"/>
    <w:multiLevelType w:val="hybridMultilevel"/>
    <w:tmpl w:val="920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B0"/>
    <w:rsid w:val="0016751E"/>
    <w:rsid w:val="002621B0"/>
    <w:rsid w:val="00281F60"/>
    <w:rsid w:val="00283DE1"/>
    <w:rsid w:val="002E4306"/>
    <w:rsid w:val="00374635"/>
    <w:rsid w:val="003F2139"/>
    <w:rsid w:val="0047707D"/>
    <w:rsid w:val="00516B9D"/>
    <w:rsid w:val="00577188"/>
    <w:rsid w:val="00632D3D"/>
    <w:rsid w:val="00632FD4"/>
    <w:rsid w:val="00725125"/>
    <w:rsid w:val="007672A1"/>
    <w:rsid w:val="0077115C"/>
    <w:rsid w:val="007A6662"/>
    <w:rsid w:val="007C3F38"/>
    <w:rsid w:val="008279C6"/>
    <w:rsid w:val="00880E74"/>
    <w:rsid w:val="0091019B"/>
    <w:rsid w:val="009B48DE"/>
    <w:rsid w:val="00A22B3B"/>
    <w:rsid w:val="00AE7CC8"/>
    <w:rsid w:val="00B14F33"/>
    <w:rsid w:val="00BB720E"/>
    <w:rsid w:val="00C5677F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69E4"/>
  <w15:chartTrackingRefBased/>
  <w15:docId w15:val="{F81F6B65-3185-474A-9675-2C66211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7F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7F"/>
    <w:rPr>
      <w:noProof/>
      <w:lang w:val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7F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C5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Perun Lakic</cp:lastModifiedBy>
  <cp:revision>13</cp:revision>
  <dcterms:created xsi:type="dcterms:W3CDTF">2016-12-18T22:14:00Z</dcterms:created>
  <dcterms:modified xsi:type="dcterms:W3CDTF">2022-02-27T09:19:00Z</dcterms:modified>
</cp:coreProperties>
</file>