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"/>
        <w:gridCol w:w="404"/>
        <w:gridCol w:w="124"/>
        <w:gridCol w:w="333"/>
        <w:gridCol w:w="36"/>
        <w:gridCol w:w="1105"/>
        <w:gridCol w:w="404"/>
        <w:gridCol w:w="66"/>
        <w:gridCol w:w="1004"/>
        <w:gridCol w:w="31"/>
        <w:gridCol w:w="1444"/>
        <w:gridCol w:w="221"/>
        <w:gridCol w:w="1254"/>
        <w:gridCol w:w="1467"/>
      </w:tblGrid>
      <w:tr w:rsidR="001D6BD5" w:rsidRPr="00DF6E40" w:rsidTr="005525C2">
        <w:trPr>
          <w:trHeight w:val="440"/>
        </w:trPr>
        <w:tc>
          <w:tcPr>
            <w:tcW w:w="8856" w:type="dxa"/>
            <w:gridSpan w:val="14"/>
            <w:tcBorders>
              <w:bottom w:val="single" w:sz="4" w:space="0" w:color="auto"/>
            </w:tcBorders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Naziv predmeta: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 xml:space="preserve">                                                                     </w:t>
            </w:r>
            <w:r w:rsidRPr="006261E1">
              <w:rPr>
                <w:rFonts w:ascii="Arial" w:hAnsi="Arial" w:cs="Arial"/>
                <w:b/>
                <w:color w:val="000000"/>
                <w:sz w:val="16"/>
                <w:szCs w:val="16"/>
                <w:lang w:val="sr-Latn-CS"/>
              </w:rPr>
              <w:t>OBLIGACIONOPRAVNA KLINIKA</w:t>
            </w:r>
          </w:p>
        </w:tc>
      </w:tr>
      <w:tr w:rsidR="001D6BD5" w:rsidRPr="00DF6E40" w:rsidTr="005525C2">
        <w:trPr>
          <w:trHeight w:val="440"/>
        </w:trPr>
        <w:tc>
          <w:tcPr>
            <w:tcW w:w="1860" w:type="dxa"/>
            <w:gridSpan w:val="5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28" w:right="-3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Šifra predmeta</w:t>
            </w:r>
          </w:p>
        </w:tc>
        <w:tc>
          <w:tcPr>
            <w:tcW w:w="1575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13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Status predmeta</w:t>
            </w:r>
          </w:p>
        </w:tc>
        <w:tc>
          <w:tcPr>
            <w:tcW w:w="1035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13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Semestar</w:t>
            </w:r>
          </w:p>
        </w:tc>
        <w:tc>
          <w:tcPr>
            <w:tcW w:w="1665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Broj ECTS kredita</w:t>
            </w:r>
          </w:p>
        </w:tc>
        <w:tc>
          <w:tcPr>
            <w:tcW w:w="2721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Fond časova</w:t>
            </w:r>
          </w:p>
        </w:tc>
      </w:tr>
      <w:tr w:rsidR="001D6BD5" w:rsidRPr="00DF6E40" w:rsidTr="005525C2">
        <w:trPr>
          <w:trHeight w:val="440"/>
        </w:trPr>
        <w:tc>
          <w:tcPr>
            <w:tcW w:w="1860" w:type="dxa"/>
            <w:gridSpan w:val="5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1D6BD5" w:rsidRPr="00DF6E40" w:rsidRDefault="001D6BD5" w:rsidP="005525C2">
            <w:pPr>
              <w:keepNext/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color w:val="000000"/>
                <w:sz w:val="16"/>
                <w:szCs w:val="16"/>
                <w:lang w:val="sr-Latn-CS"/>
              </w:rPr>
            </w:pPr>
          </w:p>
        </w:tc>
        <w:tc>
          <w:tcPr>
            <w:tcW w:w="1575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6BD5" w:rsidRPr="00DF6E40" w:rsidRDefault="001D6BD5" w:rsidP="005525C2">
            <w:pPr>
              <w:keepNext/>
              <w:spacing w:after="0" w:line="240" w:lineRule="auto"/>
              <w:ind w:left="12"/>
              <w:jc w:val="center"/>
              <w:outlineLvl w:val="1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Obavezan</w:t>
            </w:r>
          </w:p>
        </w:tc>
        <w:tc>
          <w:tcPr>
            <w:tcW w:w="1035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6BD5" w:rsidRPr="00DF6E40" w:rsidRDefault="001D6BD5" w:rsidP="005525C2">
            <w:pPr>
              <w:keepNext/>
              <w:spacing w:after="0" w:line="240" w:lineRule="auto"/>
              <w:ind w:left="12"/>
              <w:jc w:val="center"/>
              <w:outlineLvl w:val="1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I</w:t>
            </w:r>
          </w:p>
        </w:tc>
        <w:tc>
          <w:tcPr>
            <w:tcW w:w="1665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12"/>
              <w:jc w:val="center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2721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1D6BD5" w:rsidRPr="00DF6E40" w:rsidRDefault="001D6BD5" w:rsidP="005525C2">
            <w:pPr>
              <w:keepNext/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4+1</w:t>
            </w:r>
          </w:p>
        </w:tc>
      </w:tr>
      <w:tr w:rsidR="001D6BD5" w:rsidRPr="00DF6E40" w:rsidTr="005525C2">
        <w:trPr>
          <w:trHeight w:val="440"/>
        </w:trPr>
        <w:tc>
          <w:tcPr>
            <w:tcW w:w="8856" w:type="dxa"/>
            <w:gridSpan w:val="14"/>
            <w:tcBorders>
              <w:bottom w:val="single" w:sz="4" w:space="0" w:color="auto"/>
            </w:tcBorders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Studijski programi za koje se organizuje:</w:t>
            </w:r>
          </w:p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Akademski master studijski program Pravnog fakulteta Univerziteta Crne Gore</w:t>
            </w:r>
          </w:p>
        </w:tc>
      </w:tr>
      <w:tr w:rsidR="001D6BD5" w:rsidRPr="00DF6E40" w:rsidTr="005525C2">
        <w:trPr>
          <w:trHeight w:val="266"/>
        </w:trPr>
        <w:tc>
          <w:tcPr>
            <w:tcW w:w="8856" w:type="dxa"/>
            <w:gridSpan w:val="14"/>
            <w:tcBorders>
              <w:bottom w:val="single" w:sz="4" w:space="0" w:color="auto"/>
            </w:tcBorders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Uslovljenost drugim predmetima: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Nema uslovljenosti</w:t>
            </w:r>
          </w:p>
        </w:tc>
      </w:tr>
      <w:tr w:rsidR="001D6BD5" w:rsidRPr="00DF6E40" w:rsidTr="005525C2">
        <w:trPr>
          <w:trHeight w:val="242"/>
        </w:trPr>
        <w:tc>
          <w:tcPr>
            <w:tcW w:w="8856" w:type="dxa"/>
            <w:gridSpan w:val="14"/>
            <w:tcBorders>
              <w:bottom w:val="single" w:sz="4" w:space="0" w:color="auto"/>
            </w:tcBorders>
          </w:tcPr>
          <w:p w:rsidR="001D6BD5" w:rsidRPr="00DF6E40" w:rsidRDefault="001D6BD5" w:rsidP="005525C2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eastAsia="Arial Unicode MS" w:hAnsi="Arial" w:cs="Arial"/>
                <w:b/>
                <w:i/>
                <w:sz w:val="16"/>
                <w:szCs w:val="16"/>
                <w:lang w:val="sr-Latn-CS"/>
              </w:rPr>
              <w:t>Ciljevi izučavanja predmeta:</w:t>
            </w:r>
            <w:r w:rsidRPr="00DF6E40">
              <w:rPr>
                <w:rFonts w:ascii="Arial" w:eastAsia="Arial Unicode MS" w:hAnsi="Arial" w:cs="Arial"/>
                <w:color w:val="000000"/>
                <w:sz w:val="16"/>
                <w:szCs w:val="16"/>
                <w:lang w:val="sr-Latn-CS"/>
              </w:rPr>
              <w:t xml:space="preserve">  </w:t>
            </w:r>
          </w:p>
          <w:p w:rsidR="001D6BD5" w:rsidRPr="00DF6E40" w:rsidRDefault="001D6BD5" w:rsidP="005525C2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eastAsia="Arial Unicode MS" w:hAnsi="Arial" w:cs="Arial"/>
                <w:color w:val="000000"/>
                <w:sz w:val="16"/>
                <w:szCs w:val="16"/>
                <w:lang w:val="sr-Latn-CS"/>
              </w:rPr>
              <w:t xml:space="preserve">Obnavljanje i praktična primjena teorijskih znanja stečenih iz predmeta Obligaciono pravo.  </w:t>
            </w:r>
          </w:p>
          <w:p w:rsidR="001D6BD5" w:rsidRPr="00DF6E40" w:rsidRDefault="001D6BD5" w:rsidP="005525C2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eastAsia="Arial Unicode MS" w:hAnsi="Arial" w:cs="Arial"/>
                <w:color w:val="000000"/>
                <w:sz w:val="16"/>
                <w:szCs w:val="16"/>
                <w:lang w:val="sr-Latn-CS"/>
              </w:rPr>
              <w:t xml:space="preserve">Čitanje opštih i pojedinačnih pravnih akata </w:t>
            </w:r>
          </w:p>
          <w:p w:rsidR="001D6BD5" w:rsidRPr="00DF6E40" w:rsidRDefault="001D6BD5" w:rsidP="005525C2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eastAsia="Arial Unicode MS" w:hAnsi="Arial" w:cs="Arial"/>
                <w:color w:val="000000"/>
                <w:sz w:val="16"/>
                <w:szCs w:val="16"/>
                <w:lang w:val="sr-Latn-CS"/>
              </w:rPr>
              <w:t xml:space="preserve">Sticanje trajno primjenjivih znanja kroz simulaciju, metod slučaja, praktičan rad i eksternatsku praksu </w:t>
            </w:r>
          </w:p>
          <w:p w:rsidR="001D6BD5" w:rsidRPr="00DF6E40" w:rsidRDefault="001D6BD5" w:rsidP="005525C2">
            <w:pPr>
              <w:spacing w:after="0" w:line="240" w:lineRule="auto"/>
              <w:rPr>
                <w:rFonts w:ascii="Arial" w:eastAsia="Arial Unicode MS" w:hAnsi="Arial" w:cs="Arial"/>
                <w:color w:val="800000"/>
                <w:sz w:val="16"/>
                <w:szCs w:val="16"/>
                <w:lang w:val="sr-Latn-CS"/>
              </w:rPr>
            </w:pPr>
            <w:r w:rsidRPr="00DF6E40">
              <w:rPr>
                <w:rFonts w:ascii="Arial" w:eastAsia="Arial Unicode MS" w:hAnsi="Arial" w:cs="Arial"/>
                <w:color w:val="000000"/>
                <w:sz w:val="16"/>
                <w:szCs w:val="16"/>
                <w:lang w:val="sr-Latn-CS"/>
              </w:rPr>
              <w:t xml:space="preserve">Supsumcija konkretnih slučajeva i pravnih problema pod opšte norme </w:t>
            </w:r>
          </w:p>
        </w:tc>
      </w:tr>
      <w:tr w:rsidR="001D6BD5" w:rsidRPr="00DF6E40" w:rsidTr="005525C2">
        <w:trPr>
          <w:trHeight w:val="170"/>
        </w:trPr>
        <w:tc>
          <w:tcPr>
            <w:tcW w:w="8856" w:type="dxa"/>
            <w:gridSpan w:val="14"/>
            <w:tcBorders>
              <w:bottom w:val="single" w:sz="4" w:space="0" w:color="auto"/>
            </w:tcBorders>
          </w:tcPr>
          <w:p w:rsidR="001D6BD5" w:rsidRPr="00DF6E40" w:rsidRDefault="001D6BD5" w:rsidP="005525C2">
            <w:pPr>
              <w:spacing w:after="0" w:line="240" w:lineRule="auto"/>
              <w:rPr>
                <w:rFonts w:ascii="Arial" w:eastAsia="Arial Unicode MS" w:hAnsi="Arial" w:cs="Arial"/>
                <w:b/>
                <w:color w:val="800000"/>
                <w:sz w:val="16"/>
                <w:szCs w:val="16"/>
                <w:lang w:val="hr-HR"/>
              </w:rPr>
            </w:pPr>
            <w:r w:rsidRPr="00DF6E40">
              <w:rPr>
                <w:rFonts w:ascii="Arial" w:eastAsia="Arial Unicode MS" w:hAnsi="Arial" w:cs="Arial"/>
                <w:b/>
                <w:sz w:val="16"/>
                <w:szCs w:val="16"/>
                <w:lang w:val="sr-Latn-CS"/>
              </w:rPr>
              <w:t>Ime i prezime nastavnika: Prof. dr Snežana Miladinović</w:t>
            </w:r>
          </w:p>
        </w:tc>
      </w:tr>
      <w:tr w:rsidR="001D6BD5" w:rsidRPr="00DF6E40" w:rsidTr="005525C2">
        <w:trPr>
          <w:trHeight w:val="227"/>
        </w:trPr>
        <w:tc>
          <w:tcPr>
            <w:tcW w:w="8856" w:type="dxa"/>
            <w:gridSpan w:val="14"/>
            <w:tcBorders>
              <w:bottom w:val="single" w:sz="4" w:space="0" w:color="auto"/>
            </w:tcBorders>
          </w:tcPr>
          <w:p w:rsidR="001D6BD5" w:rsidRPr="00DF6E40" w:rsidRDefault="001D6BD5" w:rsidP="005525C2">
            <w:pPr>
              <w:spacing w:after="0" w:line="240" w:lineRule="auto"/>
              <w:jc w:val="both"/>
              <w:rPr>
                <w:rFonts w:ascii="Arial" w:hAnsi="Arial" w:cs="Arial"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ca-ES"/>
              </w:rPr>
              <w:t>Metod nastave i savladanja gradiva:</w:t>
            </w:r>
            <w:r w:rsidRPr="00DF6E40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</w:p>
          <w:p w:rsidR="001D6BD5" w:rsidRPr="00DF6E40" w:rsidRDefault="001D6BD5" w:rsidP="005525C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b/>
                <w:i/>
                <w:w w:val="96"/>
                <w:sz w:val="16"/>
                <w:szCs w:val="16"/>
                <w:lang w:val="ca-ES"/>
              </w:rPr>
              <w:t>I Predavanja o kliničkom pravničkom obrazovanju; konsultacije; praktični rad sa izabranim sudijom i  advokatom</w:t>
            </w: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 xml:space="preserve"> (eksternatska praksa)</w:t>
            </w:r>
          </w:p>
          <w:p w:rsidR="001D6BD5" w:rsidRPr="00DF6E40" w:rsidRDefault="001D6BD5" w:rsidP="005525C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II Tehnika pisanja pravnih dokumenata i tehnika intervjuisanja</w:t>
            </w:r>
          </w:p>
          <w:p w:rsidR="001D6BD5" w:rsidRPr="00DF6E40" w:rsidRDefault="001D6BD5" w:rsidP="005525C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b/>
                <w:i/>
                <w:w w:val="96"/>
                <w:sz w:val="16"/>
                <w:szCs w:val="16"/>
                <w:lang w:val="ca-ES"/>
              </w:rPr>
              <w:t xml:space="preserve">III  Izrada “domaćih zadataka” </w:t>
            </w:r>
          </w:p>
          <w:p w:rsidR="001D6BD5" w:rsidRPr="00DF6E40" w:rsidRDefault="001D6BD5" w:rsidP="005525C2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Arial" w:hAnsi="Arial" w:cs="Arial"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b/>
                <w:i/>
                <w:w w:val="96"/>
                <w:sz w:val="16"/>
                <w:szCs w:val="16"/>
                <w:lang w:val="ca-ES"/>
              </w:rPr>
              <w:t>IV  Praktičan rad na času</w:t>
            </w:r>
            <w:r w:rsidRPr="00DF6E40">
              <w:rPr>
                <w:rFonts w:ascii="Arial" w:hAnsi="Arial" w:cs="Arial"/>
                <w:b/>
                <w:w w:val="96"/>
                <w:sz w:val="16"/>
                <w:szCs w:val="16"/>
                <w:lang w:val="ca-ES"/>
              </w:rPr>
              <w:t>:</w:t>
            </w: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 xml:space="preserve"> </w:t>
            </w:r>
          </w:p>
          <w:p w:rsidR="001D6BD5" w:rsidRPr="00DF6E40" w:rsidRDefault="001D6BD5" w:rsidP="005525C2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Arial" w:hAnsi="Arial" w:cs="Arial"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 xml:space="preserve">A) 1) Čitanje zakonskih tekstova i sudskih odluka i njihova analiza; 2) Vježbe slušanja, zapažanja i ubjeđivanja; 3) Rad u parovima; 4) Diskusija u grupama i grupno rješavanje problema; 5) Mini-debate i lične opservacije; 6) Sokratov metod; 7) “Pro et contra”; 8) Analiza slučaja i pravnog stava; 9) “Rješavamo moj, slučaj mog prijatelja ili rođaka” 10) Samoocjenjivanje i ocjenjivanje kolega. </w:t>
            </w:r>
          </w:p>
          <w:p w:rsidR="001D6BD5" w:rsidRPr="00DF6E40" w:rsidRDefault="001D6BD5" w:rsidP="005525C2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Arial" w:hAnsi="Arial" w:cs="Arial"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>B) Simulacije.</w:t>
            </w:r>
          </w:p>
          <w:p w:rsidR="001D6BD5" w:rsidRPr="00DF6E40" w:rsidRDefault="001D6BD5" w:rsidP="005525C2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Arial" w:hAnsi="Arial" w:cs="Arial"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b/>
                <w:i/>
                <w:w w:val="96"/>
                <w:sz w:val="16"/>
                <w:szCs w:val="16"/>
                <w:lang w:val="ca-ES"/>
              </w:rPr>
              <w:t>V Eksternatska praksa:</w:t>
            </w: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 xml:space="preserve"> Odlazak u sud i advokatsku kancelariju (individualno) i angažovanje sudija u radu Klinike.</w:t>
            </w:r>
          </w:p>
          <w:p w:rsidR="001D6BD5" w:rsidRPr="00DF6E40" w:rsidRDefault="001D6BD5" w:rsidP="005525C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b/>
                <w:i/>
                <w:w w:val="96"/>
                <w:sz w:val="16"/>
                <w:szCs w:val="16"/>
                <w:lang w:val="ca-ES"/>
              </w:rPr>
              <w:t xml:space="preserve">VI  </w:t>
            </w: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Testiranja i završni ispit</w:t>
            </w:r>
          </w:p>
        </w:tc>
      </w:tr>
      <w:tr w:rsidR="001D6BD5" w:rsidRPr="00DF6E40" w:rsidTr="005525C2">
        <w:trPr>
          <w:trHeight w:val="227"/>
        </w:trPr>
        <w:tc>
          <w:tcPr>
            <w:tcW w:w="8856" w:type="dxa"/>
            <w:gridSpan w:val="14"/>
            <w:tcBorders>
              <w:bottom w:val="single" w:sz="4" w:space="0" w:color="auto"/>
            </w:tcBorders>
          </w:tcPr>
          <w:p w:rsidR="001D6BD5" w:rsidRPr="00DF6E40" w:rsidRDefault="001D6BD5" w:rsidP="005525C2">
            <w:pPr>
              <w:spacing w:after="0" w:line="240" w:lineRule="auto"/>
              <w:ind w:firstLine="720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ca-ES"/>
              </w:rPr>
              <w:t>ISHODI  UČENJA</w:t>
            </w:r>
            <w:r w:rsidRPr="00DF6E40">
              <w:rPr>
                <w:rFonts w:ascii="Arial" w:hAnsi="Arial" w:cs="Arial"/>
                <w:b/>
                <w:sz w:val="16"/>
                <w:szCs w:val="16"/>
                <w:lang w:val="ca-ES"/>
              </w:rPr>
              <w:tab/>
            </w:r>
          </w:p>
          <w:p w:rsidR="001D6BD5" w:rsidRPr="00DF6E40" w:rsidRDefault="001D6BD5" w:rsidP="005525C2">
            <w:pPr>
              <w:spacing w:after="0" w:line="240" w:lineRule="auto"/>
              <w:ind w:firstLine="360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 xml:space="preserve">Nakon što student položi ispit Obligacionopravna klinika u mogućnosti je da: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Zahvaljujući kliničkom pravnom obrazovanju i metodama rada na klinici (kao što su: 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 xml:space="preserve">metod slučaja, 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Sokratov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metod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>, “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pro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et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contra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 xml:space="preserve">”, 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debate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i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li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>č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ne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 xml:space="preserve">opservacije, rad u paru, metod simulacije) kompetentno i profesionalno primijenjuje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znanje stečeno iz predmeta Obligaciono pravo; Da se, zahvaljujući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 xml:space="preserve"> primjeni kliničkog metoda kao 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interaktivnog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 xml:space="preserve">, 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kooperativnog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i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participativnog metoda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pravni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>č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kog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obrazovanja,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 xml:space="preserve"> na profesionalan i kompetentan način 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suo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>č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i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sa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konkretnim slučajem u praksi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 xml:space="preserve">, svestrano 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prou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>č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 xml:space="preserve">i 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>slučaj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 xml:space="preserve">, izvrši preliminarnu identifikaciju problema, problem hronološki sagleda, prikupi i rezimira dobijene činjenice, izvrši preliminarnu pravnu kvalifikaciju i na kraju pravilno izvrši supsumciju; </w:t>
            </w:r>
            <w:r w:rsidRPr="00DF6E40">
              <w:rPr>
                <w:rFonts w:ascii="Arial" w:hAnsi="Arial" w:cs="Arial"/>
                <w:sz w:val="16"/>
                <w:szCs w:val="16"/>
                <w:lang w:val="sr-Latn-CS"/>
              </w:rPr>
              <w:t xml:space="preserve">Profesionalno, odgovorno i savjesno vodi pravni intervju imajući uvijek u vidu značaj etapa i tehnika njegovog vođenja za konačan ishod i rezultat rada; Kompetentno i znalački čita i analizira zakonske tekstove, sudske odluke, piše podneske i formira omot spisa; Poštuje, afirmiše i štiti principe na kojima se temelje pravni profesionalizam i pravna etika. </w:t>
            </w:r>
          </w:p>
          <w:p w:rsidR="001D6BD5" w:rsidRPr="00DF6E40" w:rsidRDefault="001D6BD5" w:rsidP="005525C2">
            <w:pPr>
              <w:spacing w:after="0" w:line="240" w:lineRule="auto"/>
              <w:ind w:left="720"/>
              <w:jc w:val="both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</w:p>
        </w:tc>
      </w:tr>
      <w:tr w:rsidR="001D6BD5" w:rsidRPr="00DF6E40" w:rsidTr="005525C2">
        <w:trPr>
          <w:cantSplit/>
          <w:trHeight w:val="162"/>
        </w:trPr>
        <w:tc>
          <w:tcPr>
            <w:tcW w:w="8856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D6BD5" w:rsidRPr="00DF6E40" w:rsidRDefault="001D6BD5" w:rsidP="005525C2">
            <w:pPr>
              <w:keepNext/>
              <w:spacing w:after="0" w:line="240" w:lineRule="auto"/>
              <w:outlineLvl w:val="2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  <w:t xml:space="preserve">PLAN RADA </w:t>
            </w:r>
          </w:p>
        </w:tc>
      </w:tr>
      <w:tr w:rsidR="001D6BD5" w:rsidRPr="00DF6E40" w:rsidTr="005525C2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 xml:space="preserve">Nedjelja </w:t>
            </w:r>
          </w:p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i datum</w:t>
            </w:r>
          </w:p>
        </w:tc>
        <w:tc>
          <w:tcPr>
            <w:tcW w:w="7489" w:type="dxa"/>
            <w:gridSpan w:val="1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i/>
                <w:sz w:val="16"/>
                <w:szCs w:val="16"/>
                <w:lang w:val="sr-Latn-CS"/>
              </w:rPr>
              <w:t>Naziv metodskih jedinica za predavanja(P), vježbe (V) i  ostale nastavne sadržaje (O); Planirani oblik  provjere znanja (Pz)</w:t>
            </w:r>
          </w:p>
        </w:tc>
      </w:tr>
      <w:tr w:rsidR="001D6BD5" w:rsidRPr="00DF6E40" w:rsidTr="005525C2">
        <w:trPr>
          <w:cantSplit/>
          <w:trHeight w:val="140"/>
        </w:trPr>
        <w:tc>
          <w:tcPr>
            <w:tcW w:w="1824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108" w:right="-91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Pripremna nedjelja</w:t>
            </w:r>
          </w:p>
        </w:tc>
        <w:tc>
          <w:tcPr>
            <w:tcW w:w="7032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sz w:val="16"/>
                <w:szCs w:val="16"/>
                <w:lang w:val="sr-Latn-CS"/>
              </w:rPr>
              <w:t>Upoznavanje, priprema i upis semestra.</w:t>
            </w:r>
          </w:p>
        </w:tc>
      </w:tr>
      <w:tr w:rsidR="001D6BD5" w:rsidRPr="00DF6E40" w:rsidTr="005525C2">
        <w:trPr>
          <w:cantSplit/>
          <w:trHeight w:val="140"/>
        </w:trPr>
        <w:tc>
          <w:tcPr>
            <w:tcW w:w="136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25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sl-SI"/>
              </w:rPr>
              <w:t>I nedelja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108" w:right="-91"/>
              <w:jc w:val="center"/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  <w:t>Predavanje na temu: Pojava, razvoj i značaj pravnih klinika</w:t>
            </w:r>
          </w:p>
        </w:tc>
      </w:tr>
      <w:tr w:rsidR="001D6BD5" w:rsidRPr="00DF6E40" w:rsidTr="005525C2">
        <w:trPr>
          <w:cantSplit/>
          <w:trHeight w:val="140"/>
        </w:trPr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25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sl-SI"/>
              </w:rPr>
              <w:t>II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108" w:right="-91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hr-HR"/>
              </w:rPr>
              <w:t>Područja primjene pravnih klinika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>: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 xml:space="preserve"> Intervjuisanje i konsultacije sa klijentima; Izrada strategijskog plana; Usvajanje kodeksa pravne etike; Informaciona tehnologija i pravna informatika; Komunikacija i psihologija vođenja razgovora; Istupanje advokata (plan rada, analiza, retorika); Mogućnosti alternativnog rješavanja sporova (pregovaranje, medijacija)</w:t>
            </w:r>
          </w:p>
        </w:tc>
      </w:tr>
      <w:tr w:rsidR="001D6BD5" w:rsidRPr="00DF6E40" w:rsidTr="005525C2">
        <w:trPr>
          <w:cantSplit/>
          <w:trHeight w:val="140"/>
        </w:trPr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25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sl-SI"/>
              </w:rPr>
              <w:t>III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108" w:right="-91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ca-ES"/>
              </w:rPr>
              <w:t xml:space="preserve">Predavanje na temu : </w:t>
            </w:r>
          </w:p>
          <w:p w:rsidR="001D6BD5" w:rsidRPr="00DF6E40" w:rsidRDefault="001D6BD5" w:rsidP="005525C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 xml:space="preserve">a) </w:t>
            </w:r>
            <w:r w:rsidRPr="00DF6E40">
              <w:rPr>
                <w:rFonts w:ascii="Arial" w:hAnsi="Arial" w:cs="Arial"/>
                <w:sz w:val="16"/>
                <w:szCs w:val="16"/>
                <w:lang w:val="sr-Latn-CS"/>
              </w:rPr>
              <w:t>Pojam </w:t>
            </w:r>
            <w:r w:rsidRPr="00DF6E40">
              <w:rPr>
                <w:rFonts w:ascii="Arial" w:hAnsi="Arial" w:cs="Arial"/>
                <w:iCs/>
                <w:sz w:val="16"/>
                <w:szCs w:val="16"/>
                <w:lang w:val="sr-Latn-CS"/>
              </w:rPr>
              <w:t>etike</w:t>
            </w:r>
            <w:r w:rsidRPr="00DF6E40">
              <w:rPr>
                <w:rFonts w:ascii="Arial" w:hAnsi="Arial" w:cs="Arial"/>
                <w:sz w:val="16"/>
                <w:szCs w:val="16"/>
                <w:lang w:val="sr-Latn-CS"/>
              </w:rPr>
              <w:t>, Grane etike, Predmet normativne etike, Odnos prava i morala (osnovne teorije, normativna uzajamnost, pojavni oblici).</w:t>
            </w:r>
          </w:p>
          <w:p w:rsidR="001D6BD5" w:rsidRPr="00DF6E40" w:rsidRDefault="001D6BD5" w:rsidP="005525C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sz w:val="16"/>
                <w:szCs w:val="16"/>
                <w:lang w:val="sr-Latn-CS"/>
              </w:rPr>
              <w:t>b) Kodeksi profesionalne etike, načela sudske i advokatke etike.</w:t>
            </w:r>
          </w:p>
        </w:tc>
      </w:tr>
      <w:tr w:rsidR="001D6BD5" w:rsidRPr="00DF6E40" w:rsidTr="005525C2">
        <w:trPr>
          <w:cantSplit/>
          <w:trHeight w:val="140"/>
        </w:trPr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25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sl-SI"/>
              </w:rPr>
              <w:t>IV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108" w:right="-91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Praktičan rad na primjerima iz sudske prakse i objašnjenjem metoda rada na Klinici i to</w:t>
            </w:r>
            <w:r w:rsidRPr="00DF6E40">
              <w:rPr>
                <w:rFonts w:ascii="Arial" w:hAnsi="Arial" w:cs="Arial"/>
                <w:i/>
                <w:sz w:val="16"/>
                <w:szCs w:val="16"/>
                <w:lang w:val="sr-Latn-CS"/>
              </w:rPr>
              <w:t>:</w:t>
            </w:r>
            <w:r w:rsidRPr="00DF6E40">
              <w:rPr>
                <w:rFonts w:ascii="Arial" w:hAnsi="Arial" w:cs="Arial"/>
                <w:sz w:val="16"/>
                <w:szCs w:val="16"/>
                <w:lang w:val="sr-Latn-CS"/>
              </w:rPr>
              <w:t xml:space="preserve"> 1. Metod slučaja; 2.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Sokratov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metod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; 3. “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Pro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et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contra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”; 4.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vje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ž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be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slu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š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anja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,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zapa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ž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anja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i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ubje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đ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ivanja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; 5. č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itanje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zakonskih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tekstova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i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sudskih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odluka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i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njihova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analiza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; 6. 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rad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u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parovima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; 7.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diskusija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u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grupama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i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grupno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rje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š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avanje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problema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; 8.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mini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-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debate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i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9.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li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č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ne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opservacije</w:t>
            </w:r>
          </w:p>
        </w:tc>
      </w:tr>
      <w:tr w:rsidR="001D6BD5" w:rsidRPr="00DF6E40" w:rsidTr="005525C2">
        <w:trPr>
          <w:cantSplit/>
          <w:trHeight w:val="140"/>
        </w:trPr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25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sl-SI"/>
              </w:rPr>
              <w:t>V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108" w:right="-91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Praktičan rad na primjerima iz sudske prakse:</w:t>
            </w:r>
            <w:r w:rsidRPr="00DF6E40">
              <w:rPr>
                <w:rFonts w:ascii="Arial" w:hAnsi="Arial" w:cs="Arial"/>
                <w:sz w:val="16"/>
                <w:szCs w:val="16"/>
                <w:lang w:val="sr-Latn-CS"/>
              </w:rPr>
              <w:t xml:space="preserve"> Ugovorno pravo - zaključenje i dejstvo ugovora (ocjena rezultata rada)</w:t>
            </w:r>
          </w:p>
        </w:tc>
      </w:tr>
      <w:tr w:rsidR="001D6BD5" w:rsidRPr="00DF6E40" w:rsidTr="005525C2">
        <w:trPr>
          <w:cantSplit/>
          <w:trHeight w:val="140"/>
        </w:trPr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25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sl-SI"/>
              </w:rPr>
              <w:t>VI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108" w:right="-91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Praktičan rad na primjerima iz sudske prakse</w:t>
            </w:r>
            <w:r w:rsidRPr="00DF6E40">
              <w:rPr>
                <w:rFonts w:ascii="Arial" w:hAnsi="Arial" w:cs="Arial"/>
                <w:sz w:val="16"/>
                <w:szCs w:val="16"/>
                <w:lang w:val="sl-SI"/>
              </w:rPr>
              <w:t>: Ugovorno pravo - ispunjenje ugovornih obaveza i prestanak ugovora (ocjena rezultata rada)</w:t>
            </w:r>
          </w:p>
        </w:tc>
      </w:tr>
      <w:tr w:rsidR="001D6BD5" w:rsidRPr="00DF6E40" w:rsidTr="005525C2">
        <w:trPr>
          <w:cantSplit/>
          <w:trHeight w:val="140"/>
        </w:trPr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25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108" w:right="-91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</w:pPr>
          </w:p>
        </w:tc>
        <w:tc>
          <w:tcPr>
            <w:tcW w:w="703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</w:tr>
      <w:tr w:rsidR="001D6BD5" w:rsidRPr="00DF6E40" w:rsidTr="005525C2">
        <w:trPr>
          <w:cantSplit/>
          <w:trHeight w:val="140"/>
        </w:trPr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25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sl-SI"/>
              </w:rPr>
              <w:t>VIII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108" w:right="-91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color w:val="000000"/>
                <w:sz w:val="16"/>
                <w:szCs w:val="16"/>
                <w:lang w:val="sl-SI"/>
              </w:rPr>
              <w:t xml:space="preserve">Provjera stečenog znanja: </w:t>
            </w:r>
          </w:p>
          <w:p w:rsidR="001D6BD5" w:rsidRPr="00DF6E40" w:rsidRDefault="001D6BD5" w:rsidP="001D6BD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  <w:t>Kratka analiza prethodnog rada;</w:t>
            </w:r>
          </w:p>
          <w:p w:rsidR="001D6BD5" w:rsidRPr="00DF6E40" w:rsidRDefault="001D6BD5" w:rsidP="001D6BD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  <w:t xml:space="preserve">Test: </w:t>
            </w:r>
            <w:r w:rsidRPr="00DF6E40">
              <w:rPr>
                <w:rFonts w:ascii="Arial" w:hAnsi="Arial" w:cs="Arial"/>
                <w:i/>
                <w:color w:val="000000"/>
                <w:sz w:val="16"/>
                <w:szCs w:val="16"/>
                <w:lang w:val="sl-SI"/>
              </w:rPr>
              <w:t>slučaj iz sudske prakse koje studenti pojedinačno i samostalo rade na času</w:t>
            </w:r>
          </w:p>
          <w:p w:rsidR="001D6BD5" w:rsidRPr="00DF6E40" w:rsidRDefault="001D6BD5" w:rsidP="001D6BD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  <w:t xml:space="preserve">Ocjena testova </w:t>
            </w:r>
          </w:p>
        </w:tc>
      </w:tr>
      <w:tr w:rsidR="001D6BD5" w:rsidRPr="00DF6E40" w:rsidTr="005525C2">
        <w:trPr>
          <w:cantSplit/>
          <w:trHeight w:val="140"/>
        </w:trPr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25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sl-SI"/>
              </w:rPr>
              <w:lastRenderedPageBreak/>
              <w:t>IX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108" w:right="-91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Praktičan rad na primjerima iz sudske prakse</w:t>
            </w:r>
            <w:r w:rsidRPr="00DF6E40">
              <w:rPr>
                <w:rFonts w:ascii="Arial" w:hAnsi="Arial" w:cs="Arial"/>
                <w:b/>
                <w:sz w:val="16"/>
                <w:szCs w:val="16"/>
                <w:lang w:val="sl-SI"/>
              </w:rPr>
              <w:t>:</w:t>
            </w:r>
            <w:r w:rsidRPr="00DF6E40">
              <w:rPr>
                <w:rFonts w:ascii="Arial" w:hAnsi="Arial" w:cs="Arial"/>
                <w:sz w:val="16"/>
                <w:szCs w:val="16"/>
                <w:lang w:val="sl-SI"/>
              </w:rPr>
              <w:t xml:space="preserve"> Naknada materijalne štete </w:t>
            </w:r>
          </w:p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sz w:val="16"/>
                <w:szCs w:val="16"/>
                <w:lang w:val="sl-SI"/>
              </w:rPr>
              <w:t>(podjela zadataka, davanje instrukcija za rad, analiza zakonskih rješenja)</w:t>
            </w:r>
          </w:p>
        </w:tc>
      </w:tr>
      <w:tr w:rsidR="001D6BD5" w:rsidRPr="00DF6E40" w:rsidTr="005525C2">
        <w:trPr>
          <w:cantSplit/>
          <w:trHeight w:val="140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25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sl-SI"/>
              </w:rPr>
              <w:t>X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108" w:right="-91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Praktičan rad na primjerima iz sudske prakse</w:t>
            </w:r>
            <w:r w:rsidRPr="00DF6E40">
              <w:rPr>
                <w:rFonts w:ascii="Arial" w:hAnsi="Arial" w:cs="Arial"/>
                <w:sz w:val="16"/>
                <w:szCs w:val="16"/>
                <w:lang w:val="sl-SI"/>
              </w:rPr>
              <w:t>: Naknada materijalne štete (ocjena rezultata rada)</w:t>
            </w:r>
          </w:p>
        </w:tc>
      </w:tr>
      <w:tr w:rsidR="001D6BD5" w:rsidRPr="00DF6E40" w:rsidTr="005525C2">
        <w:trPr>
          <w:cantSplit/>
          <w:trHeight w:val="140"/>
        </w:trPr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25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sl-SI"/>
              </w:rPr>
              <w:t>XI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108" w:right="-91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Praktičan rad na primjerima iz sudske prakse:</w:t>
            </w:r>
            <w:r w:rsidRPr="00DF6E40">
              <w:rPr>
                <w:rFonts w:ascii="Arial" w:hAnsi="Arial" w:cs="Arial"/>
                <w:sz w:val="16"/>
                <w:szCs w:val="16"/>
                <w:lang w:val="sr-Latn-CS"/>
              </w:rPr>
              <w:t xml:space="preserve"> Naknada nematerijalne štete (ocjena rezultata rada)</w:t>
            </w:r>
          </w:p>
        </w:tc>
      </w:tr>
      <w:tr w:rsidR="001D6BD5" w:rsidRPr="00DF6E40" w:rsidTr="005525C2">
        <w:trPr>
          <w:cantSplit/>
          <w:trHeight w:val="287"/>
        </w:trPr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25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sl-SI"/>
              </w:rPr>
              <w:t>XII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108" w:right="-91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Praktičan rad na primjerima iz sudske prakse</w:t>
            </w:r>
            <w:r w:rsidRPr="00DF6E40">
              <w:rPr>
                <w:rFonts w:ascii="Arial" w:hAnsi="Arial" w:cs="Arial"/>
                <w:sz w:val="16"/>
                <w:szCs w:val="16"/>
                <w:lang w:val="sr-Latn-CS"/>
              </w:rPr>
              <w:t>: Ostali izvori obligacija (Nezvano vršenje tuđih poslova; Neosnovano obogaćenje; Javno obećanje nagrade) Obezbješenje obligacije, Zamjena subjekata u obligacijama; Sredstva obezbjeđenja obligacija, Zamjena subjekata u obligacijama (ocjena rezultata rada)</w:t>
            </w:r>
          </w:p>
        </w:tc>
      </w:tr>
      <w:tr w:rsidR="001D6BD5" w:rsidRPr="00DF6E40" w:rsidTr="005525C2">
        <w:trPr>
          <w:cantSplit/>
          <w:trHeight w:val="367"/>
        </w:trPr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25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sl-SI"/>
              </w:rPr>
              <w:t>XIII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108" w:right="-91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Eksternatska praksa</w:t>
            </w:r>
            <w:r w:rsidRPr="00DF6E40">
              <w:rPr>
                <w:rFonts w:ascii="Arial" w:hAnsi="Arial" w:cs="Arial"/>
                <w:sz w:val="16"/>
                <w:szCs w:val="16"/>
                <w:lang w:val="sl-SI"/>
              </w:rPr>
              <w:t xml:space="preserve">: Praktičan rad na primjerima iz sudske prakse sa sudijom i advokatom </w:t>
            </w:r>
          </w:p>
        </w:tc>
      </w:tr>
      <w:tr w:rsidR="001D6BD5" w:rsidRPr="00DF6E40" w:rsidTr="005525C2">
        <w:trPr>
          <w:cantSplit/>
          <w:trHeight w:val="348"/>
        </w:trPr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sl-SI"/>
              </w:rPr>
              <w:t>XIV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right="-91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Eksternatska praksa</w:t>
            </w:r>
            <w:r w:rsidRPr="00DF6E40">
              <w:rPr>
                <w:rFonts w:ascii="Arial" w:hAnsi="Arial" w:cs="Arial"/>
                <w:sz w:val="16"/>
                <w:szCs w:val="16"/>
                <w:lang w:val="sl-SI"/>
              </w:rPr>
              <w:t>: Praktičan rad na primjerima iz sudske prakse sa sudijom i advokatom</w:t>
            </w:r>
          </w:p>
        </w:tc>
      </w:tr>
      <w:tr w:rsidR="001D6BD5" w:rsidRPr="00DF6E40" w:rsidTr="005525C2">
        <w:trPr>
          <w:cantSplit/>
          <w:trHeight w:val="140"/>
        </w:trPr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25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sl-SI"/>
              </w:rPr>
              <w:t>XV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108" w:right="-91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Eksternatska praksa</w:t>
            </w:r>
            <w:r w:rsidRPr="00DF6E40">
              <w:rPr>
                <w:rFonts w:ascii="Arial" w:hAnsi="Arial" w:cs="Arial"/>
                <w:sz w:val="16"/>
                <w:szCs w:val="16"/>
                <w:lang w:val="sl-SI"/>
              </w:rPr>
              <w:t>: Praktičan rad na primjerima iz sudske prakse sa sudijom i advokatom</w:t>
            </w:r>
          </w:p>
        </w:tc>
      </w:tr>
      <w:tr w:rsidR="001D6BD5" w:rsidRPr="00DF6E40" w:rsidTr="005525C2">
        <w:trPr>
          <w:cantSplit/>
          <w:trHeight w:val="140"/>
        </w:trPr>
        <w:tc>
          <w:tcPr>
            <w:tcW w:w="1824" w:type="dxa"/>
            <w:gridSpan w:val="4"/>
            <w:tcBorders>
              <w:top w:val="nil"/>
              <w:bottom w:val="dotted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XVI </w:t>
            </w:r>
          </w:p>
        </w:tc>
        <w:tc>
          <w:tcPr>
            <w:tcW w:w="7032" w:type="dxa"/>
            <w:gridSpan w:val="10"/>
            <w:tcBorders>
              <w:top w:val="nil"/>
              <w:bottom w:val="dotted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Završni ispiti </w:t>
            </w:r>
          </w:p>
        </w:tc>
      </w:tr>
      <w:tr w:rsidR="001D6BD5" w:rsidRPr="00DF6E40" w:rsidTr="005525C2">
        <w:trPr>
          <w:cantSplit/>
          <w:trHeight w:val="140"/>
        </w:trPr>
        <w:tc>
          <w:tcPr>
            <w:tcW w:w="182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sl-SI"/>
              </w:rPr>
              <w:t>XVII</w:t>
            </w:r>
          </w:p>
        </w:tc>
        <w:tc>
          <w:tcPr>
            <w:tcW w:w="7032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 xml:space="preserve">Popravni ispitni rok </w:t>
            </w:r>
          </w:p>
        </w:tc>
      </w:tr>
      <w:tr w:rsidR="001D6BD5" w:rsidRPr="00DF6E40" w:rsidTr="005525C2">
        <w:trPr>
          <w:cantSplit/>
          <w:trHeight w:val="140"/>
        </w:trPr>
        <w:tc>
          <w:tcPr>
            <w:tcW w:w="1824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sl-SI"/>
              </w:rPr>
              <w:t>XVIII</w:t>
            </w:r>
          </w:p>
        </w:tc>
        <w:tc>
          <w:tcPr>
            <w:tcW w:w="7032" w:type="dxa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i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1D6BD5" w:rsidRPr="00DF6E40" w:rsidTr="005525C2">
        <w:trPr>
          <w:cantSplit/>
          <w:trHeight w:val="300"/>
        </w:trPr>
        <w:tc>
          <w:tcPr>
            <w:tcW w:w="8856" w:type="dxa"/>
            <w:gridSpan w:val="1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  <w:t xml:space="preserve">Obaveze studenta u toku nastave: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  <w:t xml:space="preserve">Studenti su obavezni da pohađaju nastavu, rade zadatke, analiziraju slučajeve iz sudske prakse koje im nastavnik dâ da riješe i sami pripremaju slučajeve. </w:t>
            </w:r>
          </w:p>
        </w:tc>
      </w:tr>
      <w:tr w:rsidR="001D6BD5" w:rsidRPr="00DF6E40" w:rsidTr="005525C2">
        <w:trPr>
          <w:cantSplit/>
          <w:trHeight w:val="300"/>
        </w:trPr>
        <w:tc>
          <w:tcPr>
            <w:tcW w:w="8856" w:type="dxa"/>
            <w:gridSpan w:val="1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  <w:t>Konsultacije:</w:t>
            </w:r>
            <w:r w:rsidRPr="00DF6E40">
              <w:rPr>
                <w:rFonts w:ascii="Arial" w:hAnsi="Arial" w:cs="Arial"/>
                <w:sz w:val="16"/>
                <w:szCs w:val="16"/>
                <w:lang w:val="sl-SI"/>
              </w:rPr>
              <w:t>: Poslije termina predviđenog za predavanja</w:t>
            </w:r>
          </w:p>
        </w:tc>
      </w:tr>
      <w:tr w:rsidR="001D6BD5" w:rsidRPr="00DF6E40" w:rsidTr="005525C2">
        <w:trPr>
          <w:cantSplit/>
          <w:trHeight w:val="300"/>
        </w:trPr>
        <w:tc>
          <w:tcPr>
            <w:tcW w:w="8856" w:type="dxa"/>
            <w:gridSpan w:val="1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Opterećenje studenta u časovima:</w:t>
            </w:r>
          </w:p>
        </w:tc>
      </w:tr>
      <w:tr w:rsidR="001D6BD5" w:rsidRPr="00DF6E40" w:rsidTr="005525C2">
        <w:trPr>
          <w:cantSplit/>
          <w:trHeight w:val="720"/>
        </w:trPr>
        <w:tc>
          <w:tcPr>
            <w:tcW w:w="3369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:rsidR="001D6BD5" w:rsidRPr="00DF6E40" w:rsidRDefault="001D6BD5" w:rsidP="005525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sz w:val="16"/>
                <w:szCs w:val="16"/>
                <w:u w:val="single"/>
                <w:lang w:val="sr-Latn-CS"/>
              </w:rPr>
              <w:t>nedjeljno</w:t>
            </w:r>
          </w:p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8 kredita x 40/30 =</w:t>
            </w:r>
            <w:r w:rsidRPr="00DF6E40"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  <w:t> </w:t>
            </w:r>
            <w:r w:rsidRPr="00DF6E40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r-Latn-CS"/>
              </w:rPr>
              <w:t>10 sati i 40 minuta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 </w:t>
            </w:r>
          </w:p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Struktura: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br/>
            </w:r>
            <w:r w:rsidRPr="00DF6E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4 sati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 predavanja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br/>
            </w:r>
            <w:r w:rsidRPr="00DF6E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1 sati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 vježbi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br/>
            </w:r>
            <w:r w:rsidRPr="00DF6E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5 sati i 40 minuta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 individualnog rada studenta (priprema za laboratorijske vježbe, za kolokvijume, izrada domaćih zadataka) uključujući i konsultacije</w:t>
            </w:r>
          </w:p>
        </w:tc>
        <w:tc>
          <w:tcPr>
            <w:tcW w:w="5487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D6BD5" w:rsidRPr="00DF6E40" w:rsidRDefault="001D6BD5" w:rsidP="005525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  <w:lang w:val="sr-Latn-CS"/>
              </w:rPr>
            </w:pPr>
            <w:r w:rsidRPr="00DF6E40">
              <w:rPr>
                <w:rFonts w:ascii="Arial" w:hAnsi="Arial" w:cs="Arial"/>
                <w:sz w:val="16"/>
                <w:szCs w:val="16"/>
                <w:u w:val="single"/>
                <w:lang w:val="sr-Latn-CS"/>
              </w:rPr>
              <w:t>u semestru</w:t>
            </w:r>
          </w:p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Nastava i završni ispit: (10 sati i 40 minuta) x 16 = </w:t>
            </w:r>
            <w:r w:rsidRPr="00DF6E40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ca-ES"/>
              </w:rPr>
              <w:t>170 sati i 40 minuta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 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br/>
              <w:t>Neophodna priprema prije početka semestra (administracija, upis, ovjera): 2 x (10 sati i 40 minuta) = 21 sati i 20 minuta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br/>
            </w:r>
            <w:r w:rsidRPr="00DF6E40"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  <w:t>Ukupno opterećenje za predmet: </w:t>
            </w:r>
            <w:r w:rsidRPr="00DF6E40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ca-ES"/>
              </w:rPr>
              <w:t>8 x 30 = 240 sati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 </w:t>
            </w:r>
          </w:p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Dopunski rad</w:t>
            </w:r>
            <w:r w:rsidRPr="00DF6E40">
              <w:rPr>
                <w:rFonts w:ascii="Arial" w:hAnsi="Arial" w:cs="Arial"/>
                <w:sz w:val="16"/>
                <w:szCs w:val="16"/>
                <w:lang w:val="sr-Latn-CS"/>
              </w:rPr>
              <w:t> za pripremu ispita u popravnom ispitnom roku, uključujući i polaganje popravnog ispita od 0 - 30 sati. </w:t>
            </w:r>
            <w:r w:rsidRPr="00DF6E40">
              <w:rPr>
                <w:rFonts w:ascii="Arial" w:hAnsi="Arial" w:cs="Arial"/>
                <w:sz w:val="16"/>
                <w:szCs w:val="16"/>
                <w:lang w:val="sr-Latn-CS"/>
              </w:rPr>
              <w:br/>
              <w:t>Struktura opterećenja: 170 sati i 40 minuta (nastava) + 21 sati i 20 minuta (priprema) + 30 sati (dopunski rad)</w:t>
            </w:r>
          </w:p>
        </w:tc>
      </w:tr>
      <w:tr w:rsidR="001D6BD5" w:rsidRPr="00DF6E40" w:rsidTr="005525C2">
        <w:trPr>
          <w:cantSplit/>
          <w:trHeight w:val="411"/>
        </w:trPr>
        <w:tc>
          <w:tcPr>
            <w:tcW w:w="885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i/>
                <w:color w:val="000000"/>
                <w:sz w:val="16"/>
                <w:szCs w:val="16"/>
                <w:lang w:val="sr-Latn-CS"/>
              </w:rPr>
              <w:t xml:space="preserve">Literatura: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 </w:t>
            </w:r>
          </w:p>
          <w:p w:rsidR="001D6BD5" w:rsidRPr="00DF6E40" w:rsidRDefault="001D6BD5" w:rsidP="001D6BD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 xml:space="preserve">Klinika za građansko pravo Pravnog fakulteta u Nišu – </w:t>
            </w:r>
            <w:r w:rsidRPr="00DF6E40">
              <w:rPr>
                <w:rFonts w:ascii="Arial" w:hAnsi="Arial" w:cs="Arial"/>
                <w:b/>
                <w:w w:val="96"/>
                <w:sz w:val="16"/>
                <w:szCs w:val="16"/>
                <w:lang w:val="ca-ES"/>
              </w:rPr>
              <w:t>Praktično obrazovanje pravnika</w:t>
            </w: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>, Niš, 2003.</w:t>
            </w:r>
          </w:p>
          <w:p w:rsidR="001D6BD5" w:rsidRPr="00DF6E40" w:rsidRDefault="001D6BD5" w:rsidP="001D6BD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 xml:space="preserve">Drago Radulović, Speedy Rice, Kevin Ruser, Biljana Đuričin, Alicia Henderson, Snežana Miladinović, Maja Kostić-Mandić – </w:t>
            </w:r>
            <w:r w:rsidRPr="00DF6E40">
              <w:rPr>
                <w:rFonts w:ascii="Arial" w:hAnsi="Arial" w:cs="Arial"/>
                <w:b/>
                <w:w w:val="96"/>
                <w:sz w:val="16"/>
                <w:szCs w:val="16"/>
                <w:lang w:val="hr-HR"/>
              </w:rPr>
              <w:t>Pogledi u pravne klinike</w:t>
            </w:r>
            <w:r w:rsidRPr="00DF6E40">
              <w:rPr>
                <w:rFonts w:ascii="Arial" w:hAnsi="Arial" w:cs="Arial"/>
                <w:w w:val="96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b/>
                <w:w w:val="96"/>
                <w:sz w:val="16"/>
                <w:szCs w:val="16"/>
                <w:lang w:val="ca-ES"/>
              </w:rPr>
              <w:t xml:space="preserve">(A Spectrum of Views on Legal Clinics) - </w:t>
            </w: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>CID, Podorica, 2004.</w:t>
            </w:r>
            <w:r w:rsidRPr="00DF6E40">
              <w:rPr>
                <w:rFonts w:ascii="Arial" w:hAnsi="Arial" w:cs="Arial"/>
                <w:w w:val="96"/>
                <w:sz w:val="16"/>
                <w:szCs w:val="16"/>
                <w:lang w:val="hr-HR"/>
              </w:rPr>
              <w:t xml:space="preserve"> </w:t>
            </w:r>
          </w:p>
          <w:p w:rsidR="001D6BD5" w:rsidRPr="00DF6E40" w:rsidRDefault="001D6BD5" w:rsidP="001D6BD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b/>
                <w:w w:val="96"/>
                <w:sz w:val="16"/>
                <w:szCs w:val="16"/>
                <w:lang w:val="hr-HR"/>
              </w:rPr>
              <w:t>Bilten pravnih klinika</w:t>
            </w:r>
            <w:r w:rsidRPr="00DF6E40">
              <w:rPr>
                <w:rFonts w:ascii="Arial" w:hAnsi="Arial" w:cs="Arial"/>
                <w:w w:val="96"/>
                <w:sz w:val="16"/>
                <w:szCs w:val="16"/>
                <w:lang w:val="hr-HR"/>
              </w:rPr>
              <w:t>, CID, Podgorica, 2005.</w:t>
            </w:r>
          </w:p>
          <w:p w:rsidR="001D6BD5" w:rsidRPr="00DF6E40" w:rsidRDefault="001D6BD5" w:rsidP="001D6BD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 xml:space="preserve">Džerald F. Hes, Stiven Fridlend, </w:t>
            </w:r>
            <w:r w:rsidRPr="00DF6E40">
              <w:rPr>
                <w:rFonts w:ascii="Arial" w:hAnsi="Arial" w:cs="Arial"/>
                <w:b/>
                <w:w w:val="96"/>
                <w:sz w:val="16"/>
                <w:szCs w:val="16"/>
                <w:lang w:val="ca-ES"/>
              </w:rPr>
              <w:t>Tehnike podučavanja prava</w:t>
            </w: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>, CID, Podgorica, 2005.</w:t>
            </w:r>
          </w:p>
          <w:p w:rsidR="001D6BD5" w:rsidRPr="00DF6E40" w:rsidRDefault="001D6BD5" w:rsidP="001D6BD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>Zakon o obligacionim odnosima Crne Gore, Službeni list CG 47/08</w:t>
            </w:r>
          </w:p>
          <w:p w:rsidR="001D6BD5" w:rsidRPr="00DF6E40" w:rsidRDefault="001D6BD5" w:rsidP="001D6BD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>Komentar Zakona o obligacionim odnosima – Glavni redaktor dr Slobodan Perović, Savremena administracija, Beograd, 1995.</w:t>
            </w:r>
          </w:p>
          <w:p w:rsidR="001D6BD5" w:rsidRPr="00DF6E40" w:rsidRDefault="001D6BD5" w:rsidP="001D6BD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 xml:space="preserve">Slobodan Perović - </w:t>
            </w:r>
            <w:r w:rsidRPr="00DF6E40">
              <w:rPr>
                <w:rFonts w:ascii="Arial" w:hAnsi="Arial" w:cs="Arial"/>
                <w:b/>
                <w:w w:val="96"/>
                <w:sz w:val="16"/>
                <w:szCs w:val="16"/>
                <w:lang w:val="ca-ES"/>
              </w:rPr>
              <w:t>Obligaciono pravo</w:t>
            </w: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>, Savremena administracija, Beograd, 1990.</w:t>
            </w:r>
          </w:p>
          <w:p w:rsidR="001D6BD5" w:rsidRPr="00DF6E40" w:rsidRDefault="001D6BD5" w:rsidP="001D6BD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>Jakov Radišić,</w:t>
            </w:r>
            <w:r w:rsidRPr="00DF6E40">
              <w:rPr>
                <w:rFonts w:ascii="Arial" w:hAnsi="Arial" w:cs="Arial"/>
                <w:b/>
                <w:w w:val="96"/>
                <w:sz w:val="16"/>
                <w:szCs w:val="16"/>
                <w:lang w:val="ca-ES"/>
              </w:rPr>
              <w:t xml:space="preserve"> Obligaciono pravo</w:t>
            </w: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>, Beograd, 2002.</w:t>
            </w:r>
          </w:p>
          <w:p w:rsidR="001D6BD5" w:rsidRPr="00DF6E40" w:rsidRDefault="001D6BD5" w:rsidP="001D6BD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 xml:space="preserve">Oliver Antić, Obligaciono pravo, Pravni fakultet Univerziteta u Beogradu, 2012. </w:t>
            </w:r>
          </w:p>
          <w:p w:rsidR="001D6BD5" w:rsidRPr="00DF6E40" w:rsidRDefault="001D6BD5" w:rsidP="001D6BD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w w:val="96"/>
                <w:sz w:val="16"/>
                <w:szCs w:val="16"/>
                <w:lang w:val="hr-HR"/>
              </w:rPr>
              <w:t xml:space="preserve">Leposava Karamarković, </w:t>
            </w:r>
            <w:r w:rsidRPr="00DF6E40">
              <w:rPr>
                <w:rFonts w:ascii="Arial" w:hAnsi="Arial" w:cs="Arial"/>
                <w:b/>
                <w:w w:val="96"/>
                <w:sz w:val="16"/>
                <w:szCs w:val="16"/>
                <w:lang w:val="hr-HR"/>
              </w:rPr>
              <w:t xml:space="preserve">Rasprave iz ugovornog, odštetnog i procesnog prava, </w:t>
            </w:r>
            <w:r w:rsidRPr="00DF6E40">
              <w:rPr>
                <w:rFonts w:ascii="Arial" w:hAnsi="Arial" w:cs="Arial"/>
                <w:w w:val="96"/>
                <w:sz w:val="16"/>
                <w:szCs w:val="16"/>
                <w:lang w:val="hr-HR"/>
              </w:rPr>
              <w:t>Glosarijum, Beograd, 2001.</w:t>
            </w:r>
          </w:p>
          <w:p w:rsidR="001D6BD5" w:rsidRPr="00DF6E40" w:rsidRDefault="001D6BD5" w:rsidP="001D6BD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w w:val="96"/>
                <w:sz w:val="16"/>
                <w:szCs w:val="16"/>
                <w:lang w:val="hr-HR"/>
              </w:rPr>
              <w:t xml:space="preserve">Snežana Miladinović, </w:t>
            </w:r>
            <w:r w:rsidRPr="00DF6E40">
              <w:rPr>
                <w:rFonts w:ascii="Arial" w:hAnsi="Arial" w:cs="Arial"/>
                <w:b/>
                <w:w w:val="96"/>
                <w:sz w:val="16"/>
                <w:szCs w:val="16"/>
                <w:lang w:val="hr-HR"/>
              </w:rPr>
              <w:t>Poslovno pravo</w:t>
            </w:r>
            <w:r w:rsidRPr="00DF6E40">
              <w:rPr>
                <w:rFonts w:ascii="Arial" w:hAnsi="Arial" w:cs="Arial"/>
                <w:w w:val="96"/>
                <w:sz w:val="16"/>
                <w:szCs w:val="16"/>
                <w:lang w:val="hr-HR"/>
              </w:rPr>
              <w:t>, Pravni fakultet, Podgorica, 2012.</w:t>
            </w:r>
          </w:p>
          <w:p w:rsidR="001D6BD5" w:rsidRPr="00DF6E40" w:rsidRDefault="001D6BD5" w:rsidP="001D6BD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 xml:space="preserve">Mladen Krvavica, </w:t>
            </w:r>
            <w:r w:rsidRPr="00DF6E40">
              <w:rPr>
                <w:rFonts w:ascii="Arial" w:hAnsi="Arial" w:cs="Arial"/>
                <w:b/>
                <w:w w:val="96"/>
                <w:sz w:val="16"/>
                <w:szCs w:val="16"/>
                <w:lang w:val="ca-ES"/>
              </w:rPr>
              <w:t>Obligacioni odnosi kroz sudsku praksu</w:t>
            </w: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>, Glosarijum, Beograd, 2001.</w:t>
            </w:r>
          </w:p>
          <w:p w:rsidR="001D6BD5" w:rsidRPr="00DF6E40" w:rsidRDefault="001D6BD5" w:rsidP="001D6BD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 xml:space="preserve">Đorđe Nikolić – </w:t>
            </w:r>
            <w:r w:rsidRPr="00DF6E40">
              <w:rPr>
                <w:rFonts w:ascii="Arial" w:hAnsi="Arial" w:cs="Arial"/>
                <w:b/>
                <w:w w:val="96"/>
                <w:sz w:val="16"/>
                <w:szCs w:val="16"/>
                <w:lang w:val="ca-ES"/>
              </w:rPr>
              <w:t>Praktikum za Obligaciono pravo</w:t>
            </w: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>, Beograd, 2002.</w:t>
            </w:r>
          </w:p>
          <w:p w:rsidR="001D6BD5" w:rsidRPr="00DF6E40" w:rsidRDefault="001D6BD5" w:rsidP="001D6BD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 xml:space="preserve">Dragoslav Veljković, Ranko Vukić – </w:t>
            </w:r>
            <w:r w:rsidRPr="00DF6E40">
              <w:rPr>
                <w:rFonts w:ascii="Arial" w:hAnsi="Arial" w:cs="Arial"/>
                <w:b/>
                <w:w w:val="96"/>
                <w:sz w:val="16"/>
                <w:szCs w:val="16"/>
                <w:lang w:val="ca-ES"/>
              </w:rPr>
              <w:t xml:space="preserve">Obligaciono </w:t>
            </w:r>
            <w:r w:rsidRPr="00DF6E40">
              <w:rPr>
                <w:rFonts w:ascii="Arial" w:hAnsi="Arial" w:cs="Arial"/>
                <w:b/>
                <w:w w:val="96"/>
                <w:sz w:val="16"/>
                <w:szCs w:val="16"/>
              </w:rPr>
              <w:t>pravo kroz Komentar ZOO CG</w:t>
            </w:r>
            <w:r w:rsidRPr="00DF6E40">
              <w:rPr>
                <w:rFonts w:ascii="Arial" w:hAnsi="Arial" w:cs="Arial"/>
                <w:w w:val="96"/>
                <w:sz w:val="16"/>
                <w:szCs w:val="16"/>
              </w:rPr>
              <w:t>, za praktičnu primjenu, sa primjerima ugovora i tužbi za ostvarivanje prava iz tih ugovora, kroz pravne stavove, zaključke i sudsku praksu najviših sudova, Knjiga I i II, Podgorica, 2012.</w:t>
            </w:r>
          </w:p>
          <w:p w:rsidR="001D6BD5" w:rsidRPr="00DF6E40" w:rsidRDefault="001D6BD5" w:rsidP="001D6BD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 xml:space="preserve">V. Rištić, M. Ristić - </w:t>
            </w:r>
            <w:r w:rsidRPr="00DF6E40">
              <w:rPr>
                <w:rFonts w:ascii="Arial" w:hAnsi="Arial" w:cs="Arial"/>
                <w:b/>
                <w:w w:val="96"/>
                <w:sz w:val="16"/>
                <w:szCs w:val="16"/>
                <w:lang w:val="ca-ES"/>
              </w:rPr>
              <w:t>Praktikum za parnicu</w:t>
            </w: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>, Savremena administracija, Beograd, 1993.</w:t>
            </w:r>
          </w:p>
          <w:p w:rsidR="001D6BD5" w:rsidRPr="00DF6E40" w:rsidRDefault="001D6BD5" w:rsidP="001D6BD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>Radoje Korać, Zoran P. Rašović</w:t>
            </w:r>
            <w:r w:rsidRPr="00DF6E40">
              <w:rPr>
                <w:rFonts w:ascii="Arial" w:hAnsi="Arial" w:cs="Arial"/>
                <w:w w:val="96"/>
                <w:sz w:val="16"/>
                <w:szCs w:val="16"/>
                <w:lang w:val="hr-HR"/>
              </w:rPr>
              <w:t xml:space="preserve"> – </w:t>
            </w:r>
            <w:r w:rsidRPr="00DF6E40">
              <w:rPr>
                <w:rFonts w:ascii="Arial" w:hAnsi="Arial" w:cs="Arial"/>
                <w:b/>
                <w:w w:val="96"/>
                <w:sz w:val="16"/>
                <w:szCs w:val="16"/>
                <w:lang w:val="hr-HR"/>
              </w:rPr>
              <w:t>Ugovori u obrascima</w:t>
            </w:r>
            <w:r w:rsidRPr="00DF6E40">
              <w:rPr>
                <w:rFonts w:ascii="Arial" w:hAnsi="Arial" w:cs="Arial"/>
                <w:w w:val="96"/>
                <w:sz w:val="16"/>
                <w:szCs w:val="16"/>
                <w:lang w:val="hr-HR"/>
              </w:rPr>
              <w:t>, Službeni list RCG, Podgorica, 2002.</w:t>
            </w:r>
          </w:p>
        </w:tc>
      </w:tr>
      <w:tr w:rsidR="001D6BD5" w:rsidRPr="00DF6E40" w:rsidTr="005525C2">
        <w:trPr>
          <w:cantSplit/>
          <w:trHeight w:val="531"/>
        </w:trPr>
        <w:tc>
          <w:tcPr>
            <w:tcW w:w="8856" w:type="dxa"/>
            <w:gridSpan w:val="14"/>
            <w:tcBorders>
              <w:bottom w:val="dotted" w:sz="4" w:space="0" w:color="auto"/>
            </w:tcBorders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Oblici provjere znanja i ocjenjivanje: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</w:p>
          <w:p w:rsidR="001D6BD5" w:rsidRPr="00DF6E40" w:rsidRDefault="001D6BD5" w:rsidP="005525C2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Ocjenjuju se:</w:t>
            </w:r>
          </w:p>
          <w:p w:rsidR="001D6BD5" w:rsidRPr="00DF6E40" w:rsidRDefault="001D6BD5" w:rsidP="001D6BD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Rad na Obligacionopravnoj klinici podrazumijeva sticanje trajnih, praktično primjenjivih znanja.</w:t>
            </w:r>
          </w:p>
          <w:p w:rsidR="001D6BD5" w:rsidRPr="00DF6E40" w:rsidRDefault="001D6BD5" w:rsidP="001D6BD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Kvalitetan rad na Klinici uslovljen je dobrim poznavanjem materije Obligacionog prava. </w:t>
            </w:r>
          </w:p>
          <w:p w:rsidR="001D6BD5" w:rsidRPr="00DF6E40" w:rsidRDefault="001D6BD5" w:rsidP="001D6BD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Rad studenata se konstantno prati, a ocjenjuje se na sljedeći način: </w:t>
            </w:r>
          </w:p>
          <w:p w:rsidR="001D6BD5" w:rsidRPr="00DF6E40" w:rsidRDefault="001D6BD5" w:rsidP="001D6BD5">
            <w:pPr>
              <w:numPr>
                <w:ilvl w:val="1"/>
                <w:numId w:val="1"/>
              </w:numPr>
              <w:tabs>
                <w:tab w:val="clear" w:pos="144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dva javno prezentirana primjera iz sudske prakse boduju se do 10  bodova. </w:t>
            </w:r>
          </w:p>
          <w:p w:rsidR="001D6BD5" w:rsidRPr="00DF6E40" w:rsidRDefault="00031B85" w:rsidP="001D6BD5">
            <w:pPr>
              <w:numPr>
                <w:ilvl w:val="1"/>
                <w:numId w:val="1"/>
              </w:numPr>
              <w:tabs>
                <w:tab w:val="clear" w:pos="144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S</w:t>
            </w:r>
            <w:r w:rsidR="001D6BD5"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amostalno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pripremljen</w:t>
            </w:r>
            <w:r w:rsidR="001D6BD5"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i analizir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an</w:t>
            </w:r>
            <w:r w:rsidR="001D6BD5"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slučaj iz sudske prakse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sa tužbom</w:t>
            </w:r>
            <w:r w:rsidR="001D6BD5"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– </w:t>
            </w:r>
            <w:r w:rsidR="00921FA9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do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15</w:t>
            </w:r>
            <w:r w:rsidR="001D6BD5"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bodova</w:t>
            </w:r>
          </w:p>
          <w:p w:rsidR="001D6BD5" w:rsidRPr="00DF6E40" w:rsidRDefault="00D81626" w:rsidP="001D6BD5">
            <w:pPr>
              <w:numPr>
                <w:ilvl w:val="1"/>
                <w:numId w:val="1"/>
              </w:numPr>
              <w:tabs>
                <w:tab w:val="clear" w:pos="144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Test</w:t>
            </w:r>
            <w:r w:rsidR="001D6BD5"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za provjeru pređe</w:t>
            </w:r>
            <w:r w:rsidR="00031B85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nih cjelina gradiva – 25 bodova</w:t>
            </w:r>
          </w:p>
          <w:p w:rsidR="001D6BD5" w:rsidRPr="00DF6E40" w:rsidRDefault="00921FA9" w:rsidP="001D6BD5">
            <w:pPr>
              <w:numPr>
                <w:ilvl w:val="1"/>
                <w:numId w:val="1"/>
              </w:numPr>
              <w:tabs>
                <w:tab w:val="clear" w:pos="144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Završni ispit 3</w:t>
            </w:r>
            <w:r w:rsidR="0071614B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5</w:t>
            </w:r>
            <w:r w:rsidR="001D6BD5"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bodova</w:t>
            </w:r>
          </w:p>
          <w:p w:rsidR="001D6BD5" w:rsidRPr="00DF6E40" w:rsidRDefault="001D6BD5" w:rsidP="005525C2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- Prelazna ocjena se dobija ako se kumulativno sakupi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najmanje 50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bod. </w:t>
            </w:r>
          </w:p>
          <w:p w:rsidR="001D6BD5" w:rsidRPr="00DF6E40" w:rsidRDefault="001D6BD5" w:rsidP="005525C2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- Prisustvo, izlaganja i aktivnost u radu Klinike boduje se do 5 bodova.</w:t>
            </w:r>
          </w:p>
        </w:tc>
      </w:tr>
      <w:tr w:rsidR="001D6BD5" w:rsidRPr="00DF6E40" w:rsidTr="005525C2">
        <w:trPr>
          <w:cantSplit/>
          <w:trHeight w:val="295"/>
        </w:trPr>
        <w:tc>
          <w:tcPr>
            <w:tcW w:w="149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D6BD5" w:rsidRPr="00DF6E40" w:rsidRDefault="001D6BD5" w:rsidP="005525C2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Ocjena</w:t>
            </w:r>
          </w:p>
        </w:tc>
        <w:tc>
          <w:tcPr>
            <w:tcW w:w="14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A</w:t>
            </w:r>
          </w:p>
        </w:tc>
        <w:tc>
          <w:tcPr>
            <w:tcW w:w="14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B</w:t>
            </w:r>
          </w:p>
        </w:tc>
        <w:tc>
          <w:tcPr>
            <w:tcW w:w="14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C</w:t>
            </w:r>
          </w:p>
        </w:tc>
        <w:tc>
          <w:tcPr>
            <w:tcW w:w="14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14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E</w:t>
            </w:r>
          </w:p>
        </w:tc>
      </w:tr>
      <w:tr w:rsidR="001D6BD5" w:rsidRPr="00DF6E40" w:rsidTr="005525C2">
        <w:trPr>
          <w:cantSplit/>
          <w:trHeight w:val="327"/>
        </w:trPr>
        <w:tc>
          <w:tcPr>
            <w:tcW w:w="149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  <w:vertAlign w:val="superscript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Broj bodova</w:t>
            </w:r>
          </w:p>
        </w:tc>
        <w:tc>
          <w:tcPr>
            <w:tcW w:w="147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1D6BD5" w:rsidRPr="00DF6E40" w:rsidRDefault="001D6BD5" w:rsidP="005525C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90-100</w:t>
            </w:r>
          </w:p>
        </w:tc>
        <w:tc>
          <w:tcPr>
            <w:tcW w:w="147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1D6BD5" w:rsidRPr="00DF6E40" w:rsidRDefault="001D6BD5" w:rsidP="005525C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80-89</w:t>
            </w:r>
          </w:p>
        </w:tc>
        <w:tc>
          <w:tcPr>
            <w:tcW w:w="147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1D6BD5" w:rsidRPr="00DF6E40" w:rsidRDefault="001D6BD5" w:rsidP="005525C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70-79</w:t>
            </w:r>
          </w:p>
        </w:tc>
        <w:tc>
          <w:tcPr>
            <w:tcW w:w="147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1D6BD5" w:rsidRPr="00DF6E40" w:rsidRDefault="001D6BD5" w:rsidP="005525C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60-69</w:t>
            </w:r>
          </w:p>
        </w:tc>
        <w:tc>
          <w:tcPr>
            <w:tcW w:w="1467" w:type="dxa"/>
            <w:tcBorders>
              <w:top w:val="dotted" w:sz="4" w:space="0" w:color="auto"/>
              <w:bottom w:val="single" w:sz="4" w:space="0" w:color="auto"/>
            </w:tcBorders>
          </w:tcPr>
          <w:p w:rsidR="001D6BD5" w:rsidRPr="00DF6E40" w:rsidRDefault="001D6BD5" w:rsidP="005525C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50-59</w:t>
            </w:r>
          </w:p>
        </w:tc>
      </w:tr>
      <w:tr w:rsidR="001D6BD5" w:rsidRPr="00DF6E40" w:rsidTr="005525C2">
        <w:trPr>
          <w:gridBefore w:val="1"/>
          <w:wBefore w:w="963" w:type="dxa"/>
          <w:trHeight w:val="156"/>
        </w:trPr>
        <w:tc>
          <w:tcPr>
            <w:tcW w:w="789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 xml:space="preserve"> Dodatne informacije o predmetu:</w:t>
            </w:r>
          </w:p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Termini  testiranja, završnog i popravnog završnog ispita biće utvrđeni u dogovoru sa studentima.</w:t>
            </w:r>
          </w:p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lastRenderedPageBreak/>
              <w:t xml:space="preserve"> Sve dodatne informacije mogu se dobiti na časovima predavanja i konsultacijama</w:t>
            </w:r>
          </w:p>
        </w:tc>
      </w:tr>
      <w:tr w:rsidR="001D6BD5" w:rsidRPr="00DF6E40" w:rsidTr="005525C2">
        <w:trPr>
          <w:gridBefore w:val="1"/>
          <w:wBefore w:w="963" w:type="dxa"/>
          <w:trHeight w:val="156"/>
        </w:trPr>
        <w:tc>
          <w:tcPr>
            <w:tcW w:w="789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lastRenderedPageBreak/>
              <w:t>Ime i prezime nastavnika koji je pripremio podatke:</w:t>
            </w:r>
          </w:p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Prof. dr Snežana Miladinović</w:t>
            </w:r>
          </w:p>
        </w:tc>
      </w:tr>
    </w:tbl>
    <w:p w:rsidR="00E232EB" w:rsidRDefault="00E232EB"/>
    <w:sectPr w:rsidR="00E232EB" w:rsidSect="00B15D6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26AE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D2D4527"/>
    <w:multiLevelType w:val="hybridMultilevel"/>
    <w:tmpl w:val="BAF24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C298B"/>
    <w:multiLevelType w:val="multilevel"/>
    <w:tmpl w:val="0E0C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D6BD5"/>
    <w:rsid w:val="00031B85"/>
    <w:rsid w:val="001D6BD5"/>
    <w:rsid w:val="0071614B"/>
    <w:rsid w:val="00921FA9"/>
    <w:rsid w:val="00B15D67"/>
    <w:rsid w:val="00B737EF"/>
    <w:rsid w:val="00D81626"/>
    <w:rsid w:val="00E232EB"/>
    <w:rsid w:val="00FF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1371</Words>
  <Characters>7819</Characters>
  <Application>Microsoft Office Word</Application>
  <DocSecurity>0</DocSecurity>
  <Lines>65</Lines>
  <Paragraphs>18</Paragraphs>
  <ScaleCrop>false</ScaleCrop>
  <Company/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2020-10-11T19:18:00Z</dcterms:created>
  <dcterms:modified xsi:type="dcterms:W3CDTF">2020-12-14T09:21:00Z</dcterms:modified>
</cp:coreProperties>
</file>