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3073E" w14:textId="65CA2E4D" w:rsidR="004F68A1" w:rsidRPr="004F68A1" w:rsidRDefault="004F68A1" w:rsidP="004F68A1">
      <w:pPr>
        <w:jc w:val="center"/>
        <w:rPr>
          <w:rFonts w:ascii="Georgia" w:hAnsi="Georgia"/>
          <w:sz w:val="32"/>
          <w:szCs w:val="32"/>
          <w:lang w:val="sr-Latn-ME"/>
        </w:rPr>
      </w:pPr>
      <w:r w:rsidRPr="004F68A1">
        <w:rPr>
          <w:rFonts w:ascii="Georgia" w:hAnsi="Georgia"/>
          <w:sz w:val="32"/>
          <w:szCs w:val="32"/>
          <w:lang w:val="sr-Latn-ME"/>
        </w:rPr>
        <w:t>Teme za seminarske</w:t>
      </w:r>
      <w:r w:rsidR="00CB3EEB">
        <w:rPr>
          <w:rFonts w:ascii="Georgia" w:hAnsi="Georgia"/>
          <w:sz w:val="32"/>
          <w:szCs w:val="32"/>
          <w:lang w:val="sr-Latn-ME"/>
        </w:rPr>
        <w:t xml:space="preserve"> radove/analize studija slučajeva</w:t>
      </w:r>
      <w:r w:rsidRPr="004F68A1">
        <w:rPr>
          <w:rFonts w:ascii="Georgia" w:hAnsi="Georgia"/>
          <w:sz w:val="32"/>
          <w:szCs w:val="32"/>
          <w:lang w:val="sr-Latn-ME"/>
        </w:rPr>
        <w:t xml:space="preserve"> radove</w:t>
      </w:r>
    </w:p>
    <w:p w14:paraId="5F399210" w14:textId="77777777" w:rsidR="004F68A1" w:rsidRPr="004F68A1" w:rsidRDefault="00CD23C0" w:rsidP="004F68A1">
      <w:pPr>
        <w:pStyle w:val="ListParagraph"/>
        <w:numPr>
          <w:ilvl w:val="0"/>
          <w:numId w:val="2"/>
        </w:numPr>
        <w:jc w:val="center"/>
        <w:rPr>
          <w:rFonts w:ascii="Georgia" w:hAnsi="Georgia"/>
          <w:sz w:val="32"/>
          <w:szCs w:val="32"/>
          <w:lang w:val="sr-Latn-ME"/>
        </w:rPr>
      </w:pPr>
      <w:r w:rsidRPr="004F68A1">
        <w:rPr>
          <w:rFonts w:ascii="Georgia" w:hAnsi="Georgia"/>
          <w:sz w:val="32"/>
          <w:szCs w:val="32"/>
          <w:lang w:val="sr-Latn-ME"/>
        </w:rPr>
        <w:t>Pravo unutrašnjeg tržišta Evropske unije</w:t>
      </w:r>
      <w:r w:rsidR="004F68A1" w:rsidRPr="004F68A1">
        <w:rPr>
          <w:rFonts w:ascii="Georgia" w:hAnsi="Georgia"/>
          <w:sz w:val="32"/>
          <w:szCs w:val="32"/>
          <w:lang w:val="sr-Latn-ME"/>
        </w:rPr>
        <w:t xml:space="preserve"> – </w:t>
      </w:r>
    </w:p>
    <w:p w14:paraId="3EA56706" w14:textId="77777777" w:rsidR="004F68A1" w:rsidRPr="004F68A1" w:rsidRDefault="004F68A1" w:rsidP="004F68A1">
      <w:pPr>
        <w:pStyle w:val="ListParagraph"/>
        <w:rPr>
          <w:rFonts w:ascii="Georgia" w:hAnsi="Georgia"/>
          <w:sz w:val="32"/>
          <w:szCs w:val="32"/>
          <w:lang w:val="sr-Latn-ME"/>
        </w:rPr>
      </w:pPr>
    </w:p>
    <w:p w14:paraId="1F66D123" w14:textId="77777777" w:rsidR="00CD23C0" w:rsidRPr="009615E5" w:rsidRDefault="004F68A1" w:rsidP="00CD23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9615E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fr-FR"/>
        </w:rPr>
        <w:t>Zabrana</w:t>
      </w:r>
      <w:proofErr w:type="spellEnd"/>
      <w:r w:rsidRPr="009615E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sr-Latn-ME"/>
        </w:rPr>
        <w:t xml:space="preserve"> </w:t>
      </w:r>
      <w:proofErr w:type="spellStart"/>
      <w:r w:rsidRPr="009615E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fr-FR"/>
        </w:rPr>
        <w:t>koli</w:t>
      </w:r>
      <w:proofErr w:type="spellEnd"/>
      <w:r w:rsidRPr="009615E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sr-Latn-ME"/>
        </w:rPr>
        <w:t>č</w:t>
      </w:r>
      <w:proofErr w:type="spellStart"/>
      <w:r w:rsidRPr="009615E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fr-FR"/>
        </w:rPr>
        <w:t>inskih</w:t>
      </w:r>
      <w:proofErr w:type="spellEnd"/>
      <w:r w:rsidRPr="009615E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sr-Latn-ME"/>
        </w:rPr>
        <w:t xml:space="preserve"> </w:t>
      </w:r>
      <w:proofErr w:type="spellStart"/>
      <w:r w:rsidRPr="009615E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fr-FR"/>
        </w:rPr>
        <w:t>ograni</w:t>
      </w:r>
      <w:proofErr w:type="spellEnd"/>
      <w:r w:rsidRPr="009615E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sr-Latn-ME"/>
        </w:rPr>
        <w:t>č</w:t>
      </w:r>
      <w:proofErr w:type="spellStart"/>
      <w:r w:rsidRPr="009615E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fr-FR"/>
        </w:rPr>
        <w:t>enja</w:t>
      </w:r>
      <w:proofErr w:type="spellEnd"/>
      <w:r w:rsidRPr="009615E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sr-Latn-ME"/>
        </w:rPr>
        <w:t xml:space="preserve"> </w:t>
      </w:r>
      <w:proofErr w:type="spellStart"/>
      <w:r w:rsidRPr="009615E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fr-FR"/>
        </w:rPr>
        <w:t>uvoza</w:t>
      </w:r>
      <w:proofErr w:type="spellEnd"/>
      <w:r w:rsidRPr="009615E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sr-Latn-ME"/>
        </w:rPr>
        <w:t xml:space="preserve"> </w:t>
      </w:r>
      <w:r w:rsidRPr="009615E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fr-FR"/>
        </w:rPr>
        <w:t>robe</w:t>
      </w:r>
      <w:r w:rsidRPr="009615E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sr-Latn-ME"/>
        </w:rPr>
        <w:t xml:space="preserve"> </w:t>
      </w:r>
      <w:r w:rsidRPr="009615E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fr-FR"/>
        </w:rPr>
        <w:t>i</w:t>
      </w:r>
      <w:r w:rsidRPr="009615E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sr-Latn-ME"/>
        </w:rPr>
        <w:t xml:space="preserve"> </w:t>
      </w:r>
      <w:proofErr w:type="spellStart"/>
      <w:r w:rsidRPr="009615E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fr-FR"/>
        </w:rPr>
        <w:t>mjera</w:t>
      </w:r>
      <w:proofErr w:type="spellEnd"/>
      <w:r w:rsidRPr="009615E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sr-Latn-ME"/>
        </w:rPr>
        <w:t xml:space="preserve"> </w:t>
      </w:r>
      <w:r w:rsidRPr="009615E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fr-FR"/>
        </w:rPr>
        <w:t>sa</w:t>
      </w:r>
      <w:r w:rsidRPr="009615E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sr-Latn-ME"/>
        </w:rPr>
        <w:t xml:space="preserve"> </w:t>
      </w:r>
      <w:proofErr w:type="spellStart"/>
      <w:r w:rsidRPr="009615E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fr-FR"/>
        </w:rPr>
        <w:t>istim</w:t>
      </w:r>
      <w:proofErr w:type="spellEnd"/>
      <w:r w:rsidRPr="009615E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sr-Latn-ME"/>
        </w:rPr>
        <w:t xml:space="preserve"> </w:t>
      </w:r>
      <w:proofErr w:type="spellStart"/>
      <w:r w:rsidRPr="009615E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fr-FR"/>
        </w:rPr>
        <w:t>dejstvom</w:t>
      </w:r>
      <w:proofErr w:type="spellEnd"/>
      <w:r w:rsidRPr="009615E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sr-Latn-ME"/>
        </w:rPr>
        <w:t xml:space="preserve"> (</w:t>
      </w:r>
      <w:proofErr w:type="spellStart"/>
      <w:r w:rsidRPr="009615E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Dassonville</w:t>
      </w:r>
      <w:proofErr w:type="spellEnd"/>
      <w:r w:rsidRPr="009615E5">
        <w:rPr>
          <w:rFonts w:ascii="Times New Roman" w:hAnsi="Times New Roman" w:cs="Times New Roman"/>
          <w:sz w:val="24"/>
          <w:szCs w:val="24"/>
          <w:shd w:val="clear" w:color="auto" w:fill="FFFFFF"/>
          <w:lang w:val="sr-Latn-ME"/>
        </w:rPr>
        <w:t>,</w:t>
      </w:r>
      <w:r w:rsidRPr="009615E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15E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Cassis</w:t>
      </w:r>
      <w:r w:rsidRPr="009615E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sr-Latn-ME"/>
        </w:rPr>
        <w:t xml:space="preserve"> </w:t>
      </w:r>
      <w:r w:rsidRPr="009615E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de</w:t>
      </w:r>
      <w:r w:rsidRPr="009615E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sr-Latn-ME"/>
        </w:rPr>
        <w:t xml:space="preserve"> </w:t>
      </w:r>
      <w:r w:rsidRPr="009615E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Dijon</w:t>
      </w:r>
      <w:r w:rsidRPr="009615E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9615E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9615E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15E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Keck</w:t>
      </w:r>
      <w:proofErr w:type="gramStart"/>
      <w:r w:rsidRPr="009615E5">
        <w:rPr>
          <w:rFonts w:ascii="Times New Roman" w:hAnsi="Times New Roman" w:cs="Times New Roman"/>
          <w:sz w:val="24"/>
          <w:szCs w:val="24"/>
          <w:shd w:val="clear" w:color="auto" w:fill="FFFFFF"/>
          <w:lang w:val="sr-Latn-ME"/>
        </w:rPr>
        <w:t>);</w:t>
      </w:r>
      <w:proofErr w:type="gramEnd"/>
    </w:p>
    <w:p w14:paraId="4671F359" w14:textId="77777777" w:rsidR="004F68A1" w:rsidRPr="009615E5" w:rsidRDefault="004F68A1" w:rsidP="00CD23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615E5">
        <w:rPr>
          <w:rFonts w:ascii="Times New Roman" w:hAnsi="Times New Roman" w:cs="Times New Roman"/>
          <w:sz w:val="24"/>
          <w:szCs w:val="24"/>
          <w:lang w:val="sr-Latn-ME"/>
        </w:rPr>
        <w:t>Specijalna prava država članica u privatizovanim društvima – „zlatne akcije“ u pravu EU;</w:t>
      </w:r>
    </w:p>
    <w:p w14:paraId="1C9169B0" w14:textId="77777777" w:rsidR="004F68A1" w:rsidRPr="009615E5" w:rsidRDefault="004F68A1" w:rsidP="00CD23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615E5">
        <w:rPr>
          <w:rFonts w:ascii="Times New Roman" w:hAnsi="Times New Roman" w:cs="Times New Roman"/>
          <w:sz w:val="24"/>
          <w:szCs w:val="24"/>
          <w:lang w:val="sr-Latn-ME"/>
        </w:rPr>
        <w:t xml:space="preserve">Horizontalno neposredno dejstvo zabrane diskriminatornih ograničenja slobode kretanja radnika, slobode pružanja usluga i poslovnog nastanjivanja; </w:t>
      </w:r>
    </w:p>
    <w:p w14:paraId="11903BF0" w14:textId="77777777" w:rsidR="004F68A1" w:rsidRPr="009615E5" w:rsidRDefault="004F68A1" w:rsidP="004F68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615E5">
        <w:rPr>
          <w:rFonts w:ascii="Times New Roman" w:hAnsi="Times New Roman" w:cs="Times New Roman"/>
          <w:sz w:val="24"/>
          <w:szCs w:val="24"/>
          <w:lang w:val="sr-Latn-ME"/>
        </w:rPr>
        <w:t xml:space="preserve">Horizontalno neposredno dejstvo zabrane nediskriminatornih ograničenja slobode kretanja radnika, slobode pružanja usluga i poslovnog nastanjivanja; </w:t>
      </w:r>
    </w:p>
    <w:p w14:paraId="65582619" w14:textId="7339DA3A" w:rsidR="004F68A1" w:rsidRPr="009615E5" w:rsidRDefault="00CB3EEB" w:rsidP="004F68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</w:t>
      </w:r>
      <w:r w:rsidR="004F68A1" w:rsidRPr="009615E5">
        <w:rPr>
          <w:rFonts w:ascii="Times New Roman" w:hAnsi="Times New Roman" w:cs="Times New Roman"/>
          <w:sz w:val="24"/>
          <w:szCs w:val="24"/>
          <w:lang w:val="sr-Latn-ME"/>
        </w:rPr>
        <w:t>abran</w:t>
      </w:r>
      <w:r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="004F68A1" w:rsidRPr="009615E5">
        <w:rPr>
          <w:rFonts w:ascii="Times New Roman" w:hAnsi="Times New Roman" w:cs="Times New Roman"/>
          <w:sz w:val="24"/>
          <w:szCs w:val="24"/>
          <w:lang w:val="sr-Latn-ME"/>
        </w:rPr>
        <w:t xml:space="preserve"> ograničenja slobode kretanja robe na unutrašnjem tržištu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i dilema u pogledu horizontalnog neposrednog dejstva</w:t>
      </w:r>
      <w:r w:rsidR="004F68A1" w:rsidRPr="009615E5">
        <w:rPr>
          <w:rFonts w:ascii="Times New Roman" w:hAnsi="Times New Roman" w:cs="Times New Roman"/>
          <w:sz w:val="24"/>
          <w:szCs w:val="24"/>
          <w:lang w:val="sr-Latn-ME"/>
        </w:rPr>
        <w:t xml:space="preserve">?; </w:t>
      </w:r>
    </w:p>
    <w:p w14:paraId="01BA8AF7" w14:textId="77777777" w:rsidR="004F68A1" w:rsidRPr="009615E5" w:rsidRDefault="004F68A1" w:rsidP="00CD23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615E5">
        <w:rPr>
          <w:rFonts w:ascii="Times New Roman" w:hAnsi="Times New Roman" w:cs="Times New Roman"/>
          <w:sz w:val="24"/>
          <w:szCs w:val="24"/>
          <w:lang w:val="sr-Latn-ME"/>
        </w:rPr>
        <w:t>Koncept emanacije države (članice) u pravu Evropske unije</w:t>
      </w:r>
      <w:r w:rsidR="000441FC" w:rsidRPr="009615E5">
        <w:rPr>
          <w:rFonts w:ascii="Times New Roman" w:hAnsi="Times New Roman" w:cs="Times New Roman"/>
          <w:sz w:val="24"/>
          <w:szCs w:val="24"/>
          <w:lang w:val="sr-Latn-ME"/>
        </w:rPr>
        <w:t xml:space="preserve"> kao instrument širenja polja primjene načela vertikalnog neposrednog dejstva slobode kretanja</w:t>
      </w:r>
      <w:r w:rsidRPr="009615E5">
        <w:rPr>
          <w:rFonts w:ascii="Times New Roman" w:hAnsi="Times New Roman" w:cs="Times New Roman"/>
          <w:sz w:val="24"/>
          <w:szCs w:val="24"/>
          <w:lang w:val="sr-Latn-ME"/>
        </w:rPr>
        <w:t xml:space="preserve">; </w:t>
      </w:r>
    </w:p>
    <w:p w14:paraId="6C71DF33" w14:textId="77777777" w:rsidR="000441FC" w:rsidRPr="009615E5" w:rsidRDefault="000441FC" w:rsidP="00CD23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615E5">
        <w:rPr>
          <w:rFonts w:ascii="Times New Roman" w:hAnsi="Times New Roman" w:cs="Times New Roman"/>
          <w:sz w:val="24"/>
          <w:szCs w:val="24"/>
          <w:lang w:val="sr-Latn-ME"/>
        </w:rPr>
        <w:t>Alternative horizontalnom neposrednom dejstvu direktiva – kreativno tumačenje Suda pravde u funkciji harmonizovanja primjene prava EU</w:t>
      </w:r>
    </w:p>
    <w:p w14:paraId="678C8D94" w14:textId="77777777" w:rsidR="000441FC" w:rsidRPr="009615E5" w:rsidRDefault="000441FC" w:rsidP="00CD23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615E5">
        <w:rPr>
          <w:rFonts w:ascii="Times New Roman" w:hAnsi="Times New Roman" w:cs="Times New Roman"/>
          <w:sz w:val="24"/>
          <w:szCs w:val="24"/>
          <w:lang w:val="sr-Latn-ME"/>
        </w:rPr>
        <w:t>Razgraničenje između slobode kretanja kapitala i ostalih sloboda kretanja na unutrašnjem tržištu u praksi Suda pravde EU.</w:t>
      </w:r>
    </w:p>
    <w:p w14:paraId="162066D2" w14:textId="5FA9C6EB" w:rsidR="009615E5" w:rsidRDefault="009615E5" w:rsidP="00CD23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615E5">
        <w:rPr>
          <w:rFonts w:ascii="Times New Roman" w:hAnsi="Times New Roman" w:cs="Times New Roman"/>
          <w:sz w:val="24"/>
          <w:szCs w:val="24"/>
          <w:lang w:val="sr-Latn-ME"/>
        </w:rPr>
        <w:t>Nepisani razlozi opravdanja nediskriminatornih restriktivnih mjera jednakog učinka kao količinska ograničenja izvoza (slobode kretanja) robe – praksa Suda pravde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14:paraId="4D62F714" w14:textId="77777777" w:rsidR="00CB3EEB" w:rsidRPr="009615E5" w:rsidRDefault="00CB3EEB" w:rsidP="00CB3E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615E5">
        <w:rPr>
          <w:rFonts w:ascii="Times New Roman" w:hAnsi="Times New Roman" w:cs="Times New Roman"/>
          <w:sz w:val="24"/>
          <w:szCs w:val="24"/>
          <w:lang w:val="sr-Latn-ME"/>
        </w:rPr>
        <w:t>Slobode kretanja na unutrašnjem tržištu i Povelja EU o osnovnim pravima;</w:t>
      </w:r>
    </w:p>
    <w:p w14:paraId="0F410B80" w14:textId="77777777" w:rsidR="00CB3EEB" w:rsidRPr="009615E5" w:rsidRDefault="00CB3EEB" w:rsidP="00CB3EEB">
      <w:pPr>
        <w:pStyle w:val="ListParagraph"/>
        <w:ind w:left="501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4154A05" w14:textId="77777777" w:rsidR="004F68A1" w:rsidRPr="004F68A1" w:rsidRDefault="004F68A1" w:rsidP="004F68A1">
      <w:pPr>
        <w:pStyle w:val="ListParagraph"/>
        <w:ind w:left="501"/>
        <w:rPr>
          <w:rFonts w:ascii="Arial" w:hAnsi="Arial" w:cs="Arial"/>
          <w:sz w:val="24"/>
          <w:szCs w:val="24"/>
          <w:lang w:val="sr-Latn-ME"/>
        </w:rPr>
      </w:pPr>
    </w:p>
    <w:p w14:paraId="6FC5A9CF" w14:textId="77777777" w:rsidR="00CD23C0" w:rsidRPr="00CD23C0" w:rsidRDefault="00CD23C0" w:rsidP="00CD23C0">
      <w:pPr>
        <w:jc w:val="center"/>
        <w:rPr>
          <w:lang w:val="sr-Latn-ME"/>
        </w:rPr>
      </w:pPr>
    </w:p>
    <w:sectPr w:rsidR="00CD23C0" w:rsidRPr="00CD2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D5429"/>
    <w:multiLevelType w:val="hybridMultilevel"/>
    <w:tmpl w:val="643E0778"/>
    <w:lvl w:ilvl="0" w:tplc="73B69C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0C9B"/>
    <w:multiLevelType w:val="hybridMultilevel"/>
    <w:tmpl w:val="4D60D2EC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3C0"/>
    <w:rsid w:val="000441FC"/>
    <w:rsid w:val="001830EB"/>
    <w:rsid w:val="004F68A1"/>
    <w:rsid w:val="009615E5"/>
    <w:rsid w:val="00C43614"/>
    <w:rsid w:val="00CB3EEB"/>
    <w:rsid w:val="00CD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75860"/>
  <w15:chartTrackingRefBased/>
  <w15:docId w15:val="{431398E2-CCAD-490F-9B7A-498B790E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3C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D23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V.Savkovic</dc:creator>
  <cp:keywords/>
  <dc:description/>
  <cp:lastModifiedBy>PC</cp:lastModifiedBy>
  <cp:revision>3</cp:revision>
  <cp:lastPrinted>2021-02-19T07:05:00Z</cp:lastPrinted>
  <dcterms:created xsi:type="dcterms:W3CDTF">2021-01-11T01:43:00Z</dcterms:created>
  <dcterms:modified xsi:type="dcterms:W3CDTF">2021-02-19T11:29:00Z</dcterms:modified>
</cp:coreProperties>
</file>