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aramond" w:cs="Garamond" w:eastAsia="Garamond" w:hAnsi="Garamond"/>
          <w:b w:val="1"/>
          <w:sz w:val="32"/>
          <w:szCs w:val="32"/>
        </w:rPr>
      </w:pPr>
      <w:r w:rsidDel="00000000" w:rsidR="00000000" w:rsidRPr="00000000">
        <w:rPr>
          <w:rFonts w:ascii="Garamond" w:cs="Garamond" w:eastAsia="Garamond" w:hAnsi="Garamond"/>
          <w:b w:val="1"/>
          <w:sz w:val="32"/>
          <w:szCs w:val="32"/>
          <w:rtl w:val="0"/>
        </w:rPr>
        <w:t xml:space="preserve">Literatura iz predmeta Politika u postkomunističkim društvima</w:t>
      </w:r>
    </w:p>
    <w:p w:rsidR="00000000" w:rsidDel="00000000" w:rsidP="00000000" w:rsidRDefault="00000000" w:rsidRPr="00000000" w14:paraId="00000002">
      <w:pPr>
        <w:rPr>
          <w:rFonts w:ascii="Garamond" w:cs="Garamond" w:eastAsia="Garamond" w:hAnsi="Garamond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aramond" w:cs="Garamond" w:eastAsia="Garamond" w:hAnsi="Garamond"/>
          <w:b w:val="1"/>
          <w:i w:val="1"/>
          <w:color w:val="0070c0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color w:val="cc0000"/>
          <w:sz w:val="28"/>
          <w:szCs w:val="28"/>
          <w:rtl w:val="0"/>
        </w:rPr>
        <w:t xml:space="preserve">Tema I: </w:t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0070c0"/>
          <w:sz w:val="28"/>
          <w:szCs w:val="28"/>
          <w:rtl w:val="0"/>
        </w:rPr>
        <w:t xml:space="preserve">Predkomunistička društva i politika: carstva i međuratni period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Rothschild et al., Poglavlje I -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Interwar Background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(strane 1-23)</w:t>
      </w:r>
    </w:p>
    <w:p w:rsidR="00000000" w:rsidDel="00000000" w:rsidP="00000000" w:rsidRDefault="00000000" w:rsidRPr="00000000" w14:paraId="00000005">
      <w:pPr>
        <w:rPr>
          <w:rFonts w:ascii="Garamond" w:cs="Garamond" w:eastAsia="Garamond" w:hAnsi="Garamond"/>
          <w:b w:val="1"/>
          <w:i w:val="1"/>
          <w:color w:val="0070c0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i w:val="1"/>
          <w:color w:val="0070c0"/>
          <w:sz w:val="28"/>
          <w:szCs w:val="28"/>
          <w:rtl w:val="0"/>
        </w:rPr>
        <w:br w:type="textWrapping"/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cc0000"/>
          <w:sz w:val="28"/>
          <w:szCs w:val="28"/>
          <w:rtl w:val="0"/>
        </w:rPr>
        <w:t xml:space="preserve">Tema II: </w:t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0070c0"/>
          <w:sz w:val="28"/>
          <w:szCs w:val="28"/>
          <w:rtl w:val="0"/>
        </w:rPr>
        <w:t xml:space="preserve">Osvajanje moći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Rothschild et al., Poglavlje III -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he Communist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Come to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Power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(strane 75-125)</w:t>
      </w:r>
    </w:p>
    <w:p w:rsidR="00000000" w:rsidDel="00000000" w:rsidP="00000000" w:rsidRDefault="00000000" w:rsidRPr="00000000" w14:paraId="00000007">
      <w:pPr>
        <w:rPr>
          <w:rFonts w:ascii="Garamond" w:cs="Garamond" w:eastAsia="Garamond" w:hAnsi="Garamond"/>
          <w:b w:val="1"/>
          <w:i w:val="1"/>
          <w:color w:val="0070c0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i w:val="1"/>
          <w:color w:val="0070c0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cc0000"/>
          <w:sz w:val="28"/>
          <w:szCs w:val="28"/>
          <w:rtl w:val="0"/>
        </w:rPr>
        <w:t xml:space="preserve">Tema III: </w:t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0070c0"/>
          <w:sz w:val="28"/>
          <w:szCs w:val="28"/>
          <w:rtl w:val="0"/>
        </w:rPr>
        <w:t xml:space="preserve">Transformacija društva i sovjetski model</w:t>
      </w:r>
    </w:p>
    <w:p w:rsidR="00000000" w:rsidDel="00000000" w:rsidP="00000000" w:rsidRDefault="00000000" w:rsidRPr="00000000" w14:paraId="00000008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Stokes, Poglavlje VII -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The Case for Stalinism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(strane 44-51)</w:t>
      </w:r>
    </w:p>
    <w:p w:rsidR="00000000" w:rsidDel="00000000" w:rsidP="00000000" w:rsidRDefault="00000000" w:rsidRPr="00000000" w14:paraId="00000009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Rothschild et al., Poglavlje IV -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The Dialectics of Stalinism and Titoism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(strane 125-146)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920" w:lineRule="auto"/>
        <w:ind w:left="0" w:firstLine="0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1"/>
          <w:color w:val="0070c0"/>
          <w:sz w:val="28"/>
          <w:szCs w:val="28"/>
          <w:rtl w:val="0"/>
        </w:rPr>
        <w:br w:type="textWrapping"/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cc0000"/>
          <w:sz w:val="28"/>
          <w:szCs w:val="28"/>
          <w:rtl w:val="0"/>
        </w:rPr>
        <w:t xml:space="preserve">Tema IV:</w:t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0070c0"/>
          <w:sz w:val="28"/>
          <w:szCs w:val="28"/>
          <w:rtl w:val="0"/>
        </w:rPr>
        <w:t xml:space="preserve"> Reforma i adaptacija</w:t>
      </w:r>
      <w:r w:rsidDel="00000000" w:rsidR="00000000" w:rsidRPr="00000000">
        <w:rPr>
          <w:rFonts w:ascii="Garamond" w:cs="Garamond" w:eastAsia="Garamond" w:hAnsi="Garamond"/>
          <w:i w:val="1"/>
          <w:color w:val="0070c0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Rothschild et al., Poglavlje V -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The Revenge of the Repressed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(strane 166-173)</w:t>
        <w:br w:type="textWrapping"/>
        <w:t xml:space="preserve">Stokes, Poglavlje XIX -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Towards a Democratic Political Organization od society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(strane 123-126)</w:t>
        <w:br w:type="textWrapping"/>
        <w:br w:type="textWrapping"/>
        <w:t xml:space="preserve">Stokes, Poglavlje XIV -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The Origin od Self-Management in Yugoslavia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(strane 95-97)</w:t>
        <w:br w:type="textWrapping"/>
        <w:t xml:space="preserve">Stokes, Poglavlje XVI -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The New Class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(strane 101-107)</w:t>
      </w:r>
      <w:r w:rsidDel="00000000" w:rsidR="00000000" w:rsidRPr="00000000">
        <w:rPr>
          <w:rFonts w:ascii="Garamond" w:cs="Garamond" w:eastAsia="Garamond" w:hAnsi="Garamond"/>
          <w:i w:val="1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cc0000"/>
          <w:sz w:val="28"/>
          <w:szCs w:val="28"/>
          <w:rtl w:val="0"/>
        </w:rPr>
        <w:t xml:space="preserve">Tema V:  </w:t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0070c0"/>
          <w:sz w:val="28"/>
          <w:szCs w:val="28"/>
          <w:rtl w:val="0"/>
        </w:rPr>
        <w:t xml:space="preserve">Kolapas komunizma </w:t>
      </w:r>
      <w:r w:rsidDel="00000000" w:rsidR="00000000" w:rsidRPr="00000000">
        <w:rPr>
          <w:rFonts w:ascii="Garamond" w:cs="Garamond" w:eastAsia="Garamond" w:hAnsi="Garamond"/>
          <w:i w:val="1"/>
          <w:color w:val="0070c0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Rothschild et al., Poglavlje VII -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Var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ious Endgames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(strane 227-265)</w:t>
        <w:br w:type="textWrapping"/>
        <w:br w:type="textWrapping"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Stokes, Poglavlje XXXV -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Solidarity’s Program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(strane 209-214)</w:t>
        <w:br w:type="textWrapping"/>
        <w:t xml:space="preserve">Stokes, Poglavlje XXXVII -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The Tragedy of Central Europe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(strane 217-224)</w:t>
        <w:br w:type="textWrapping"/>
        <w:br w:type="textWrapping"/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cc0000"/>
          <w:sz w:val="28"/>
          <w:szCs w:val="28"/>
          <w:rtl w:val="0"/>
        </w:rPr>
        <w:t xml:space="preserve">Tema VI:</w:t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0070c0"/>
          <w:sz w:val="28"/>
          <w:szCs w:val="28"/>
          <w:rtl w:val="0"/>
        </w:rPr>
        <w:t xml:space="preserve">  Raspad Jugoslavije </w:t>
        <w:br w:type="textWrapping"/>
        <w:br w:type="textWrapping"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Stokes, Poglavlje XLVIII -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Memorandum of the Serbian Academy of Sciences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(strane 275-281)</w:t>
        <w:br w:type="textWrapping"/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0070c0"/>
          <w:sz w:val="28"/>
          <w:szCs w:val="28"/>
          <w:rtl w:val="0"/>
        </w:rPr>
        <w:br w:type="textWrapping"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Wolchik &amp; Curry, Poglavlje XIII -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Former Yugoslavia and Its Successors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(strane 277-313)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cc0000"/>
          <w:sz w:val="28"/>
          <w:szCs w:val="28"/>
          <w:rtl w:val="0"/>
        </w:rPr>
        <w:t xml:space="preserve">Tema VII:  </w:t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0070c0"/>
          <w:sz w:val="28"/>
          <w:szCs w:val="28"/>
          <w:rtl w:val="0"/>
        </w:rPr>
        <w:t xml:space="preserve">Transformacija u demokratiju </w:t>
        <w:br w:type="textWrapping"/>
        <w:br w:type="textWrapping"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Wolchik &amp; Curry, Poglavlje II -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Political Transition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(strane 31-53)</w:t>
      </w:r>
      <w:r w:rsidDel="00000000" w:rsidR="00000000" w:rsidRPr="00000000">
        <w:rPr>
          <w:rFonts w:ascii="Garamond" w:cs="Garamond" w:eastAsia="Garamond" w:hAnsi="Garamond"/>
          <w:i w:val="1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cc0000"/>
          <w:sz w:val="28"/>
          <w:szCs w:val="28"/>
          <w:rtl w:val="0"/>
        </w:rPr>
        <w:t xml:space="preserve">Tema VIII:</w:t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0070c0"/>
          <w:sz w:val="28"/>
          <w:szCs w:val="28"/>
          <w:rtl w:val="0"/>
        </w:rPr>
        <w:t xml:space="preserve">  Izbori i civilno društvo </w:t>
        <w:br w:type="textWrapping"/>
        <w:br w:type="textWrapping"/>
      </w:r>
      <w:r w:rsidDel="00000000" w:rsidR="00000000" w:rsidRPr="00000000">
        <w:rPr>
          <w:rFonts w:ascii="Garamond" w:cs="Garamond" w:eastAsia="Garamond" w:hAnsi="Garamond"/>
          <w:sz w:val="24"/>
          <w:szCs w:val="24"/>
          <w:highlight w:val="white"/>
          <w:rtl w:val="0"/>
        </w:rPr>
        <w:t xml:space="preserve">Beissinger, M. R. (2007). Structure and example in modular political phenomena: The diffusion of bulldozer/rose/orange/tulip revolutions.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highlight w:val="white"/>
          <w:rtl w:val="0"/>
        </w:rPr>
        <w:t xml:space="preserve">Perspectives on politics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highlight w:val="white"/>
          <w:rtl w:val="0"/>
        </w:rPr>
        <w:t xml:space="preserve">, 5(2), 259-276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cc0000"/>
          <w:sz w:val="28"/>
          <w:szCs w:val="28"/>
          <w:rtl w:val="0"/>
        </w:rPr>
        <w:t xml:space="preserve">Tema IX: </w:t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0070c0"/>
          <w:sz w:val="28"/>
          <w:szCs w:val="28"/>
          <w:rtl w:val="0"/>
        </w:rPr>
        <w:t xml:space="preserve"> Političke vrijednosti i stavovi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br w:type="textWrapping"/>
        <w:br w:type="textWrapping"/>
        <w:t xml:space="preserve">Howard, M. M. (2002). The weakness of postcommunist civil society.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Journal of democracy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13(1), 157-168.</w:t>
      </w: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cc0000"/>
          <w:sz w:val="28"/>
          <w:szCs w:val="28"/>
          <w:rtl w:val="0"/>
        </w:rPr>
        <w:t xml:space="preserve">Tema X:</w:t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0070c0"/>
          <w:sz w:val="28"/>
          <w:szCs w:val="28"/>
          <w:rtl w:val="0"/>
        </w:rPr>
        <w:t xml:space="preserve"> Političke elite i prošlost</w:t>
      </w:r>
      <w:r w:rsidDel="00000000" w:rsidR="00000000" w:rsidRPr="00000000">
        <w:rPr>
          <w:rFonts w:ascii="Garamond" w:cs="Garamond" w:eastAsia="Garamond" w:hAnsi="Garamond"/>
          <w:i w:val="1"/>
          <w:color w:val="0070c0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Huyse, L. (1995). Justice after transition: On the choices successor elites make in dealing with the past.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Law &amp; Social Inquiry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20(1), strane: 51-64.</w:t>
        <w:br w:type="textWrapping"/>
        <w:br w:type="textWrapping"/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cc0000"/>
          <w:sz w:val="28"/>
          <w:szCs w:val="28"/>
          <w:rtl w:val="0"/>
        </w:rPr>
        <w:t xml:space="preserve">Tema XI:</w:t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0070c0"/>
          <w:sz w:val="28"/>
          <w:szCs w:val="28"/>
          <w:rtl w:val="0"/>
        </w:rPr>
        <w:t xml:space="preserve"> Drustvene promjene, patologije i pitanja</w:t>
      </w:r>
      <w:r w:rsidDel="00000000" w:rsidR="00000000" w:rsidRPr="00000000">
        <w:rPr>
          <w:rFonts w:ascii="Garamond" w:cs="Garamond" w:eastAsia="Garamond" w:hAnsi="Garamond"/>
          <w:i w:val="1"/>
          <w:color w:val="0070c0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Wolchik &amp; Curry, Poglavlje IV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Ethnicity, Nationalism, and Expansion of Democracy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(strane 83-109)</w:t>
        <w:br w:type="textWrapping"/>
        <w:br w:type="textWrapping"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Stokes, Poglavlje XLIV -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Patriotism: A Vital Necessity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(strane 259-262)</w:t>
        <w:br w:type="textWrapping"/>
        <w:br w:type="textWrapping"/>
        <w:br w:type="textWrapping"/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cc0000"/>
          <w:sz w:val="28"/>
          <w:szCs w:val="28"/>
          <w:rtl w:val="0"/>
        </w:rPr>
        <w:t xml:space="preserve">Tema XII: </w:t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0070c0"/>
          <w:sz w:val="28"/>
          <w:szCs w:val="28"/>
          <w:rtl w:val="0"/>
        </w:rPr>
        <w:t xml:space="preserve">Nazad na trzisnu ekonomiju</w:t>
      </w:r>
      <w:r w:rsidDel="00000000" w:rsidR="00000000" w:rsidRPr="00000000">
        <w:rPr>
          <w:rFonts w:ascii="Garamond" w:cs="Garamond" w:eastAsia="Garamond" w:hAnsi="Garamond"/>
          <w:i w:val="1"/>
          <w:color w:val="0070c0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Wolchik &amp; Curry, Poglavlje III -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Re-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reating the Market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(strane 53-83)</w:t>
      </w:r>
    </w:p>
    <w:p w:rsidR="00000000" w:rsidDel="00000000" w:rsidP="00000000" w:rsidRDefault="00000000" w:rsidRPr="00000000" w14:paraId="0000000B">
      <w:pPr>
        <w:rPr>
          <w:rFonts w:ascii="Garamond" w:cs="Garamond" w:eastAsia="Garamond" w:hAnsi="Garamond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209D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389VBJHhnxlrVl9AKKxx0yMHNA==">AMUW2mWbtyAjPvb1zFcyAmrwWq7xw/3rZVk02hNoPifaBXgfdxcNrqDvPZPiyAHM0Yu3lXD57UhCejoaCpIuOPh+hk/kdHM89SlNIbX3b6cxKMeej/KnUfg=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2022-11-24T09:22:00Z</dcterms:created>
  <dc:creator>Student</dc:creator>
</cp:coreProperties>
</file>