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27CC" w14:textId="3EF7089D" w:rsidR="008650AA" w:rsidRPr="008650AA" w:rsidRDefault="008650AA">
      <w:pPr>
        <w:rPr>
          <w:rFonts w:ascii="Garamond" w:hAnsi="Garamond"/>
          <w:lang w:val="sr-Latn-RS"/>
        </w:rPr>
      </w:pPr>
      <w:r w:rsidRPr="008650AA">
        <w:rPr>
          <w:rFonts w:ascii="Garamond" w:hAnsi="Garamond"/>
          <w:lang w:val="sr-Latn-RS"/>
        </w:rPr>
        <w:t>Ispitna pitanja – Analiza medijskog diskursa</w:t>
      </w:r>
    </w:p>
    <w:p w14:paraId="27881F48" w14:textId="77777777" w:rsidR="008650AA" w:rsidRDefault="008650AA">
      <w:pPr>
        <w:rPr>
          <w:lang w:val="sr-Latn-RS"/>
        </w:rPr>
      </w:pPr>
    </w:p>
    <w:p w14:paraId="2E67B4DE" w14:textId="4F86D25A" w:rsidR="008650AA" w:rsidRPr="008650AA" w:rsidRDefault="008650AA" w:rsidP="008650AA">
      <w:pPr>
        <w:spacing w:line="360" w:lineRule="auto"/>
        <w:rPr>
          <w:rFonts w:ascii="Garamond" w:hAnsi="Garamond"/>
          <w:lang w:val="sr-Latn-RS"/>
        </w:rPr>
      </w:pPr>
      <w:r w:rsidRPr="008650AA">
        <w:rPr>
          <w:rFonts w:ascii="Garamond" w:hAnsi="Garamond"/>
          <w:lang w:val="sr-Latn-RS"/>
        </w:rPr>
        <w:t>1. Analiza diskursa – definicija</w:t>
      </w:r>
    </w:p>
    <w:p w14:paraId="7A8926FB" w14:textId="11D9AC97" w:rsidR="008650AA" w:rsidRPr="008650AA" w:rsidRDefault="008650AA" w:rsidP="008650AA">
      <w:pPr>
        <w:spacing w:line="360" w:lineRule="auto"/>
        <w:rPr>
          <w:rFonts w:ascii="Garamond" w:hAnsi="Garamond"/>
          <w:lang w:val="sr-Latn-RS"/>
        </w:rPr>
      </w:pPr>
      <w:r w:rsidRPr="008650AA">
        <w:rPr>
          <w:rFonts w:ascii="Garamond" w:hAnsi="Garamond"/>
          <w:lang w:val="sr-Latn-RS"/>
        </w:rPr>
        <w:t>2. Diskurs i tekst</w:t>
      </w:r>
    </w:p>
    <w:p w14:paraId="4081E79B" w14:textId="0EC22111" w:rsidR="008650AA" w:rsidRPr="008650AA" w:rsidRDefault="008650AA" w:rsidP="008650AA">
      <w:pPr>
        <w:spacing w:line="360" w:lineRule="auto"/>
        <w:rPr>
          <w:rFonts w:ascii="Garamond" w:hAnsi="Garamond"/>
          <w:lang w:val="sr-Latn-RS"/>
        </w:rPr>
      </w:pPr>
      <w:r w:rsidRPr="008650AA">
        <w:rPr>
          <w:rFonts w:ascii="Garamond" w:hAnsi="Garamond"/>
          <w:lang w:val="sr-Latn-RS"/>
        </w:rPr>
        <w:t>3. Karakteristike pisanog diskursa</w:t>
      </w:r>
    </w:p>
    <w:p w14:paraId="39825379" w14:textId="6DC17E8E" w:rsidR="008650AA" w:rsidRPr="008650AA" w:rsidRDefault="008650AA" w:rsidP="008650AA">
      <w:pPr>
        <w:spacing w:line="360" w:lineRule="auto"/>
        <w:rPr>
          <w:rFonts w:ascii="Garamond" w:hAnsi="Garamond"/>
          <w:lang w:val="sr-Latn-RS"/>
        </w:rPr>
      </w:pPr>
      <w:r w:rsidRPr="008650AA">
        <w:rPr>
          <w:rFonts w:ascii="Garamond" w:hAnsi="Garamond"/>
          <w:lang w:val="sr-Latn-RS"/>
        </w:rPr>
        <w:t>4. Karakteristike govornog diskursa</w:t>
      </w:r>
    </w:p>
    <w:p w14:paraId="11FBDF85" w14:textId="33702E29" w:rsidR="008650AA" w:rsidRPr="008650AA" w:rsidRDefault="008650AA" w:rsidP="008650AA">
      <w:pPr>
        <w:spacing w:line="360" w:lineRule="auto"/>
        <w:rPr>
          <w:rFonts w:ascii="Garamond" w:hAnsi="Garamond"/>
          <w:lang w:val="sr-Latn-RS"/>
        </w:rPr>
      </w:pPr>
      <w:r w:rsidRPr="008650AA">
        <w:rPr>
          <w:rFonts w:ascii="Garamond" w:hAnsi="Garamond"/>
          <w:lang w:val="sr-Latn-RS"/>
        </w:rPr>
        <w:t>5. Kontekst u pisanom diskursu</w:t>
      </w:r>
    </w:p>
    <w:p w14:paraId="4899CFCE" w14:textId="71E635F2" w:rsidR="008650AA" w:rsidRPr="008650AA" w:rsidRDefault="008650AA" w:rsidP="008650AA">
      <w:pPr>
        <w:spacing w:line="360" w:lineRule="auto"/>
        <w:rPr>
          <w:rFonts w:ascii="Garamond" w:hAnsi="Garamond"/>
          <w:lang w:val="sr-Latn-RS"/>
        </w:rPr>
      </w:pPr>
      <w:r w:rsidRPr="008650AA">
        <w:rPr>
          <w:rFonts w:ascii="Garamond" w:hAnsi="Garamond"/>
          <w:lang w:val="sr-Latn-RS"/>
        </w:rPr>
        <w:t>6. Kohezija i koherentnost u pisanom diskursu</w:t>
      </w:r>
    </w:p>
    <w:p w14:paraId="3685DFE4" w14:textId="0AC305BD" w:rsidR="008650AA" w:rsidRPr="008650AA" w:rsidRDefault="008650AA" w:rsidP="008650AA">
      <w:pPr>
        <w:spacing w:line="360" w:lineRule="auto"/>
        <w:rPr>
          <w:rFonts w:ascii="Garamond" w:hAnsi="Garamond"/>
          <w:lang w:val="sr-Latn-RS"/>
        </w:rPr>
      </w:pPr>
      <w:r w:rsidRPr="008650AA">
        <w:rPr>
          <w:rFonts w:ascii="Garamond" w:hAnsi="Garamond"/>
          <w:lang w:val="sr-Latn-RS"/>
        </w:rPr>
        <w:t>7. Karakteristike govornog diskursa</w:t>
      </w:r>
    </w:p>
    <w:p w14:paraId="37EC940D" w14:textId="7873AE62" w:rsidR="008650AA" w:rsidRPr="008650AA" w:rsidRDefault="008650AA" w:rsidP="008650AA">
      <w:pPr>
        <w:spacing w:line="360" w:lineRule="auto"/>
        <w:rPr>
          <w:rFonts w:ascii="Garamond" w:hAnsi="Garamond"/>
          <w:lang w:val="sr-Latn-RS"/>
        </w:rPr>
      </w:pPr>
      <w:r w:rsidRPr="008650AA">
        <w:rPr>
          <w:rFonts w:ascii="Garamond" w:hAnsi="Garamond"/>
          <w:lang w:val="sr-Latn-RS"/>
        </w:rPr>
        <w:t>8. Analiza medijskog diskursa</w:t>
      </w:r>
    </w:p>
    <w:p w14:paraId="5DEDD107" w14:textId="6FBB6DD1" w:rsidR="008650AA" w:rsidRPr="008650AA" w:rsidRDefault="008650AA" w:rsidP="008650AA">
      <w:pPr>
        <w:spacing w:line="360" w:lineRule="auto"/>
        <w:rPr>
          <w:rFonts w:ascii="Garamond" w:hAnsi="Garamond"/>
          <w:lang w:val="sr-Latn-RS"/>
        </w:rPr>
      </w:pPr>
      <w:r w:rsidRPr="008650AA">
        <w:rPr>
          <w:rFonts w:ascii="Garamond" w:hAnsi="Garamond"/>
          <w:lang w:val="sr-Latn-RS"/>
        </w:rPr>
        <w:t>9. Kritička analiza diskursa</w:t>
      </w:r>
    </w:p>
    <w:p w14:paraId="7A3E4B10" w14:textId="0B928629" w:rsidR="008650AA" w:rsidRPr="008650AA" w:rsidRDefault="008650AA" w:rsidP="008650AA">
      <w:pPr>
        <w:spacing w:line="360" w:lineRule="auto"/>
        <w:rPr>
          <w:rFonts w:ascii="Garamond" w:hAnsi="Garamond"/>
          <w:lang w:val="sr-Latn-RS"/>
        </w:rPr>
      </w:pPr>
      <w:r w:rsidRPr="008650AA">
        <w:rPr>
          <w:rFonts w:ascii="Garamond" w:hAnsi="Garamond"/>
          <w:lang w:val="sr-Latn-RS"/>
        </w:rPr>
        <w:t xml:space="preserve">10. </w:t>
      </w:r>
      <w:r w:rsidR="001411A8">
        <w:rPr>
          <w:rFonts w:ascii="Garamond" w:hAnsi="Garamond"/>
          <w:lang w:val="sr-Latn-RS"/>
        </w:rPr>
        <w:t>I</w:t>
      </w:r>
      <w:r w:rsidRPr="008650AA">
        <w:rPr>
          <w:rFonts w:ascii="Garamond" w:hAnsi="Garamond"/>
          <w:lang w:val="sr-Latn-RS"/>
        </w:rPr>
        <w:t>storijski razvoj kritičke analize diskursa</w:t>
      </w:r>
    </w:p>
    <w:p w14:paraId="4E335BAD" w14:textId="448DB8F8" w:rsidR="008650AA" w:rsidRPr="008650AA" w:rsidRDefault="008650AA" w:rsidP="008650AA">
      <w:pPr>
        <w:spacing w:line="360" w:lineRule="auto"/>
        <w:rPr>
          <w:rFonts w:ascii="Garamond" w:hAnsi="Garamond"/>
          <w:lang w:val="sr-Latn-RS"/>
        </w:rPr>
      </w:pPr>
      <w:r w:rsidRPr="008650AA">
        <w:rPr>
          <w:rFonts w:ascii="Garamond" w:hAnsi="Garamond"/>
          <w:lang w:val="sr-Latn-RS"/>
        </w:rPr>
        <w:t>11. Osnovni pojmovi u kritičkoj analizi diskursa</w:t>
      </w:r>
    </w:p>
    <w:p w14:paraId="267D9F64" w14:textId="7AFB6E54" w:rsidR="008650AA" w:rsidRPr="008650AA" w:rsidRDefault="008650AA" w:rsidP="008650AA">
      <w:pPr>
        <w:spacing w:line="360" w:lineRule="auto"/>
        <w:rPr>
          <w:rFonts w:ascii="Garamond" w:hAnsi="Garamond"/>
          <w:lang w:val="sr-Latn-RS"/>
        </w:rPr>
      </w:pPr>
      <w:r w:rsidRPr="008650AA">
        <w:rPr>
          <w:rFonts w:ascii="Garamond" w:hAnsi="Garamond"/>
          <w:lang w:val="sr-Latn-RS"/>
        </w:rPr>
        <w:t>12. Socijalna teorija diskursa</w:t>
      </w:r>
    </w:p>
    <w:p w14:paraId="7725A948" w14:textId="0F317883" w:rsidR="008650AA" w:rsidRPr="008650AA" w:rsidRDefault="008650AA" w:rsidP="008650AA">
      <w:pPr>
        <w:spacing w:line="360" w:lineRule="auto"/>
        <w:rPr>
          <w:rFonts w:ascii="Garamond" w:hAnsi="Garamond"/>
          <w:lang w:val="sr-Latn-RS"/>
        </w:rPr>
      </w:pPr>
      <w:r w:rsidRPr="008650AA">
        <w:rPr>
          <w:rFonts w:ascii="Garamond" w:hAnsi="Garamond"/>
          <w:lang w:val="sr-Latn-RS"/>
        </w:rPr>
        <w:t xml:space="preserve">13. </w:t>
      </w:r>
      <w:proofErr w:type="spellStart"/>
      <w:r w:rsidRPr="008650AA">
        <w:rPr>
          <w:rFonts w:ascii="Garamond" w:hAnsi="Garamond"/>
          <w:lang w:val="sr-Latn-RS"/>
        </w:rPr>
        <w:t>Socio</w:t>
      </w:r>
      <w:proofErr w:type="spellEnd"/>
      <w:r w:rsidRPr="008650AA">
        <w:rPr>
          <w:rFonts w:ascii="Garamond" w:hAnsi="Garamond"/>
          <w:lang w:val="sr-Latn-RS"/>
        </w:rPr>
        <w:t>-istorijski pristup u okviru kritičke analize diskursa</w:t>
      </w:r>
    </w:p>
    <w:p w14:paraId="7798CB76" w14:textId="38312F1A" w:rsidR="008650AA" w:rsidRPr="008650AA" w:rsidRDefault="008650AA" w:rsidP="008650AA">
      <w:pPr>
        <w:spacing w:line="360" w:lineRule="auto"/>
        <w:rPr>
          <w:rFonts w:ascii="Garamond" w:hAnsi="Garamond"/>
          <w:lang w:val="sr-Latn-RS"/>
        </w:rPr>
      </w:pPr>
      <w:r w:rsidRPr="008650AA">
        <w:rPr>
          <w:rFonts w:ascii="Garamond" w:hAnsi="Garamond"/>
          <w:lang w:val="sr-Latn-RS"/>
        </w:rPr>
        <w:t xml:space="preserve">14. </w:t>
      </w:r>
      <w:proofErr w:type="spellStart"/>
      <w:r w:rsidRPr="008650AA">
        <w:rPr>
          <w:rFonts w:ascii="Garamond" w:hAnsi="Garamond"/>
          <w:lang w:val="sr-Latn-RS"/>
        </w:rPr>
        <w:t>Socio</w:t>
      </w:r>
      <w:proofErr w:type="spellEnd"/>
      <w:r w:rsidRPr="008650AA">
        <w:rPr>
          <w:rFonts w:ascii="Garamond" w:hAnsi="Garamond"/>
          <w:lang w:val="sr-Latn-RS"/>
        </w:rPr>
        <w:t>-kognitivni pristup u okviru kritičke analize diskursa</w:t>
      </w:r>
    </w:p>
    <w:p w14:paraId="6BD52C51" w14:textId="1017E1CE" w:rsidR="008650AA" w:rsidRPr="008650AA" w:rsidRDefault="008650AA" w:rsidP="008650AA">
      <w:pPr>
        <w:spacing w:line="360" w:lineRule="auto"/>
        <w:rPr>
          <w:rFonts w:ascii="Garamond" w:hAnsi="Garamond"/>
          <w:lang w:val="sr-Latn-RS"/>
        </w:rPr>
      </w:pPr>
      <w:r w:rsidRPr="008650AA">
        <w:rPr>
          <w:rFonts w:ascii="Garamond" w:hAnsi="Garamond"/>
          <w:lang w:val="sr-Latn-RS"/>
        </w:rPr>
        <w:t>15. Konverzaciona analiza</w:t>
      </w:r>
    </w:p>
    <w:p w14:paraId="16D12694" w14:textId="6E00B8EE" w:rsidR="008650AA" w:rsidRPr="008650AA" w:rsidRDefault="008650AA" w:rsidP="008650AA">
      <w:pPr>
        <w:spacing w:line="360" w:lineRule="auto"/>
        <w:rPr>
          <w:rFonts w:ascii="Garamond" w:hAnsi="Garamond"/>
          <w:lang w:val="sr-Latn-RS"/>
        </w:rPr>
      </w:pPr>
      <w:r w:rsidRPr="008650AA">
        <w:rPr>
          <w:rFonts w:ascii="Garamond" w:hAnsi="Garamond"/>
          <w:lang w:val="sr-Latn-RS"/>
        </w:rPr>
        <w:t xml:space="preserve">16. Konverzaciona analiza kod </w:t>
      </w:r>
      <w:proofErr w:type="spellStart"/>
      <w:r w:rsidRPr="008650AA">
        <w:rPr>
          <w:rFonts w:ascii="Garamond" w:hAnsi="Garamond"/>
          <w:lang w:val="sr-Latn-RS"/>
        </w:rPr>
        <w:t>Šeglofa</w:t>
      </w:r>
      <w:proofErr w:type="spellEnd"/>
    </w:p>
    <w:p w14:paraId="62E8CBF8" w14:textId="4D8C1C59" w:rsidR="008650AA" w:rsidRPr="008650AA" w:rsidRDefault="008650AA" w:rsidP="008650AA">
      <w:pPr>
        <w:spacing w:line="360" w:lineRule="auto"/>
        <w:rPr>
          <w:rFonts w:ascii="Garamond" w:hAnsi="Garamond"/>
          <w:lang w:val="sr-Latn-RS"/>
        </w:rPr>
      </w:pPr>
      <w:r w:rsidRPr="008650AA">
        <w:rPr>
          <w:rFonts w:ascii="Garamond" w:hAnsi="Garamond"/>
          <w:lang w:val="sr-Latn-RS"/>
        </w:rPr>
        <w:t>17. Transkripcija</w:t>
      </w:r>
    </w:p>
    <w:p w14:paraId="0E05F9ED" w14:textId="59677E2B" w:rsidR="008650AA" w:rsidRPr="008650AA" w:rsidRDefault="008650AA" w:rsidP="008650AA">
      <w:pPr>
        <w:spacing w:line="360" w:lineRule="auto"/>
        <w:rPr>
          <w:rFonts w:ascii="Garamond" w:hAnsi="Garamond"/>
          <w:lang w:val="sr-Latn-RS"/>
        </w:rPr>
      </w:pPr>
      <w:r w:rsidRPr="008650AA">
        <w:rPr>
          <w:rFonts w:ascii="Garamond" w:hAnsi="Garamond"/>
          <w:lang w:val="sr-Latn-RS"/>
        </w:rPr>
        <w:t xml:space="preserve">18. Kognitivni interfejs, mentalni modeli i društvena </w:t>
      </w:r>
      <w:proofErr w:type="spellStart"/>
      <w:r w:rsidRPr="008650AA">
        <w:rPr>
          <w:rFonts w:ascii="Garamond" w:hAnsi="Garamond"/>
          <w:lang w:val="sr-Latn-RS"/>
        </w:rPr>
        <w:t>kognicija</w:t>
      </w:r>
      <w:proofErr w:type="spellEnd"/>
      <w:r w:rsidRPr="008650AA">
        <w:rPr>
          <w:rFonts w:ascii="Garamond" w:hAnsi="Garamond"/>
          <w:lang w:val="sr-Latn-RS"/>
        </w:rPr>
        <w:t xml:space="preserve"> u </w:t>
      </w:r>
      <w:proofErr w:type="spellStart"/>
      <w:r w:rsidRPr="008650AA">
        <w:rPr>
          <w:rFonts w:ascii="Garamond" w:hAnsi="Garamond"/>
          <w:lang w:val="sr-Latn-RS"/>
        </w:rPr>
        <w:t>socio</w:t>
      </w:r>
      <w:proofErr w:type="spellEnd"/>
      <w:r w:rsidRPr="008650AA">
        <w:rPr>
          <w:rFonts w:ascii="Garamond" w:hAnsi="Garamond"/>
          <w:lang w:val="sr-Latn-RS"/>
        </w:rPr>
        <w:t>-kognitivnom pristupu Van Dajka</w:t>
      </w:r>
    </w:p>
    <w:p w14:paraId="6D594D35" w14:textId="4241F32E" w:rsidR="008650AA" w:rsidRPr="008650AA" w:rsidRDefault="008650AA" w:rsidP="008650AA">
      <w:pPr>
        <w:spacing w:line="360" w:lineRule="auto"/>
        <w:rPr>
          <w:rFonts w:ascii="Garamond" w:hAnsi="Garamond"/>
          <w:lang w:val="sr-Latn-RS"/>
        </w:rPr>
      </w:pPr>
      <w:r w:rsidRPr="008650AA">
        <w:rPr>
          <w:rFonts w:ascii="Garamond" w:hAnsi="Garamond"/>
          <w:lang w:val="sr-Latn-RS"/>
        </w:rPr>
        <w:t>19. Psihoanalitička analiza diskursa</w:t>
      </w:r>
    </w:p>
    <w:p w14:paraId="63014046" w14:textId="37FF9892" w:rsidR="008650AA" w:rsidRPr="008650AA" w:rsidRDefault="008650AA" w:rsidP="008650AA">
      <w:pPr>
        <w:spacing w:line="360" w:lineRule="auto"/>
        <w:rPr>
          <w:rFonts w:ascii="Garamond" w:hAnsi="Garamond"/>
          <w:lang w:val="sr-Latn-RS"/>
        </w:rPr>
      </w:pPr>
      <w:r w:rsidRPr="008650AA">
        <w:rPr>
          <w:rFonts w:ascii="Garamond" w:hAnsi="Garamond"/>
          <w:lang w:val="sr-Latn-RS"/>
        </w:rPr>
        <w:t>20. Manipulacija kao diskurzivni, kognitivni i društveni fenomen</w:t>
      </w:r>
    </w:p>
    <w:p w14:paraId="321D6A1A" w14:textId="2E01FA59" w:rsidR="008650AA" w:rsidRPr="008650AA" w:rsidRDefault="008650AA" w:rsidP="008650AA">
      <w:pPr>
        <w:spacing w:line="360" w:lineRule="auto"/>
        <w:rPr>
          <w:rFonts w:ascii="Garamond" w:hAnsi="Garamond"/>
          <w:lang w:val="sr-Latn-RS"/>
        </w:rPr>
      </w:pPr>
      <w:r w:rsidRPr="008650AA">
        <w:rPr>
          <w:rFonts w:ascii="Garamond" w:hAnsi="Garamond"/>
          <w:lang w:val="sr-Latn-RS"/>
        </w:rPr>
        <w:t>21. Strategije reprezentacije u tradicionalnim (masovnim) medijima</w:t>
      </w:r>
    </w:p>
    <w:p w14:paraId="712C8B49" w14:textId="4712E30D" w:rsidR="008650AA" w:rsidRPr="008650AA" w:rsidRDefault="008650AA" w:rsidP="008650AA">
      <w:pPr>
        <w:spacing w:line="360" w:lineRule="auto"/>
        <w:rPr>
          <w:rFonts w:ascii="Garamond" w:hAnsi="Garamond"/>
          <w:lang w:val="sr-Latn-RS"/>
        </w:rPr>
      </w:pPr>
      <w:r w:rsidRPr="008650AA">
        <w:rPr>
          <w:rFonts w:ascii="Garamond" w:hAnsi="Garamond"/>
          <w:lang w:val="sr-Latn-RS"/>
        </w:rPr>
        <w:t>22. Strategije reprezentacije u medijima manjina</w:t>
      </w:r>
    </w:p>
    <w:sectPr w:rsidR="008650AA" w:rsidRPr="008650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AA"/>
    <w:rsid w:val="001411A8"/>
    <w:rsid w:val="0086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FF5F1BA"/>
  <w15:chartTrackingRefBased/>
  <w15:docId w15:val="{185C80B0-49CF-F046-825C-8888AE9D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Davidovic</dc:creator>
  <cp:keywords/>
  <dc:description/>
  <cp:lastModifiedBy>Jovana Davidovic</cp:lastModifiedBy>
  <cp:revision>2</cp:revision>
  <dcterms:created xsi:type="dcterms:W3CDTF">2023-12-27T10:51:00Z</dcterms:created>
  <dcterms:modified xsi:type="dcterms:W3CDTF">2023-12-27T12:42:00Z</dcterms:modified>
</cp:coreProperties>
</file>