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05327" w14:textId="77777777" w:rsidR="00FF4E4E" w:rsidRDefault="00FF4E4E" w:rsidP="00FF4E4E">
      <w:pPr>
        <w:tabs>
          <w:tab w:val="left" w:pos="1134"/>
          <w:tab w:val="left" w:pos="7797"/>
        </w:tabs>
        <w:spacing w:after="0" w:line="240" w:lineRule="auto"/>
        <w:rPr>
          <w:rFonts w:ascii="Arial" w:hAnsi="Arial" w:cs="Arial"/>
          <w:bCs/>
          <w:lang w:val="hr-HR"/>
        </w:rPr>
      </w:pPr>
      <w:bookmarkStart w:id="0" w:name="_GoBack"/>
      <w:bookmarkEnd w:id="0"/>
      <w:r>
        <w:tab/>
      </w:r>
    </w:p>
    <w:p w14:paraId="2562D88F" w14:textId="77777777" w:rsidR="00FF4E4E" w:rsidRPr="00220D1A" w:rsidRDefault="00FF4E4E" w:rsidP="00FF4E4E">
      <w:pPr>
        <w:jc w:val="center"/>
        <w:rPr>
          <w:rFonts w:ascii="Arial" w:hAnsi="Arial" w:cs="Arial"/>
          <w:b/>
          <w:i/>
        </w:rPr>
      </w:pPr>
      <w:r w:rsidRPr="00220D1A">
        <w:rPr>
          <w:rFonts w:ascii="Arial" w:hAnsi="Arial" w:cs="Arial"/>
          <w:b/>
          <w:i/>
        </w:rPr>
        <w:t>- REZIME -</w:t>
      </w:r>
    </w:p>
    <w:p w14:paraId="5C1ABFA3" w14:textId="77777777" w:rsidR="00FF4E4E" w:rsidRPr="00220D1A" w:rsidRDefault="00FF4E4E" w:rsidP="00FF4E4E">
      <w:pPr>
        <w:jc w:val="center"/>
        <w:rPr>
          <w:rFonts w:ascii="Arial" w:hAnsi="Arial" w:cs="Arial"/>
          <w:b/>
          <w:i/>
        </w:rPr>
      </w:pPr>
      <w:r w:rsidRPr="00220D1A">
        <w:rPr>
          <w:rFonts w:ascii="Arial" w:hAnsi="Arial" w:cs="Arial"/>
          <w:b/>
          <w:i/>
        </w:rPr>
        <w:t>Strategija digitalne transformacije Crne Gore 2022-2026</w:t>
      </w:r>
    </w:p>
    <w:p w14:paraId="0936BA51" w14:textId="77777777" w:rsidR="00FF4E4E" w:rsidRPr="00220D1A" w:rsidRDefault="00FF4E4E" w:rsidP="00FF4E4E">
      <w:pPr>
        <w:jc w:val="center"/>
        <w:rPr>
          <w:rFonts w:ascii="Arial" w:hAnsi="Arial" w:cs="Arial"/>
          <w:i/>
        </w:rPr>
      </w:pPr>
    </w:p>
    <w:p w14:paraId="139670B2" w14:textId="77777777" w:rsidR="00FF4E4E" w:rsidRDefault="00FF4E4E" w:rsidP="00B464EC">
      <w:pPr>
        <w:spacing w:line="276" w:lineRule="auto"/>
        <w:jc w:val="both"/>
        <w:rPr>
          <w:rFonts w:ascii="Arial" w:eastAsia="Times New Roman" w:hAnsi="Arial" w:cs="Arial"/>
          <w:color w:val="000000"/>
          <w:shd w:val="clear" w:color="auto" w:fill="FFFFFF"/>
        </w:rPr>
      </w:pPr>
      <w:r w:rsidRPr="00220D1A">
        <w:rPr>
          <w:rFonts w:ascii="Arial" w:eastAsia="Times New Roman" w:hAnsi="Arial" w:cs="Arial"/>
          <w:color w:val="000000"/>
          <w:shd w:val="clear" w:color="auto" w:fill="FFFFFF"/>
        </w:rPr>
        <w:t xml:space="preserve">Ministarstvo javne uprave, digitalnog društva i medija, kao predlagač, shodno Programu rada Vlade Crne Gore za 2021. godinu, je pripremilo </w:t>
      </w:r>
      <w:r w:rsidRPr="00220D1A">
        <w:rPr>
          <w:rFonts w:ascii="Arial" w:eastAsia="Times New Roman" w:hAnsi="Arial" w:cs="Arial"/>
          <w:b/>
          <w:color w:val="000000"/>
          <w:shd w:val="clear" w:color="auto" w:fill="FFFFFF"/>
        </w:rPr>
        <w:t>Predlog Strategije digitalne transformacije Crne Gore 2022-2026</w:t>
      </w:r>
      <w:r w:rsidRPr="00220D1A">
        <w:rPr>
          <w:rFonts w:ascii="Arial" w:eastAsia="Times New Roman" w:hAnsi="Arial" w:cs="Arial"/>
          <w:color w:val="000000"/>
          <w:shd w:val="clear" w:color="auto" w:fill="FFFFFF"/>
        </w:rPr>
        <w:t xml:space="preserve"> sa Akcionim planom za 2022. i 2023. godinu. </w:t>
      </w:r>
    </w:p>
    <w:p w14:paraId="0D6E2A25" w14:textId="77777777" w:rsidR="00FF4E4E" w:rsidRDefault="00FF4E4E" w:rsidP="00B464EC">
      <w:pPr>
        <w:keepNext/>
        <w:pBdr>
          <w:top w:val="nil"/>
          <w:left w:val="nil"/>
          <w:bottom w:val="nil"/>
          <w:right w:val="nil"/>
          <w:between w:val="nil"/>
        </w:pBdr>
        <w:spacing w:after="240" w:line="276" w:lineRule="auto"/>
        <w:jc w:val="center"/>
      </w:pPr>
      <w:r>
        <w:rPr>
          <w:rFonts w:ascii="Arial" w:hAnsi="Arial" w:cs="Arial"/>
          <w:noProof/>
          <w:color w:val="000000"/>
        </w:rPr>
        <w:drawing>
          <wp:inline distT="0" distB="0" distL="0" distR="0" wp14:anchorId="756B65E0" wp14:editId="343038EA">
            <wp:extent cx="5753100" cy="3238500"/>
            <wp:effectExtent l="0" t="0" r="0" b="0"/>
            <wp:docPr id="21" name="Picture 21" descr="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inline>
        </w:drawing>
      </w:r>
    </w:p>
    <w:p w14:paraId="565379DF" w14:textId="77777777" w:rsidR="00FF4E4E" w:rsidRDefault="00FF4E4E" w:rsidP="00FF4E4E">
      <w:pPr>
        <w:pStyle w:val="Caption"/>
        <w:jc w:val="center"/>
      </w:pPr>
      <w:r>
        <w:t>Tok i rezultati procesa</w:t>
      </w:r>
    </w:p>
    <w:p w14:paraId="5B775533" w14:textId="77777777" w:rsidR="00FF4E4E" w:rsidRDefault="00FF4E4E" w:rsidP="00B464EC">
      <w:pPr>
        <w:spacing w:line="276" w:lineRule="auto"/>
        <w:jc w:val="both"/>
        <w:rPr>
          <w:rFonts w:ascii="Arial" w:eastAsia="Times New Roman" w:hAnsi="Arial" w:cs="Arial"/>
          <w:color w:val="000000"/>
          <w:shd w:val="clear" w:color="auto" w:fill="FFFFFF"/>
        </w:rPr>
      </w:pPr>
      <w:r w:rsidRPr="00220D1A">
        <w:rPr>
          <w:rFonts w:ascii="Arial" w:eastAsia="Times New Roman" w:hAnsi="Arial" w:cs="Arial"/>
          <w:color w:val="000000"/>
          <w:shd w:val="clear" w:color="auto" w:fill="FFFFFF"/>
        </w:rPr>
        <w:t xml:space="preserve">Strategija digitalne transformacije Crne Gore 2022-2026 predstavlja razvojni okvir koji će definisati preduslove i inicijative potrebne za brzu adaptaciju u sve kompleksnije digitalno okruženje te agilan i proaktivan razvoj digitalne Crne Gore. </w:t>
      </w:r>
      <w:r>
        <w:rPr>
          <w:rFonts w:ascii="Arial" w:eastAsia="Times New Roman" w:hAnsi="Arial" w:cs="Arial"/>
          <w:color w:val="000000"/>
          <w:shd w:val="clear" w:color="auto" w:fill="FFFFFF"/>
        </w:rPr>
        <w:t>E</w:t>
      </w:r>
      <w:r w:rsidRPr="00220D1A">
        <w:rPr>
          <w:rFonts w:ascii="Arial" w:eastAsia="Times New Roman" w:hAnsi="Arial" w:cs="Arial"/>
          <w:color w:val="000000"/>
          <w:shd w:val="clear" w:color="auto" w:fill="FFFFFF"/>
        </w:rPr>
        <w:t>fikasn</w:t>
      </w:r>
      <w:r>
        <w:rPr>
          <w:rFonts w:ascii="Arial" w:eastAsia="Times New Roman" w:hAnsi="Arial" w:cs="Arial"/>
          <w:color w:val="000000"/>
          <w:shd w:val="clear" w:color="auto" w:fill="FFFFFF"/>
        </w:rPr>
        <w:t>o</w:t>
      </w:r>
      <w:r w:rsidRPr="00220D1A">
        <w:rPr>
          <w:rFonts w:ascii="Arial" w:eastAsia="Times New Roman" w:hAnsi="Arial" w:cs="Arial"/>
          <w:color w:val="000000"/>
          <w:shd w:val="clear" w:color="auto" w:fill="FFFFFF"/>
        </w:rPr>
        <w:t xml:space="preserve"> digitaln</w:t>
      </w:r>
      <w:r>
        <w:rPr>
          <w:rFonts w:ascii="Arial" w:eastAsia="Times New Roman" w:hAnsi="Arial" w:cs="Arial"/>
          <w:color w:val="000000"/>
          <w:shd w:val="clear" w:color="auto" w:fill="FFFFFF"/>
        </w:rPr>
        <w:t>o</w:t>
      </w:r>
      <w:r w:rsidRPr="00220D1A">
        <w:rPr>
          <w:rFonts w:ascii="Arial" w:eastAsia="Times New Roman" w:hAnsi="Arial" w:cs="Arial"/>
          <w:color w:val="000000"/>
          <w:shd w:val="clear" w:color="auto" w:fill="FFFFFF"/>
        </w:rPr>
        <w:t xml:space="preserve"> okruženje, koje </w:t>
      </w:r>
      <w:r>
        <w:rPr>
          <w:rFonts w:ascii="Arial" w:eastAsia="Times New Roman" w:hAnsi="Arial" w:cs="Arial"/>
          <w:color w:val="000000"/>
          <w:shd w:val="clear" w:color="auto" w:fill="FFFFFF"/>
        </w:rPr>
        <w:t>stvara</w:t>
      </w:r>
      <w:r w:rsidRPr="00220D1A">
        <w:rPr>
          <w:rFonts w:ascii="Arial" w:eastAsia="Times New Roman" w:hAnsi="Arial" w:cs="Arial"/>
          <w:color w:val="000000"/>
          <w:shd w:val="clear" w:color="auto" w:fill="FFFFFF"/>
        </w:rPr>
        <w:t xml:space="preserve"> pozitivne uticaje na ekonomski razvoj, </w:t>
      </w:r>
      <w:r>
        <w:rPr>
          <w:rFonts w:ascii="Arial" w:eastAsia="Times New Roman" w:hAnsi="Arial" w:cs="Arial"/>
          <w:color w:val="000000"/>
          <w:shd w:val="clear" w:color="auto" w:fill="FFFFFF"/>
        </w:rPr>
        <w:t>doprinosi</w:t>
      </w:r>
      <w:r w:rsidRPr="00220D1A">
        <w:rPr>
          <w:rFonts w:ascii="Arial" w:eastAsia="Times New Roman" w:hAnsi="Arial" w:cs="Arial"/>
          <w:color w:val="000000"/>
          <w:shd w:val="clear" w:color="auto" w:fill="FFFFFF"/>
        </w:rPr>
        <w:t xml:space="preserve"> i razvoju društva u cjelini. Iz tog razloga, Strategij</w:t>
      </w:r>
      <w:r>
        <w:rPr>
          <w:rFonts w:ascii="Arial" w:eastAsia="Times New Roman" w:hAnsi="Arial" w:cs="Arial"/>
          <w:color w:val="000000"/>
          <w:shd w:val="clear" w:color="auto" w:fill="FFFFFF"/>
        </w:rPr>
        <w:t>u</w:t>
      </w:r>
      <w:r w:rsidRPr="00220D1A">
        <w:rPr>
          <w:rFonts w:ascii="Arial" w:eastAsia="Times New Roman" w:hAnsi="Arial" w:cs="Arial"/>
          <w:color w:val="000000"/>
          <w:shd w:val="clear" w:color="auto" w:fill="FFFFFF"/>
        </w:rPr>
        <w:t xml:space="preserve"> digitalne transformacije </w:t>
      </w:r>
      <w:r>
        <w:rPr>
          <w:rFonts w:ascii="Arial" w:eastAsia="Times New Roman" w:hAnsi="Arial" w:cs="Arial"/>
          <w:color w:val="000000"/>
          <w:shd w:val="clear" w:color="auto" w:fill="FFFFFF"/>
        </w:rPr>
        <w:t>ne treba shvatati</w:t>
      </w:r>
      <w:r w:rsidRPr="00220D1A">
        <w:rPr>
          <w:rFonts w:ascii="Arial" w:eastAsia="Times New Roman" w:hAnsi="Arial" w:cs="Arial"/>
          <w:color w:val="000000"/>
          <w:shd w:val="clear" w:color="auto" w:fill="FFFFFF"/>
        </w:rPr>
        <w:t xml:space="preserve"> kao tehničko-razvojn</w:t>
      </w:r>
      <w:r>
        <w:rPr>
          <w:rFonts w:ascii="Arial" w:eastAsia="Times New Roman" w:hAnsi="Arial" w:cs="Arial"/>
          <w:color w:val="000000"/>
          <w:shd w:val="clear" w:color="auto" w:fill="FFFFFF"/>
        </w:rPr>
        <w:t>u</w:t>
      </w:r>
      <w:r w:rsidRPr="00220D1A">
        <w:rPr>
          <w:rFonts w:ascii="Arial" w:eastAsia="Times New Roman" w:hAnsi="Arial" w:cs="Arial"/>
          <w:color w:val="000000"/>
          <w:shd w:val="clear" w:color="auto" w:fill="FFFFFF"/>
        </w:rPr>
        <w:t xml:space="preserve"> strategija, već jedan od ključnih političkih, ali i razvojnih dokumenata, koji takođe čini osnovu za političke odluke, promjene u normativnom okruženju, ulaganja i podsticaje.</w:t>
      </w:r>
    </w:p>
    <w:p w14:paraId="0C0C62AB" w14:textId="77777777" w:rsidR="00FF4E4E" w:rsidRDefault="00FF4E4E" w:rsidP="00B464EC">
      <w:pPr>
        <w:spacing w:line="276" w:lineRule="auto"/>
        <w:jc w:val="both"/>
        <w:rPr>
          <w:rFonts w:ascii="Arial" w:eastAsia="Times New Roman" w:hAnsi="Arial" w:cs="Arial"/>
          <w:color w:val="000000"/>
          <w:shd w:val="clear" w:color="auto" w:fill="FFFFFF"/>
        </w:rPr>
      </w:pPr>
      <w:r w:rsidRPr="007D7B0B">
        <w:rPr>
          <w:rFonts w:ascii="Arial" w:eastAsia="Times New Roman" w:hAnsi="Arial" w:cs="Arial"/>
          <w:color w:val="000000"/>
          <w:shd w:val="clear" w:color="auto" w:fill="FFFFFF"/>
        </w:rPr>
        <w:t xml:space="preserve">Ekspozeom premijera, predstavljenim 2.12.2020. godine postavljen je kamen temeljac za prioritete kojima se utvrđuje vizija razvoja Crne Gore. Ove prioritetne oblasti su okosnica planiranja politika u narednom periodu, a kao jedan od šest prepoznatih ciljeva u okviru ključnih prioriteta Vlade Crne Gore prepoznata je i digitalna transformacija. </w:t>
      </w:r>
    </w:p>
    <w:p w14:paraId="5231E521" w14:textId="77777777" w:rsidR="00FF4E4E" w:rsidRDefault="00FF4E4E" w:rsidP="00B464EC">
      <w:pPr>
        <w:spacing w:line="276" w:lineRule="auto"/>
        <w:jc w:val="both"/>
        <w:rPr>
          <w:rFonts w:ascii="Arial" w:eastAsia="Times New Roman" w:hAnsi="Arial" w:cs="Arial"/>
          <w:color w:val="000000"/>
          <w:shd w:val="clear" w:color="auto" w:fill="FFFFFF"/>
        </w:rPr>
      </w:pPr>
      <w:r w:rsidRPr="007D7B0B">
        <w:rPr>
          <w:rFonts w:ascii="Arial" w:eastAsia="Times New Roman" w:hAnsi="Arial" w:cs="Arial"/>
          <w:color w:val="000000"/>
          <w:shd w:val="clear" w:color="auto" w:fill="FFFFFF"/>
        </w:rPr>
        <w:t xml:space="preserve">Opisana strateška namjera potkrijepljena je i strateškim opredjeljenjima Evropske unije, koja je jasno istakla </w:t>
      </w:r>
      <w:r w:rsidRPr="007D7B0B">
        <w:rPr>
          <w:rFonts w:ascii="Arial" w:eastAsia="Times New Roman" w:hAnsi="Arial" w:cs="Arial"/>
          <w:b/>
          <w:color w:val="000000"/>
          <w:shd w:val="clear" w:color="auto" w:fill="FFFFFF"/>
        </w:rPr>
        <w:t>“zeleno”</w:t>
      </w:r>
      <w:r w:rsidRPr="007D7B0B">
        <w:rPr>
          <w:rFonts w:ascii="Arial" w:eastAsia="Times New Roman" w:hAnsi="Arial" w:cs="Arial"/>
          <w:color w:val="000000"/>
          <w:shd w:val="clear" w:color="auto" w:fill="FFFFFF"/>
        </w:rPr>
        <w:t xml:space="preserve"> i </w:t>
      </w:r>
      <w:r w:rsidRPr="007D7B0B">
        <w:rPr>
          <w:rFonts w:ascii="Arial" w:eastAsia="Times New Roman" w:hAnsi="Arial" w:cs="Arial"/>
          <w:b/>
          <w:color w:val="000000"/>
          <w:shd w:val="clear" w:color="auto" w:fill="FFFFFF"/>
        </w:rPr>
        <w:t>“digitalno”</w:t>
      </w:r>
      <w:r w:rsidRPr="007D7B0B">
        <w:rPr>
          <w:rFonts w:ascii="Arial" w:eastAsia="Times New Roman" w:hAnsi="Arial" w:cs="Arial"/>
          <w:color w:val="000000"/>
          <w:shd w:val="clear" w:color="auto" w:fill="FFFFFF"/>
        </w:rPr>
        <w:t xml:space="preserve"> kao centralne razvojne ciljeve čitavog evropskog regiona. Prilikom izrade </w:t>
      </w:r>
      <w:r w:rsidRPr="007D7B0B">
        <w:rPr>
          <w:rFonts w:ascii="Arial" w:eastAsia="Times New Roman" w:hAnsi="Arial" w:cs="Arial"/>
          <w:color w:val="000000"/>
          <w:shd w:val="clear" w:color="auto" w:fill="FFFFFF"/>
        </w:rPr>
        <w:lastRenderedPageBreak/>
        <w:t>Strategije digitalne transformacije obuhvaćeni su ovi principi i slijedile su se navedene smjernice, imajući u vidu da Crna Gora želi da istraje na putu moderne, prosperitetne evropske zemlje.</w:t>
      </w:r>
    </w:p>
    <w:p w14:paraId="5F3006DE" w14:textId="77777777" w:rsidR="00FF4E4E" w:rsidRPr="007D7B0B" w:rsidRDefault="00FF4E4E" w:rsidP="00B464EC">
      <w:pPr>
        <w:spacing w:line="276" w:lineRule="auto"/>
        <w:jc w:val="both"/>
        <w:rPr>
          <w:rFonts w:ascii="Arial" w:eastAsia="Times New Roman" w:hAnsi="Arial" w:cs="Arial"/>
          <w:color w:val="000000"/>
          <w:shd w:val="clear" w:color="auto" w:fill="FFFFFF"/>
        </w:rPr>
      </w:pPr>
      <w:r w:rsidRPr="007D7B0B">
        <w:rPr>
          <w:rFonts w:ascii="Arial" w:eastAsia="Times New Roman" w:hAnsi="Arial" w:cs="Arial"/>
          <w:color w:val="000000"/>
          <w:shd w:val="clear" w:color="auto" w:fill="FFFFFF"/>
        </w:rPr>
        <w:t>U procesu pripreme Nacrta Strategije digitalne transformacije Crne Gore 2022-2026. razmotren je širi strateški okvir Evropske unije koji je uzet u obzir prilikom definisanja ciljeva i akcija.</w:t>
      </w:r>
    </w:p>
    <w:p w14:paraId="5084515B" w14:textId="77777777" w:rsidR="00FF4E4E" w:rsidRDefault="00FF4E4E" w:rsidP="00B464EC">
      <w:pPr>
        <w:spacing w:line="276" w:lineRule="auto"/>
        <w:jc w:val="both"/>
        <w:rPr>
          <w:rFonts w:ascii="Arial" w:eastAsia="Times New Roman" w:hAnsi="Arial" w:cs="Arial"/>
          <w:color w:val="000000"/>
          <w:shd w:val="clear" w:color="auto" w:fill="FFFFFF"/>
        </w:rPr>
      </w:pPr>
      <w:r w:rsidRPr="007D7B0B">
        <w:rPr>
          <w:rFonts w:ascii="Arial" w:eastAsia="Times New Roman" w:hAnsi="Arial" w:cs="Arial"/>
          <w:color w:val="000000"/>
          <w:shd w:val="clear" w:color="auto" w:fill="FFFFFF"/>
        </w:rPr>
        <w:t>Analiza stanja pripremljena je na osnovu podataka i informacija baziranih na zvaničnim dokumentima i postojećim relevantnim analizama, podacima dobijenim iz intervjua koji su sprovedeni sa različitim vladinim, privrednim, nevladinim (NVO) i akademskim organizacijama, kao i predstavnicima Operativne grupe za izradu Strategije digitalne transformacije Crne Gore 2022-2026, a koji su aktivno učestvovali sa svojim idejama, sugestijama i analizama prilikom izrade ovog dokumenta.</w:t>
      </w:r>
    </w:p>
    <w:p w14:paraId="7F3200AC" w14:textId="77777777" w:rsidR="00FF4E4E" w:rsidRDefault="00FF4E4E" w:rsidP="00B464EC">
      <w:pPr>
        <w:spacing w:line="276" w:lineRule="auto"/>
        <w:jc w:val="both"/>
        <w:rPr>
          <w:rFonts w:ascii="Arial" w:eastAsia="Times New Roman" w:hAnsi="Arial" w:cs="Arial"/>
          <w:color w:val="000000"/>
          <w:shd w:val="clear" w:color="auto" w:fill="FFFFFF"/>
        </w:rPr>
      </w:pPr>
      <w:r w:rsidRPr="007D7B0B">
        <w:rPr>
          <w:rFonts w:ascii="Arial" w:eastAsia="Times New Roman" w:hAnsi="Arial" w:cs="Arial"/>
          <w:color w:val="000000"/>
          <w:shd w:val="clear" w:color="auto" w:fill="FFFFFF"/>
        </w:rPr>
        <w:t xml:space="preserve">Kroz dokument je predstavljen </w:t>
      </w:r>
      <w:r w:rsidRPr="00731DF4">
        <w:rPr>
          <w:rFonts w:ascii="Arial" w:eastAsia="Times New Roman" w:hAnsi="Arial" w:cs="Arial"/>
          <w:b/>
          <w:color w:val="000000"/>
          <w:shd w:val="clear" w:color="auto" w:fill="FFFFFF"/>
        </w:rPr>
        <w:t>sveobuhvatan pregled trenutne situacije</w:t>
      </w:r>
      <w:r w:rsidRPr="007D7B0B">
        <w:rPr>
          <w:rFonts w:ascii="Arial" w:eastAsia="Times New Roman" w:hAnsi="Arial" w:cs="Arial"/>
          <w:color w:val="000000"/>
          <w:shd w:val="clear" w:color="auto" w:fill="FFFFFF"/>
        </w:rPr>
        <w:t xml:space="preserve"> u različitim tehničkim, organizacionim, zakonskim, društvenim i ostalim aspektima digitalne transformacije, kao i glavni izazovi kojima će se baviti Strategija digitalne transformacije.</w:t>
      </w:r>
    </w:p>
    <w:p w14:paraId="3C50C6E9" w14:textId="77777777" w:rsidR="00FF4E4E" w:rsidRDefault="00FF4E4E" w:rsidP="00B464EC">
      <w:pPr>
        <w:spacing w:line="276" w:lineRule="auto"/>
        <w:jc w:val="both"/>
        <w:rPr>
          <w:rFonts w:ascii="Arial" w:eastAsia="Times New Roman" w:hAnsi="Arial" w:cs="Arial"/>
          <w:color w:val="000000"/>
          <w:shd w:val="clear" w:color="auto" w:fill="FFFFFF"/>
        </w:rPr>
      </w:pPr>
      <w:r w:rsidRPr="007D7B0B">
        <w:rPr>
          <w:rFonts w:ascii="Arial" w:eastAsia="Times New Roman" w:hAnsi="Arial" w:cs="Arial"/>
          <w:color w:val="000000"/>
          <w:shd w:val="clear" w:color="auto" w:fill="FFFFFF"/>
        </w:rPr>
        <w:t xml:space="preserve">Strategija digitalne transformacije </w:t>
      </w:r>
      <w:r w:rsidRPr="00731DF4">
        <w:rPr>
          <w:rFonts w:ascii="Arial" w:eastAsia="Times New Roman" w:hAnsi="Arial" w:cs="Arial"/>
          <w:b/>
          <w:color w:val="000000"/>
          <w:shd w:val="clear" w:color="auto" w:fill="FFFFFF"/>
        </w:rPr>
        <w:t>je horizontalna i višefunkcionalna</w:t>
      </w:r>
      <w:r w:rsidRPr="007D7B0B">
        <w:rPr>
          <w:rFonts w:ascii="Arial" w:eastAsia="Times New Roman" w:hAnsi="Arial" w:cs="Arial"/>
          <w:color w:val="000000"/>
          <w:shd w:val="clear" w:color="auto" w:fill="FFFFFF"/>
        </w:rPr>
        <w:t xml:space="preserve"> i odnosi se na sve djelove crnogorskog društva – državnu upravu, lokalnu upravu i širi javni sektor, privredu, akademsku zajednicu, naučnu zajednicu, NVO i civilno društvo.</w:t>
      </w:r>
    </w:p>
    <w:p w14:paraId="01EBBF60" w14:textId="77777777" w:rsidR="00FF4E4E" w:rsidRDefault="00FF4E4E" w:rsidP="00B464EC">
      <w:pPr>
        <w:pBdr>
          <w:top w:val="nil"/>
          <w:left w:val="nil"/>
          <w:bottom w:val="nil"/>
          <w:right w:val="nil"/>
          <w:between w:val="nil"/>
        </w:pBdr>
        <w:spacing w:after="240" w:line="276" w:lineRule="auto"/>
        <w:jc w:val="both"/>
        <w:rPr>
          <w:rFonts w:ascii="Arial" w:hAnsi="Arial" w:cs="Arial"/>
          <w:color w:val="000000"/>
        </w:rPr>
      </w:pPr>
      <w:r w:rsidRPr="007D7B0B">
        <w:rPr>
          <w:rFonts w:ascii="Arial" w:hAnsi="Arial" w:cs="Arial"/>
          <w:color w:val="000000"/>
        </w:rPr>
        <w:t xml:space="preserve">Analiza stanja pripremljena je u cilju identifikovanja i definisanja strateških i operativnih ciljeva, uz razvoj mjera za njihovu realizaciju, shodno </w:t>
      </w:r>
      <w:r w:rsidRPr="007D7B0B">
        <w:rPr>
          <w:rFonts w:ascii="Arial" w:hAnsi="Arial" w:cs="Arial"/>
          <w:i/>
          <w:color w:val="000000"/>
        </w:rPr>
        <w:t>Metodologiji razvijanja politika, izrade i praćenja sprovođenja strateških dokumenata</w:t>
      </w:r>
      <w:r w:rsidRPr="007D7B0B">
        <w:rPr>
          <w:rFonts w:ascii="Arial" w:hAnsi="Arial" w:cs="Arial"/>
          <w:color w:val="000000"/>
        </w:rPr>
        <w:t xml:space="preserve">. </w:t>
      </w:r>
    </w:p>
    <w:p w14:paraId="4C197A79" w14:textId="77777777" w:rsidR="00FF4E4E" w:rsidRDefault="00FF4E4E" w:rsidP="00B464EC">
      <w:pPr>
        <w:spacing w:line="276" w:lineRule="auto"/>
        <w:jc w:val="both"/>
        <w:rPr>
          <w:rFonts w:ascii="Arial" w:eastAsia="Times New Roman" w:hAnsi="Arial" w:cs="Arial"/>
          <w:color w:val="000000"/>
          <w:shd w:val="clear" w:color="auto" w:fill="FFFFFF"/>
        </w:rPr>
      </w:pPr>
      <w:r w:rsidRPr="00D4284C">
        <w:rPr>
          <w:rFonts w:ascii="Arial" w:eastAsia="Times New Roman" w:hAnsi="Arial" w:cs="Arial"/>
          <w:color w:val="000000"/>
          <w:shd w:val="clear" w:color="auto" w:fill="FFFFFF"/>
        </w:rPr>
        <w:t xml:space="preserve">Izazovi u digitalnoj transformaciji Crne Gore koji su identifikovani u Analizi stanja, adresirani su kroz </w:t>
      </w:r>
      <w:r w:rsidRPr="001F0188">
        <w:rPr>
          <w:rFonts w:ascii="Arial" w:eastAsia="Times New Roman" w:hAnsi="Arial" w:cs="Arial"/>
          <w:b/>
          <w:color w:val="000000"/>
          <w:shd w:val="clear" w:color="auto" w:fill="FFFFFF"/>
        </w:rPr>
        <w:t>dva strateška cilja</w:t>
      </w:r>
      <w:r w:rsidRPr="00D4284C">
        <w:rPr>
          <w:rFonts w:ascii="Arial" w:eastAsia="Times New Roman" w:hAnsi="Arial" w:cs="Arial"/>
          <w:color w:val="000000"/>
          <w:shd w:val="clear" w:color="auto" w:fill="FFFFFF"/>
        </w:rPr>
        <w:t xml:space="preserve"> koja reflektuju i oslikavaju crnogorsku digitalnu stvarnosti i dalje se kanališu u okviru </w:t>
      </w:r>
      <w:r w:rsidRPr="00A71B22">
        <w:rPr>
          <w:rFonts w:ascii="Arial" w:eastAsia="Times New Roman" w:hAnsi="Arial" w:cs="Arial"/>
          <w:b/>
          <w:color w:val="000000"/>
          <w:shd w:val="clear" w:color="auto" w:fill="FFFFFF"/>
        </w:rPr>
        <w:t>sedam operativnih ciljeva</w:t>
      </w:r>
      <w:r w:rsidRPr="00D4284C">
        <w:rPr>
          <w:rFonts w:ascii="Arial" w:eastAsia="Times New Roman" w:hAnsi="Arial" w:cs="Arial"/>
          <w:color w:val="000000"/>
          <w:shd w:val="clear" w:color="auto" w:fill="FFFFFF"/>
        </w:rPr>
        <w:t xml:space="preserve"> kroz prioritetne oblasti odnosno grupe aktivnosti u cilju postizanja željenog napretka. </w:t>
      </w:r>
    </w:p>
    <w:p w14:paraId="087C616F" w14:textId="77777777" w:rsidR="00FF4E4E" w:rsidRDefault="00FF4E4E" w:rsidP="00FF4E4E">
      <w:pPr>
        <w:keepNext/>
        <w:spacing w:line="276" w:lineRule="auto"/>
        <w:jc w:val="center"/>
      </w:pPr>
      <w:r w:rsidRPr="00A71B22">
        <w:rPr>
          <w:noProof/>
        </w:rPr>
        <w:lastRenderedPageBreak/>
        <w:drawing>
          <wp:inline distT="0" distB="0" distL="0" distR="0" wp14:anchorId="39042A45" wp14:editId="6FD67AEC">
            <wp:extent cx="4857750" cy="381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18370" t="14722" r="29677" b="8438"/>
                    <a:stretch>
                      <a:fillRect/>
                    </a:stretch>
                  </pic:blipFill>
                  <pic:spPr bwMode="auto">
                    <a:xfrm>
                      <a:off x="0" y="0"/>
                      <a:ext cx="4857750" cy="3810000"/>
                    </a:xfrm>
                    <a:prstGeom prst="rect">
                      <a:avLst/>
                    </a:prstGeom>
                    <a:noFill/>
                    <a:ln>
                      <a:noFill/>
                    </a:ln>
                  </pic:spPr>
                </pic:pic>
              </a:graphicData>
            </a:graphic>
          </wp:inline>
        </w:drawing>
      </w:r>
    </w:p>
    <w:p w14:paraId="26B291E7" w14:textId="77777777" w:rsidR="00FF4E4E" w:rsidRPr="00D4284C" w:rsidRDefault="00FF4E4E" w:rsidP="00FF4E4E">
      <w:pPr>
        <w:pStyle w:val="Caption"/>
        <w:jc w:val="center"/>
        <w:rPr>
          <w:rFonts w:ascii="Arial" w:eastAsia="Times New Roman" w:hAnsi="Arial" w:cs="Arial"/>
          <w:color w:val="000000"/>
          <w:sz w:val="22"/>
          <w:shd w:val="clear" w:color="auto" w:fill="FFFFFF"/>
        </w:rPr>
      </w:pPr>
      <w:r>
        <w:t>Ciljevi</w:t>
      </w:r>
    </w:p>
    <w:p w14:paraId="2B9415B3" w14:textId="77777777" w:rsidR="00FF4E4E" w:rsidRPr="00A71B22" w:rsidRDefault="00FF4E4E" w:rsidP="00B464EC">
      <w:pPr>
        <w:spacing w:line="276" w:lineRule="auto"/>
        <w:jc w:val="both"/>
        <w:rPr>
          <w:rFonts w:ascii="Arial" w:eastAsia="Times New Roman" w:hAnsi="Arial" w:cs="Arial"/>
          <w:color w:val="000000"/>
          <w:shd w:val="clear" w:color="auto" w:fill="FFFFFF"/>
        </w:rPr>
      </w:pPr>
      <w:r w:rsidRPr="00D4284C">
        <w:rPr>
          <w:rFonts w:ascii="Arial" w:eastAsia="Times New Roman" w:hAnsi="Arial" w:cs="Arial"/>
          <w:color w:val="000000"/>
          <w:shd w:val="clear" w:color="auto" w:fill="FFFFFF"/>
        </w:rPr>
        <w:t xml:space="preserve">Prvi strateški cilj stavlja fokus na Unapređenje kapaciteta i sposobnosti za digitalnu transformaciju Crne Gore, a drugi na Jačanje digitalne svijesti crnogorskog društva i digitalne </w:t>
      </w:r>
      <w:r w:rsidRPr="00A71B22">
        <w:rPr>
          <w:rFonts w:ascii="Arial" w:eastAsia="Times New Roman" w:hAnsi="Arial" w:cs="Arial"/>
          <w:color w:val="000000"/>
          <w:shd w:val="clear" w:color="auto" w:fill="FFFFFF"/>
        </w:rPr>
        <w:t xml:space="preserve">konkurentnosti IKT sektora. </w:t>
      </w:r>
    </w:p>
    <w:p w14:paraId="6B113224" w14:textId="77777777" w:rsidR="00FF4E4E" w:rsidRDefault="00FF4E4E" w:rsidP="00B464EC">
      <w:pPr>
        <w:pStyle w:val="NormalWeb"/>
        <w:spacing w:before="0" w:after="160"/>
        <w:rPr>
          <w:rFonts w:ascii="Arial" w:hAnsi="Arial" w:cs="Arial"/>
          <w:sz w:val="22"/>
        </w:rPr>
      </w:pPr>
      <w:r w:rsidRPr="00BE24CE">
        <w:rPr>
          <w:rFonts w:ascii="Arial" w:hAnsi="Arial" w:cs="Arial"/>
          <w:sz w:val="22"/>
        </w:rPr>
        <w:t>Svi faktori uspješnosti unutrašnjeg digitalnog razvoja Crne</w:t>
      </w:r>
      <w:r w:rsidRPr="00A71B22">
        <w:rPr>
          <w:rFonts w:ascii="Arial" w:hAnsi="Arial" w:cs="Arial"/>
          <w:b/>
          <w:sz w:val="22"/>
        </w:rPr>
        <w:t xml:space="preserve"> </w:t>
      </w:r>
      <w:r w:rsidRPr="00BE24CE">
        <w:rPr>
          <w:rFonts w:ascii="Arial" w:hAnsi="Arial" w:cs="Arial"/>
          <w:sz w:val="22"/>
        </w:rPr>
        <w:t>Gore</w:t>
      </w:r>
      <w:r w:rsidRPr="00A71B22">
        <w:rPr>
          <w:rFonts w:ascii="Arial" w:hAnsi="Arial" w:cs="Arial"/>
          <w:b/>
          <w:sz w:val="22"/>
        </w:rPr>
        <w:t xml:space="preserve"> </w:t>
      </w:r>
      <w:r w:rsidRPr="00BE24CE">
        <w:rPr>
          <w:rFonts w:ascii="Arial" w:hAnsi="Arial" w:cs="Arial"/>
          <w:sz w:val="22"/>
        </w:rPr>
        <w:t>odnosno</w:t>
      </w:r>
      <w:r>
        <w:rPr>
          <w:rFonts w:ascii="Arial" w:hAnsi="Arial" w:cs="Arial"/>
          <w:b/>
          <w:sz w:val="22"/>
        </w:rPr>
        <w:t xml:space="preserve"> </w:t>
      </w:r>
      <w:r w:rsidRPr="00A71B22">
        <w:rPr>
          <w:rFonts w:ascii="Arial" w:hAnsi="Arial" w:cs="Arial"/>
          <w:sz w:val="22"/>
        </w:rPr>
        <w:t>prvog strateškog cilja “</w:t>
      </w:r>
      <w:r w:rsidRPr="00BE24CE">
        <w:rPr>
          <w:rFonts w:ascii="Arial" w:hAnsi="Arial" w:cs="Arial"/>
          <w:b/>
          <w:sz w:val="22"/>
        </w:rPr>
        <w:t>Unapređenje kapaciteta i sposobnosti za digitalnu transformaciju Crne Gore</w:t>
      </w:r>
      <w:r>
        <w:rPr>
          <w:rFonts w:ascii="Arial" w:hAnsi="Arial" w:cs="Arial"/>
          <w:b/>
          <w:sz w:val="22"/>
        </w:rPr>
        <w:t xml:space="preserve">” </w:t>
      </w:r>
      <w:r w:rsidRPr="00BE24CE">
        <w:rPr>
          <w:rFonts w:ascii="Arial" w:hAnsi="Arial" w:cs="Arial"/>
          <w:sz w:val="22"/>
        </w:rPr>
        <w:t xml:space="preserve">su adresirani </w:t>
      </w:r>
      <w:r>
        <w:rPr>
          <w:rFonts w:ascii="Arial" w:hAnsi="Arial" w:cs="Arial"/>
          <w:sz w:val="22"/>
        </w:rPr>
        <w:t>kroz</w:t>
      </w:r>
      <w:r w:rsidRPr="00BE24CE">
        <w:rPr>
          <w:rFonts w:ascii="Arial" w:hAnsi="Arial" w:cs="Arial"/>
          <w:sz w:val="22"/>
        </w:rPr>
        <w:t xml:space="preserve"> četiri operativna cilja</w:t>
      </w:r>
      <w:r>
        <w:rPr>
          <w:rFonts w:ascii="Arial" w:hAnsi="Arial" w:cs="Arial"/>
          <w:sz w:val="22"/>
        </w:rPr>
        <w:t>:</w:t>
      </w:r>
    </w:p>
    <w:p w14:paraId="0DBD7F2D" w14:textId="77777777" w:rsidR="00FF4E4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Efikasna i efektivna koordinacija i praćenje digitalne transformacije</w:t>
      </w:r>
    </w:p>
    <w:p w14:paraId="39C48AA2" w14:textId="77777777" w:rsidR="00FF4E4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Poboljšanje dostupnosti, interoperabilnosti i upravljanja podacima</w:t>
      </w:r>
    </w:p>
    <w:p w14:paraId="440745EA" w14:textId="77777777" w:rsidR="00FF4E4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Povećana pokrivenost i modernizacija elektronske komunikacione infrastrukture</w:t>
      </w:r>
    </w:p>
    <w:p w14:paraId="6611EC69" w14:textId="77777777" w:rsidR="00FF4E4E" w:rsidRPr="00BE24C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Razvoj i unapređenje digitalnih znanja i vještina crnogorskog društva</w:t>
      </w:r>
    </w:p>
    <w:p w14:paraId="58A76025" w14:textId="77777777" w:rsidR="00FF4E4E" w:rsidRDefault="00FF4E4E" w:rsidP="00B464EC">
      <w:pPr>
        <w:jc w:val="both"/>
        <w:rPr>
          <w:rFonts w:ascii="Arial" w:hAnsi="Arial" w:cs="Arial"/>
          <w:szCs w:val="24"/>
        </w:rPr>
      </w:pPr>
      <w:r w:rsidRPr="00A71B22">
        <w:rPr>
          <w:rFonts w:ascii="Arial" w:hAnsi="Arial" w:cs="Arial"/>
          <w:szCs w:val="24"/>
        </w:rPr>
        <w:t>Drugi strateški cilj “</w:t>
      </w:r>
      <w:r w:rsidRPr="00BE24CE">
        <w:rPr>
          <w:rFonts w:ascii="Arial" w:hAnsi="Arial" w:cs="Arial"/>
          <w:b/>
          <w:szCs w:val="24"/>
        </w:rPr>
        <w:t>Jačanje digitalne svijesti crnogorskog društva i digitalne konkurentnosti IKT sektora</w:t>
      </w:r>
      <w:r w:rsidRPr="00A71B22">
        <w:rPr>
          <w:rFonts w:ascii="Arial" w:hAnsi="Arial" w:cs="Arial"/>
          <w:szCs w:val="24"/>
        </w:rPr>
        <w:t>”</w:t>
      </w:r>
      <w:r w:rsidRPr="00A71B22">
        <w:rPr>
          <w:rFonts w:ascii="Arial" w:hAnsi="Arial" w:cs="Arial"/>
          <w:b/>
          <w:szCs w:val="24"/>
        </w:rPr>
        <w:t xml:space="preserve"> </w:t>
      </w:r>
      <w:r w:rsidRPr="00BE24CE">
        <w:rPr>
          <w:rFonts w:ascii="Arial" w:hAnsi="Arial" w:cs="Arial"/>
          <w:szCs w:val="24"/>
        </w:rPr>
        <w:t>naglašava važnost svijesti, razumijevanja i djelovanja kako građana tako i privrede, uz sistemsko unapređenje elektronskih servisa i jačanje IKT se</w:t>
      </w:r>
      <w:r>
        <w:rPr>
          <w:rFonts w:ascii="Arial" w:hAnsi="Arial" w:cs="Arial"/>
          <w:szCs w:val="24"/>
        </w:rPr>
        <w:t>ktora kroz tri operativna cilja:</w:t>
      </w:r>
    </w:p>
    <w:p w14:paraId="282049C7" w14:textId="77777777" w:rsidR="00FF4E4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Podizanje svijesti građana i privrede o važnosti digitalnog razvoja</w:t>
      </w:r>
    </w:p>
    <w:p w14:paraId="79BB2511" w14:textId="77777777" w:rsidR="00FF4E4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Unapređenje kvaliteta, količine i upotreba e-usluga</w:t>
      </w:r>
    </w:p>
    <w:p w14:paraId="1B89EBD9" w14:textId="77777777" w:rsidR="00FF4E4E" w:rsidRPr="00BE24CE" w:rsidRDefault="00FF4E4E" w:rsidP="00B464EC">
      <w:pPr>
        <w:pStyle w:val="NormalWeb"/>
        <w:numPr>
          <w:ilvl w:val="0"/>
          <w:numId w:val="62"/>
        </w:numPr>
        <w:spacing w:before="0" w:after="0"/>
        <w:ind w:left="714" w:hanging="357"/>
        <w:rPr>
          <w:rFonts w:ascii="Arial" w:hAnsi="Arial" w:cs="Arial"/>
          <w:sz w:val="22"/>
        </w:rPr>
      </w:pPr>
      <w:r w:rsidRPr="00BE24CE">
        <w:rPr>
          <w:rFonts w:ascii="Arial" w:hAnsi="Arial" w:cs="Arial"/>
          <w:sz w:val="22"/>
        </w:rPr>
        <w:t>Unapređenje i razvoj IKT sektora</w:t>
      </w:r>
    </w:p>
    <w:p w14:paraId="1529A240" w14:textId="77777777" w:rsidR="00FF4E4E" w:rsidRDefault="00FF4E4E" w:rsidP="00B464EC">
      <w:pPr>
        <w:spacing w:line="276" w:lineRule="auto"/>
        <w:jc w:val="both"/>
        <w:rPr>
          <w:rFonts w:ascii="Arial" w:eastAsia="Times New Roman" w:hAnsi="Arial" w:cs="Arial"/>
          <w:color w:val="000000"/>
          <w:shd w:val="clear" w:color="auto" w:fill="FFFFFF"/>
        </w:rPr>
      </w:pPr>
      <w:r w:rsidRPr="0056254D">
        <w:rPr>
          <w:rFonts w:ascii="Arial" w:eastAsia="Times New Roman" w:hAnsi="Arial" w:cs="Arial"/>
          <w:color w:val="000000"/>
          <w:shd w:val="clear" w:color="auto" w:fill="FFFFFF"/>
        </w:rPr>
        <w:t>Da bi inicijativa digitalne transformacije cjelokupnog d</w:t>
      </w:r>
      <w:r>
        <w:rPr>
          <w:rFonts w:ascii="Arial" w:eastAsia="Times New Roman" w:hAnsi="Arial" w:cs="Arial"/>
          <w:color w:val="000000"/>
          <w:shd w:val="clear" w:color="auto" w:fill="FFFFFF"/>
        </w:rPr>
        <w:t>ruštva dala pozitivne rezultate</w:t>
      </w:r>
      <w:r w:rsidRPr="0056254D">
        <w:rPr>
          <w:rFonts w:ascii="Arial" w:eastAsia="Times New Roman" w:hAnsi="Arial" w:cs="Arial"/>
          <w:color w:val="000000"/>
          <w:shd w:val="clear" w:color="auto" w:fill="FFFFFF"/>
        </w:rPr>
        <w:t xml:space="preserve"> i da bi strateški dokumenti i prateći akcioni planovi bili efikasno sredstvo u cilju sprovođenja ovakvih inicijativa, potrebno je da postoji jasna vizija rezultata koji se žele postići</w:t>
      </w:r>
      <w:r>
        <w:rPr>
          <w:rFonts w:ascii="Arial" w:eastAsia="Times New Roman" w:hAnsi="Arial" w:cs="Arial"/>
          <w:color w:val="000000"/>
          <w:shd w:val="clear" w:color="auto" w:fill="FFFFFF"/>
        </w:rPr>
        <w:t>,</w:t>
      </w:r>
      <w:r w:rsidRPr="0056254D">
        <w:rPr>
          <w:rFonts w:ascii="Arial" w:eastAsia="Times New Roman" w:hAnsi="Arial" w:cs="Arial"/>
          <w:color w:val="000000"/>
          <w:shd w:val="clear" w:color="auto" w:fill="FFFFFF"/>
        </w:rPr>
        <w:t xml:space="preserve"> ali i spremnost svih učesnika jednog sistema da ravnopravno učestvuju u kreiranju digitalnog društva. U tom smislu, u definisanju vizije i rezultata, ne smije se zanemariti ni jedan element budućeg digitalnog društva jer se njegovim isključivanjem iz cjelokupnog sistema (počev od analize stanja, preko definisanja ciljeva i vizije razvoja, do implementacije različitih rješenja) ne može stvoriti zaokružena cjelina tj. digitalno društvo.</w:t>
      </w:r>
    </w:p>
    <w:p w14:paraId="7942307C" w14:textId="77777777" w:rsidR="00FF4E4E" w:rsidRDefault="00FF4E4E" w:rsidP="00B464EC">
      <w:pPr>
        <w:spacing w:line="276" w:lineRule="auto"/>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lastRenderedPageBreak/>
        <w:t xml:space="preserve">U samoj srži </w:t>
      </w:r>
      <w:r w:rsidRPr="00D4284C">
        <w:rPr>
          <w:rFonts w:ascii="Arial" w:eastAsia="Times New Roman" w:hAnsi="Arial" w:cs="Arial"/>
          <w:color w:val="000000"/>
          <w:shd w:val="clear" w:color="auto" w:fill="FFFFFF"/>
        </w:rPr>
        <w:t xml:space="preserve">cjelokupnog procesa </w:t>
      </w:r>
      <w:r>
        <w:rPr>
          <w:rFonts w:ascii="Arial" w:eastAsia="Times New Roman" w:hAnsi="Arial" w:cs="Arial"/>
          <w:color w:val="000000"/>
          <w:shd w:val="clear" w:color="auto" w:fill="FFFFFF"/>
        </w:rPr>
        <w:t xml:space="preserve">razvoja </w:t>
      </w:r>
      <w:r w:rsidRPr="00D4284C">
        <w:rPr>
          <w:rFonts w:ascii="Arial" w:eastAsia="Times New Roman" w:hAnsi="Arial" w:cs="Arial"/>
          <w:color w:val="000000"/>
          <w:shd w:val="clear" w:color="auto" w:fill="FFFFFF"/>
        </w:rPr>
        <w:t>digitalnom društvu</w:t>
      </w:r>
      <w:r>
        <w:rPr>
          <w:rFonts w:ascii="Arial" w:eastAsia="Times New Roman" w:hAnsi="Arial" w:cs="Arial"/>
          <w:color w:val="000000"/>
          <w:shd w:val="clear" w:color="auto" w:fill="FFFFFF"/>
        </w:rPr>
        <w:t xml:space="preserve"> su pristup i povezanost, jer ukoliko nedostaju ili nisu razvijeni na zadovoljavajućem nivou teško je napraviti korak naprijed</w:t>
      </w:r>
      <w:r w:rsidRPr="00D4284C">
        <w:rPr>
          <w:rFonts w:ascii="Arial" w:eastAsia="Times New Roman" w:hAnsi="Arial" w:cs="Arial"/>
          <w:color w:val="000000"/>
          <w:shd w:val="clear" w:color="auto" w:fill="FFFFFF"/>
        </w:rPr>
        <w:t xml:space="preserve">. </w:t>
      </w:r>
      <w:r>
        <w:rPr>
          <w:rFonts w:ascii="Arial" w:eastAsia="Times New Roman" w:hAnsi="Arial" w:cs="Arial"/>
          <w:color w:val="000000"/>
          <w:shd w:val="clear" w:color="auto" w:fill="FFFFFF"/>
        </w:rPr>
        <w:t>U</w:t>
      </w:r>
      <w:r w:rsidRPr="0056254D">
        <w:rPr>
          <w:rFonts w:ascii="Arial" w:eastAsia="Times New Roman" w:hAnsi="Arial" w:cs="Arial"/>
          <w:color w:val="000000"/>
          <w:shd w:val="clear" w:color="auto" w:fill="FFFFFF"/>
        </w:rPr>
        <w:t xml:space="preserve">koliko nije obezbijeđena pouzdana infrastruktura, setovi kvalitetnih i otvorenih podataka i visok nivo automatske razmjene, nije moguće kreirati e-usluge u skladu sa potrebama građana i privrede, niti je moguće obezbijediti pristup korisnicima pod jednakim uslovima. Srž transformacije u pravcu digitalnog društva, </w:t>
      </w:r>
      <w:r w:rsidRPr="00731DF4">
        <w:rPr>
          <w:rFonts w:ascii="Arial" w:eastAsia="Times New Roman" w:hAnsi="Arial" w:cs="Arial"/>
          <w:b/>
          <w:color w:val="000000"/>
          <w:shd w:val="clear" w:color="auto" w:fill="FFFFFF"/>
        </w:rPr>
        <w:t>jeste u uspostavljanju kvalitetne fizičko-tehnološke infrastrukture,</w:t>
      </w:r>
      <w:r w:rsidRPr="0056254D">
        <w:rPr>
          <w:rFonts w:ascii="Arial" w:eastAsia="Times New Roman" w:hAnsi="Arial" w:cs="Arial"/>
          <w:color w:val="000000"/>
          <w:shd w:val="clear" w:color="auto" w:fill="FFFFFF"/>
        </w:rPr>
        <w:t xml:space="preserve"> kao i u osiguranju dostupnih visokokvalitetnih podataka i njihovoj pravilnoj upotrebi u cilju stvaranja nove vrijednosti.  </w:t>
      </w:r>
    </w:p>
    <w:p w14:paraId="7B4B10EF" w14:textId="77777777" w:rsidR="00FF4E4E" w:rsidRDefault="00FF4E4E" w:rsidP="00B464EC">
      <w:pPr>
        <w:spacing w:line="276" w:lineRule="auto"/>
        <w:jc w:val="both"/>
        <w:rPr>
          <w:rFonts w:ascii="Arial" w:eastAsia="Times New Roman" w:hAnsi="Arial" w:cs="Arial"/>
          <w:color w:val="000000"/>
          <w:shd w:val="clear" w:color="auto" w:fill="FFFFFF"/>
        </w:rPr>
      </w:pPr>
      <w:r w:rsidRPr="00D865DF">
        <w:rPr>
          <w:rFonts w:ascii="Arial" w:eastAsia="Times New Roman" w:hAnsi="Arial" w:cs="Arial"/>
          <w:color w:val="000000"/>
          <w:shd w:val="clear" w:color="auto" w:fill="FFFFFF"/>
        </w:rPr>
        <w:t xml:space="preserve">Transformacija nije moguća ukoliko ne postoji liderstvo i </w:t>
      </w:r>
      <w:r w:rsidRPr="00731DF4">
        <w:rPr>
          <w:rFonts w:ascii="Arial" w:eastAsia="Times New Roman" w:hAnsi="Arial" w:cs="Arial"/>
          <w:b/>
          <w:color w:val="000000"/>
          <w:shd w:val="clear" w:color="auto" w:fill="FFFFFF"/>
        </w:rPr>
        <w:t>politička volja</w:t>
      </w:r>
      <w:r w:rsidRPr="00D865DF">
        <w:rPr>
          <w:rFonts w:ascii="Arial" w:eastAsia="Times New Roman" w:hAnsi="Arial" w:cs="Arial"/>
          <w:color w:val="000000"/>
          <w:shd w:val="clear" w:color="auto" w:fill="FFFFFF"/>
        </w:rPr>
        <w:t xml:space="preserve"> na najvišem nivou u jednoj državi. Postojanje lidera, njihove podrške (u institucionalnom, političkom, normativnom pa i finansijskom smislu) kao i visoki nivo shvatanja i spremnosti prihvatanja digitalnih promjena, preduslov su dobrih rezultata. U Crnoj Gori je, kao što je </w:t>
      </w:r>
      <w:r w:rsidRPr="00D865DF">
        <w:rPr>
          <w:rFonts w:ascii="Arial" w:eastAsia="Times New Roman" w:hAnsi="Arial" w:cs="Arial"/>
          <w:i/>
          <w:color w:val="000000"/>
          <w:shd w:val="clear" w:color="auto" w:fill="FFFFFF"/>
        </w:rPr>
        <w:t>Analiza stanja za pripremu strategije digitalne transformacije Crne Gore 2022-2026</w:t>
      </w:r>
      <w:r w:rsidRPr="00D865DF">
        <w:rPr>
          <w:rFonts w:ascii="Arial" w:eastAsia="Times New Roman" w:hAnsi="Arial" w:cs="Arial"/>
          <w:color w:val="000000"/>
          <w:shd w:val="clear" w:color="auto" w:fill="FFFFFF"/>
        </w:rPr>
        <w:t xml:space="preserve"> pokazala, uspostavljen jasan i detaljan normativni sistem, koji je jedan od koraka i preduslova kreiranja digitalnog društva. Dalja adekvatna primjena zakonskih rješenja zavisiće od opredjeljenja Vlade u pravcu sprovođenja digitalne transformacije</w:t>
      </w:r>
      <w:r>
        <w:rPr>
          <w:rFonts w:ascii="Arial" w:eastAsia="Times New Roman" w:hAnsi="Arial" w:cs="Arial"/>
          <w:color w:val="000000"/>
          <w:shd w:val="clear" w:color="auto" w:fill="FFFFFF"/>
        </w:rPr>
        <w:t>.</w:t>
      </w:r>
    </w:p>
    <w:p w14:paraId="09D5A5D3" w14:textId="77777777" w:rsidR="00FF4E4E" w:rsidRDefault="00FF4E4E" w:rsidP="00B464EC">
      <w:pPr>
        <w:spacing w:line="276" w:lineRule="auto"/>
        <w:jc w:val="both"/>
        <w:rPr>
          <w:rFonts w:ascii="Arial" w:eastAsia="Times New Roman" w:hAnsi="Arial" w:cs="Arial"/>
          <w:color w:val="000000"/>
          <w:shd w:val="clear" w:color="auto" w:fill="FFFFFF"/>
        </w:rPr>
      </w:pPr>
      <w:r w:rsidRPr="00D865DF">
        <w:rPr>
          <w:rFonts w:ascii="Arial" w:eastAsia="Times New Roman" w:hAnsi="Arial" w:cs="Arial"/>
          <w:color w:val="000000"/>
          <w:shd w:val="clear" w:color="auto" w:fill="FFFFFF"/>
        </w:rPr>
        <w:t>Prisustvo radne snage koja je IT obrazovana, angažovanje lokalnih IT obrazovanih eksperata i podizanje javne svijesti o važnosti primjene ali i edukacije u oblasti digitalnih tehnologija i promjena, uslov su kreiranja društva znanja na kojem počiva digitalno društvo</w:t>
      </w:r>
      <w:r>
        <w:rPr>
          <w:rFonts w:ascii="Arial" w:eastAsia="Times New Roman" w:hAnsi="Arial" w:cs="Arial"/>
          <w:color w:val="000000"/>
          <w:shd w:val="clear" w:color="auto" w:fill="FFFFFF"/>
        </w:rPr>
        <w:t>.</w:t>
      </w:r>
    </w:p>
    <w:p w14:paraId="64475303" w14:textId="77777777" w:rsidR="00FF4E4E" w:rsidRDefault="00FF4E4E" w:rsidP="00B464EC">
      <w:pPr>
        <w:spacing w:line="276" w:lineRule="auto"/>
        <w:jc w:val="both"/>
        <w:rPr>
          <w:rFonts w:ascii="Arial" w:eastAsia="Times New Roman" w:hAnsi="Arial" w:cs="Arial"/>
          <w:color w:val="000000"/>
          <w:shd w:val="clear" w:color="auto" w:fill="FFFFFF"/>
        </w:rPr>
      </w:pPr>
      <w:r w:rsidRPr="00D865DF">
        <w:rPr>
          <w:rFonts w:ascii="Arial" w:eastAsia="Times New Roman" w:hAnsi="Arial" w:cs="Arial"/>
          <w:color w:val="000000"/>
          <w:shd w:val="clear" w:color="auto" w:fill="FFFFFF"/>
        </w:rPr>
        <w:t xml:space="preserve">Podizanje javne svijesti o značaju i benefitima koje tehnologija i tehnološki podržana rješenja predstavljaju, nezaobilazan je element u procesu digitalne transformacije. Crna Gora prepoznaje potrebu za jačanjem ovog elementa digitalnog društva, jer bez znanja i dijeljenja znanja nije moguće sprovesti ali ni koristiti rješenja digitalno transformisanog društva. Takođe, </w:t>
      </w:r>
      <w:r w:rsidRPr="00731DF4">
        <w:rPr>
          <w:rFonts w:ascii="Arial" w:eastAsia="Times New Roman" w:hAnsi="Arial" w:cs="Arial"/>
          <w:b/>
          <w:color w:val="000000"/>
          <w:shd w:val="clear" w:color="auto" w:fill="FFFFFF"/>
        </w:rPr>
        <w:t>kvalitetno i inkluzivno obrazovanje</w:t>
      </w:r>
      <w:r w:rsidRPr="00D865DF">
        <w:rPr>
          <w:rFonts w:ascii="Arial" w:eastAsia="Times New Roman" w:hAnsi="Arial" w:cs="Arial"/>
          <w:color w:val="000000"/>
          <w:shd w:val="clear" w:color="auto" w:fill="FFFFFF"/>
        </w:rPr>
        <w:t xml:space="preserve"> zasnovano na pametnoj upotrebi digitalnih tehnologija predstavlja preduslov održivosti svih ostalih mjera i intervencija. Inicijative i aktivnosti poslovnog sektora su važne kako za jačanje (digitalne) ekonomije tako i za cjelokupno društvo jer upravo ova kategorija predstavlja jedan od ključnih pokretača inovativnih rješenja i primjene takvih rješenja u praksi. Prepoznavanje </w:t>
      </w:r>
      <w:r w:rsidRPr="00D4284C">
        <w:rPr>
          <w:rFonts w:ascii="Arial" w:eastAsia="Times New Roman" w:hAnsi="Arial" w:cs="Arial"/>
          <w:color w:val="000000"/>
          <w:shd w:val="clear" w:color="auto" w:fill="FFFFFF"/>
        </w:rPr>
        <w:t>ključne uloge IKT sektora u Crnoj Gori, pružanje podrške njihovim inicijativama i inovativnim rješenjima, uključivanje ovog sektora u procese digitalne transformacije, uz zajednički c</w:t>
      </w:r>
      <w:r w:rsidRPr="00D865DF">
        <w:rPr>
          <w:rFonts w:ascii="Arial" w:eastAsia="Times New Roman" w:hAnsi="Arial" w:cs="Arial"/>
          <w:color w:val="000000"/>
          <w:shd w:val="clear" w:color="auto" w:fill="FFFFFF"/>
        </w:rPr>
        <w:t>ilj da se kreira jednako društvo zasnovano na znanju, dugoročno će dati dobre rezultate za cjelokupno crnogorsko digitalno društvo.</w:t>
      </w:r>
    </w:p>
    <w:p w14:paraId="1F487F3F" w14:textId="77777777" w:rsidR="00FF4E4E" w:rsidRDefault="00FF4E4E" w:rsidP="00B464EC">
      <w:pPr>
        <w:spacing w:line="276" w:lineRule="auto"/>
        <w:jc w:val="both"/>
        <w:rPr>
          <w:rFonts w:ascii="Arial" w:eastAsia="Times New Roman" w:hAnsi="Arial" w:cs="Arial"/>
          <w:color w:val="000000"/>
          <w:shd w:val="clear" w:color="auto" w:fill="FFFFFF"/>
        </w:rPr>
      </w:pPr>
      <w:r w:rsidRPr="00D865DF">
        <w:rPr>
          <w:rFonts w:ascii="Arial" w:eastAsia="Times New Roman" w:hAnsi="Arial" w:cs="Arial"/>
          <w:color w:val="000000"/>
          <w:shd w:val="clear" w:color="auto" w:fill="FFFFFF"/>
        </w:rPr>
        <w:t xml:space="preserve">Imajući u vidu sve prethodno navedene ključne elemente u procesu kreiranja strateškog okvira i njegovih inicijativa, Strategijom digitalne transformacije 2022-2026, Crna Gora mora sistematski i na uravnotežen način razvijati digitalnu infrastrukturu, </w:t>
      </w:r>
      <w:r w:rsidRPr="00731DF4">
        <w:rPr>
          <w:rFonts w:ascii="Arial" w:eastAsia="Times New Roman" w:hAnsi="Arial" w:cs="Arial"/>
          <w:b/>
          <w:color w:val="000000"/>
          <w:shd w:val="clear" w:color="auto" w:fill="FFFFFF"/>
        </w:rPr>
        <w:t>obezbijediti tačne, ažurne i bezbjedno dostupne podatke, razvijati digitalna rješenja, optimizovati, povezati i digitalizovati procese i usluge i omogućiti svima jednake pristupe ovim rješenjima</w:t>
      </w:r>
      <w:r w:rsidRPr="00D865DF">
        <w:rPr>
          <w:rFonts w:ascii="Arial" w:eastAsia="Times New Roman" w:hAnsi="Arial" w:cs="Arial"/>
          <w:color w:val="000000"/>
          <w:shd w:val="clear" w:color="auto" w:fill="FFFFFF"/>
        </w:rPr>
        <w:t xml:space="preserve">. Zajedničkim angažovanjem svih ovih elemenata, podstaći će se društveni razvoj, koji treba da se zasniva na principima </w:t>
      </w:r>
      <w:r>
        <w:rPr>
          <w:rFonts w:ascii="Arial" w:eastAsia="Times New Roman" w:hAnsi="Arial" w:cs="Arial"/>
          <w:color w:val="000000"/>
          <w:shd w:val="clear" w:color="auto" w:fill="FFFFFF"/>
        </w:rPr>
        <w:t>ravnopravnosti</w:t>
      </w:r>
      <w:r w:rsidRPr="00D865DF">
        <w:rPr>
          <w:rFonts w:ascii="Arial" w:eastAsia="Times New Roman" w:hAnsi="Arial" w:cs="Arial"/>
          <w:color w:val="000000"/>
          <w:shd w:val="clear" w:color="auto" w:fill="FFFFFF"/>
        </w:rPr>
        <w:t xml:space="preserve"> i dostupnosti, kako bi svi osjetili benefite digitalne transformacije.</w:t>
      </w:r>
    </w:p>
    <w:p w14:paraId="3B464F9B" w14:textId="77777777" w:rsidR="00FF4E4E" w:rsidRDefault="00FF4E4E" w:rsidP="00B464EC">
      <w:pPr>
        <w:spacing w:line="276" w:lineRule="auto"/>
        <w:jc w:val="both"/>
        <w:rPr>
          <w:rFonts w:ascii="Arial" w:eastAsia="Times New Roman" w:hAnsi="Arial" w:cs="Arial"/>
          <w:color w:val="000000"/>
          <w:shd w:val="clear" w:color="auto" w:fill="FFFFFF"/>
        </w:rPr>
      </w:pPr>
      <w:r w:rsidRPr="00D865DF">
        <w:rPr>
          <w:rFonts w:ascii="Arial" w:eastAsia="Times New Roman" w:hAnsi="Arial" w:cs="Arial"/>
          <w:color w:val="000000"/>
          <w:shd w:val="clear" w:color="auto" w:fill="FFFFFF"/>
        </w:rPr>
        <w:t xml:space="preserve">Za bolju izgradnju inkluzivnog digitalnog društva u Crnoj Gori potrebno je obezbijediti </w:t>
      </w:r>
      <w:r w:rsidRPr="00731DF4">
        <w:rPr>
          <w:rFonts w:ascii="Arial" w:eastAsia="Times New Roman" w:hAnsi="Arial" w:cs="Arial"/>
          <w:b/>
          <w:color w:val="000000"/>
          <w:shd w:val="clear" w:color="auto" w:fill="FFFFFF"/>
        </w:rPr>
        <w:t>jednake uslove za sve građane na putu društva znanja i raditi na prevazilaženju digitalnog jaza u svakom pogledu.</w:t>
      </w:r>
      <w:r w:rsidRPr="00D865DF">
        <w:rPr>
          <w:rFonts w:ascii="Arial" w:eastAsia="Times New Roman" w:hAnsi="Arial" w:cs="Arial"/>
          <w:color w:val="000000"/>
          <w:shd w:val="clear" w:color="auto" w:fill="FFFFFF"/>
        </w:rPr>
        <w:t xml:space="preserve"> Savremeno digitalno društvo mora se graditi na vrijednostima ravnopravnosti, inkluzivnosti, otvorenosti i jednakih šansi za sve. To podrazumijeva da svaki pojedinac mora biti ravnopravan član i korisnik digitalnog ekosistema, ali i da istovremeno mora preuzeti dio odgovornosti za napredak društva čije benefite koristi.</w:t>
      </w:r>
      <w:r>
        <w:rPr>
          <w:rFonts w:ascii="Arial" w:eastAsia="Times New Roman" w:hAnsi="Arial" w:cs="Arial"/>
          <w:color w:val="000000"/>
          <w:shd w:val="clear" w:color="auto" w:fill="FFFFFF"/>
        </w:rPr>
        <w:t xml:space="preserve"> </w:t>
      </w:r>
    </w:p>
    <w:p w14:paraId="1368BE3C" w14:textId="77777777" w:rsidR="00FF4E4E" w:rsidRDefault="00FF4E4E" w:rsidP="00B464EC">
      <w:pPr>
        <w:spacing w:line="276" w:lineRule="auto"/>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Strategija digitalne transformacije Crne Gore 2022-2026 predstavlja proces integracije digitalne transformacije u svaku poru društva, kako bi se omogućio uspješan i brz digitalni razvoj dostupan svima, kao </w:t>
      </w:r>
      <w:r w:rsidRPr="00986FAA">
        <w:rPr>
          <w:rFonts w:ascii="Arial" w:eastAsia="Times New Roman" w:hAnsi="Arial" w:cs="Arial"/>
          <w:color w:val="000000"/>
          <w:shd w:val="clear" w:color="auto" w:fill="FFFFFF"/>
        </w:rPr>
        <w:t>šans</w:t>
      </w:r>
      <w:r>
        <w:rPr>
          <w:rFonts w:ascii="Arial" w:eastAsia="Times New Roman" w:hAnsi="Arial" w:cs="Arial"/>
          <w:color w:val="000000"/>
          <w:shd w:val="clear" w:color="auto" w:fill="FFFFFF"/>
        </w:rPr>
        <w:t>a</w:t>
      </w:r>
      <w:r w:rsidRPr="00986FAA">
        <w:rPr>
          <w:rFonts w:ascii="Arial" w:eastAsia="Times New Roman" w:hAnsi="Arial" w:cs="Arial"/>
          <w:color w:val="000000"/>
          <w:shd w:val="clear" w:color="auto" w:fill="FFFFFF"/>
        </w:rPr>
        <w:t xml:space="preserve"> </w:t>
      </w:r>
      <w:r>
        <w:rPr>
          <w:rFonts w:ascii="Arial" w:eastAsia="Times New Roman" w:hAnsi="Arial" w:cs="Arial"/>
          <w:color w:val="000000"/>
          <w:shd w:val="clear" w:color="auto" w:fill="FFFFFF"/>
        </w:rPr>
        <w:t>dugoročnog</w:t>
      </w:r>
      <w:r w:rsidRPr="00986FAA">
        <w:rPr>
          <w:rFonts w:ascii="Arial" w:eastAsia="Times New Roman" w:hAnsi="Arial" w:cs="Arial"/>
          <w:color w:val="000000"/>
          <w:shd w:val="clear" w:color="auto" w:fill="FFFFFF"/>
        </w:rPr>
        <w:t xml:space="preserve"> uspjeh</w:t>
      </w:r>
      <w:r>
        <w:rPr>
          <w:rFonts w:ascii="Arial" w:eastAsia="Times New Roman" w:hAnsi="Arial" w:cs="Arial"/>
          <w:color w:val="000000"/>
          <w:shd w:val="clear" w:color="auto" w:fill="FFFFFF"/>
        </w:rPr>
        <w:t>a</w:t>
      </w:r>
      <w:r w:rsidRPr="00986FAA">
        <w:rPr>
          <w:rFonts w:ascii="Arial" w:eastAsia="Times New Roman" w:hAnsi="Arial" w:cs="Arial"/>
          <w:color w:val="000000"/>
          <w:shd w:val="clear" w:color="auto" w:fill="FFFFFF"/>
        </w:rPr>
        <w:t xml:space="preserve"> i prosperitet</w:t>
      </w:r>
      <w:r>
        <w:rPr>
          <w:rFonts w:ascii="Arial" w:eastAsia="Times New Roman" w:hAnsi="Arial" w:cs="Arial"/>
          <w:color w:val="000000"/>
          <w:shd w:val="clear" w:color="auto" w:fill="FFFFFF"/>
        </w:rPr>
        <w:t>a</w:t>
      </w:r>
      <w:r w:rsidRPr="00986FAA">
        <w:rPr>
          <w:rFonts w:ascii="Arial" w:eastAsia="Times New Roman" w:hAnsi="Arial" w:cs="Arial"/>
          <w:color w:val="000000"/>
          <w:shd w:val="clear" w:color="auto" w:fill="FFFFFF"/>
        </w:rPr>
        <w:t xml:space="preserve"> cijelog društva</w:t>
      </w:r>
      <w:r>
        <w:rPr>
          <w:rFonts w:ascii="Arial" w:eastAsia="Times New Roman" w:hAnsi="Arial" w:cs="Arial"/>
          <w:color w:val="000000"/>
          <w:shd w:val="clear" w:color="auto" w:fill="FFFFFF"/>
        </w:rPr>
        <w:t xml:space="preserve">. </w:t>
      </w:r>
    </w:p>
    <w:p w14:paraId="3456BDDE" w14:textId="77777777" w:rsidR="00FF4E4E" w:rsidRDefault="00FF4E4E" w:rsidP="00FF4E4E">
      <w:pPr>
        <w:spacing w:line="276" w:lineRule="auto"/>
        <w:rPr>
          <w:rFonts w:ascii="Arial" w:eastAsia="Times New Roman" w:hAnsi="Arial" w:cs="Arial"/>
          <w:color w:val="000000"/>
          <w:shd w:val="clear" w:color="auto" w:fill="FFFFFF"/>
        </w:rPr>
      </w:pPr>
    </w:p>
    <w:p w14:paraId="7EBEBEB8" w14:textId="77777777" w:rsidR="00FF4E4E" w:rsidRDefault="00FF4E4E" w:rsidP="00FF4E4E">
      <w:pPr>
        <w:spacing w:line="276" w:lineRule="auto"/>
        <w:rPr>
          <w:rFonts w:ascii="Arial" w:eastAsia="Times New Roman" w:hAnsi="Arial" w:cs="Arial"/>
          <w:color w:val="000000"/>
          <w:shd w:val="clear" w:color="auto" w:fill="FFFFFF"/>
        </w:rPr>
      </w:pPr>
    </w:p>
    <w:p w14:paraId="76A78736" w14:textId="77777777" w:rsidR="00FF4E4E" w:rsidRDefault="00FF4E4E" w:rsidP="00FF4E4E">
      <w:pPr>
        <w:spacing w:line="276" w:lineRule="auto"/>
        <w:rPr>
          <w:rFonts w:ascii="Arial" w:eastAsia="Times New Roman" w:hAnsi="Arial" w:cs="Arial"/>
          <w:color w:val="000000"/>
          <w:shd w:val="clear" w:color="auto" w:fill="FFFFFF"/>
        </w:rPr>
      </w:pPr>
    </w:p>
    <w:p w14:paraId="13FB11E4" w14:textId="77777777" w:rsidR="00FF4E4E" w:rsidRPr="00731DF4" w:rsidRDefault="00FF4E4E" w:rsidP="00FF4E4E">
      <w:pPr>
        <w:jc w:val="center"/>
        <w:rPr>
          <w:szCs w:val="24"/>
        </w:rPr>
      </w:pPr>
    </w:p>
    <w:p w14:paraId="21EA0144" w14:textId="77777777" w:rsidR="00FF4E4E" w:rsidRDefault="00FF4E4E" w:rsidP="00FF4E4E">
      <w:pPr>
        <w:rPr>
          <w:b/>
          <w:szCs w:val="24"/>
        </w:rPr>
      </w:pPr>
    </w:p>
    <w:p w14:paraId="293F5257" w14:textId="77777777" w:rsidR="00FF4E4E" w:rsidRDefault="00FF4E4E" w:rsidP="00FF4E4E">
      <w:pPr>
        <w:spacing w:line="276" w:lineRule="auto"/>
        <w:rPr>
          <w:rFonts w:ascii="Arial" w:eastAsia="Times New Roman" w:hAnsi="Arial" w:cs="Arial"/>
          <w:color w:val="000000"/>
          <w:shd w:val="clear" w:color="auto" w:fill="FFFFFF"/>
        </w:rPr>
      </w:pPr>
    </w:p>
    <w:p w14:paraId="7D4695C4" w14:textId="77777777" w:rsidR="00FF4E4E" w:rsidRPr="00220D1A" w:rsidRDefault="00FF4E4E" w:rsidP="00FF4E4E">
      <w:pPr>
        <w:spacing w:line="276" w:lineRule="auto"/>
        <w:rPr>
          <w:rFonts w:ascii="Arial" w:eastAsia="Times New Roman" w:hAnsi="Arial" w:cs="Arial"/>
          <w:color w:val="000000"/>
          <w:shd w:val="clear" w:color="auto" w:fill="FFFFFF"/>
        </w:rPr>
      </w:pPr>
    </w:p>
    <w:p w14:paraId="17EC68F5" w14:textId="77777777" w:rsidR="00FF4E4E" w:rsidRPr="00F062A0" w:rsidRDefault="00FF4E4E" w:rsidP="00FF4E4E">
      <w:pPr>
        <w:rPr>
          <w:rFonts w:ascii="Arial" w:hAnsi="Arial" w:cs="Arial"/>
          <w:szCs w:val="24"/>
        </w:rPr>
      </w:pPr>
    </w:p>
    <w:p w14:paraId="63833015" w14:textId="77777777" w:rsidR="00FF4E4E" w:rsidRDefault="00FF4E4E" w:rsidP="00FF4E4E">
      <w:pPr>
        <w:tabs>
          <w:tab w:val="left" w:pos="2295"/>
        </w:tabs>
      </w:pPr>
    </w:p>
    <w:p w14:paraId="3AD86E7F" w14:textId="77777777" w:rsidR="00910B75" w:rsidRPr="00FF4E4E" w:rsidRDefault="00FF4E4E" w:rsidP="00FF4E4E">
      <w:pPr>
        <w:tabs>
          <w:tab w:val="left" w:pos="2295"/>
        </w:tabs>
        <w:sectPr w:rsidR="00910B75" w:rsidRPr="00FF4E4E" w:rsidSect="00372643">
          <w:headerReference w:type="default" r:id="rId10"/>
          <w:footerReference w:type="default" r:id="rId11"/>
          <w:headerReference w:type="first" r:id="rId12"/>
          <w:pgSz w:w="12240" w:h="15840"/>
          <w:pgMar w:top="1134" w:right="907" w:bottom="993" w:left="1140" w:header="720" w:footer="624" w:gutter="0"/>
          <w:pgNumType w:start="0"/>
          <w:cols w:space="720"/>
          <w:titlePg/>
        </w:sectPr>
      </w:pPr>
      <w:r>
        <w:tab/>
      </w:r>
    </w:p>
    <w:p w14:paraId="1C13C1F3" w14:textId="77777777" w:rsidR="005B3072" w:rsidRDefault="00A46913">
      <w:pPr>
        <w:sectPr w:rsidR="005B3072">
          <w:headerReference w:type="first" r:id="rId13"/>
          <w:footerReference w:type="first" r:id="rId14"/>
          <w:pgSz w:w="12240" w:h="15840"/>
          <w:pgMar w:top="1276" w:right="907" w:bottom="1440" w:left="1140" w:header="720" w:footer="624" w:gutter="0"/>
          <w:pgNumType w:start="0"/>
          <w:cols w:space="720"/>
          <w:titlePg/>
        </w:sectPr>
      </w:pPr>
      <w:r>
        <w:rPr>
          <w:noProof/>
        </w:rPr>
        <w:lastRenderedPageBreak/>
        <mc:AlternateContent>
          <mc:Choice Requires="wps">
            <w:drawing>
              <wp:anchor distT="0" distB="0" distL="114300" distR="114300" simplePos="0" relativeHeight="251670528" behindDoc="0" locked="0" layoutInCell="1" allowOverlap="1" wp14:anchorId="1236921E" wp14:editId="52904F68">
                <wp:simplePos x="0" y="0"/>
                <wp:positionH relativeFrom="column">
                  <wp:posOffset>628650</wp:posOffset>
                </wp:positionH>
                <wp:positionV relativeFrom="paragraph">
                  <wp:posOffset>-306070</wp:posOffset>
                </wp:positionV>
                <wp:extent cx="0" cy="684530"/>
                <wp:effectExtent l="0" t="0" r="38100" b="20320"/>
                <wp:wrapNone/>
                <wp:docPr id="19" name="Straight Connector 19"/>
                <wp:cNvGraphicFramePr/>
                <a:graphic xmlns:a="http://schemas.openxmlformats.org/drawingml/2006/main">
                  <a:graphicData uri="http://schemas.microsoft.com/office/word/2010/wordprocessingShape">
                    <wps:wsp>
                      <wps:cNvCnPr/>
                      <wps:spPr>
                        <a:xfrm>
                          <a:off x="0" y="0"/>
                          <a:ext cx="0" cy="68453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24E942D6" id="Straight Connector 19"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5pt,-24.1pt" to="49.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" strokecolor="#f68c36 [3049]"/>
            </w:pict>
          </mc:Fallback>
        </mc:AlternateContent>
      </w:r>
      <w:r w:rsidR="00A54540">
        <w:rPr>
          <w:noProof/>
        </w:rPr>
        <mc:AlternateContent>
          <mc:Choice Requires="wps">
            <w:drawing>
              <wp:anchor distT="45720" distB="45720" distL="114300" distR="114300" simplePos="0" relativeHeight="251662336" behindDoc="0" locked="0" layoutInCell="1" hidden="0" allowOverlap="1" wp14:anchorId="05431FB4" wp14:editId="7B23E479">
                <wp:simplePos x="0" y="0"/>
                <wp:positionH relativeFrom="column">
                  <wp:posOffset>3660775</wp:posOffset>
                </wp:positionH>
                <wp:positionV relativeFrom="paragraph">
                  <wp:posOffset>8586470</wp:posOffset>
                </wp:positionV>
                <wp:extent cx="2943860" cy="457200"/>
                <wp:effectExtent l="0" t="0" r="0" b="0"/>
                <wp:wrapNone/>
                <wp:docPr id="7" name="Rectangle 7"/>
                <wp:cNvGraphicFramePr/>
                <a:graphic xmlns:a="http://schemas.openxmlformats.org/drawingml/2006/main">
                  <a:graphicData uri="http://schemas.microsoft.com/office/word/2010/wordprocessingShape">
                    <wps:wsp>
                      <wps:cNvSpPr/>
                      <wps:spPr>
                        <a:xfrm>
                          <a:off x="0" y="0"/>
                          <a:ext cx="2943860" cy="457200"/>
                        </a:xfrm>
                        <a:prstGeom prst="rect">
                          <a:avLst/>
                        </a:prstGeom>
                        <a:solidFill>
                          <a:srgbClr val="FFFFFF"/>
                        </a:solidFill>
                        <a:ln>
                          <a:noFill/>
                        </a:ln>
                      </wps:spPr>
                      <wps:txbx>
                        <w:txbxContent>
                          <w:p w14:paraId="0CE5C038" w14:textId="77777777" w:rsidR="005E4CCE" w:rsidRDefault="005E4CCE">
                            <w:pPr>
                              <w:spacing w:line="258" w:lineRule="auto"/>
                              <w:jc w:val="right"/>
                              <w:textDirection w:val="btLr"/>
                            </w:pPr>
                            <w:r>
                              <w:rPr>
                                <w:b/>
                                <w:color w:val="000000"/>
                                <w:sz w:val="28"/>
                              </w:rPr>
                              <w:t>DECEMBAR 2021</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id="Rectangle 7" o:spid="_x0000_s1038" style="position:absolute;margin-left:288.25pt;margin-top:676.1pt;width:231.8pt;height:36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" stroked="f">
                <v:textbox inset="2.53958mm,1.2694mm,2.53958mm,1.2694mm">
                  <w:txbxContent>
                    <w:p w:rsidR="005E4CCE" w:rsidRDefault="005E4CCE">
                      <w:pPr>
                        <w:spacing w:line="258" w:lineRule="auto"/>
                        <w:jc w:val="right"/>
                        <w:textDirection w:val="btLr"/>
                      </w:pPr>
                      <w:r>
                        <w:rPr>
                          <w:b/>
                          <w:color w:val="000000"/>
                          <w:sz w:val="28"/>
                        </w:rPr>
                        <w:t>DECEMBAR 2021</w:t>
                      </w:r>
                    </w:p>
                  </w:txbxContent>
                </v:textbox>
              </v:rect>
            </w:pict>
          </mc:Fallback>
        </mc:AlternateContent>
      </w:r>
      <w:r w:rsidR="00A54540">
        <w:rPr>
          <w:noProof/>
        </w:rPr>
        <w:drawing>
          <wp:anchor distT="0" distB="0" distL="0" distR="0" simplePos="0" relativeHeight="251659264" behindDoc="1" locked="0" layoutInCell="1" hidden="0" allowOverlap="1" wp14:anchorId="2B00FCFB" wp14:editId="5FF5E8F2">
            <wp:simplePos x="0" y="0"/>
            <wp:positionH relativeFrom="column">
              <wp:posOffset>-132080</wp:posOffset>
            </wp:positionH>
            <wp:positionV relativeFrom="paragraph">
              <wp:posOffset>3270250</wp:posOffset>
            </wp:positionV>
            <wp:extent cx="6115050" cy="5238115"/>
            <wp:effectExtent l="0" t="0" r="0" b="0"/>
            <wp:wrapNone/>
            <wp:docPr id="10" name="image7.png" descr="b2"/>
            <wp:cNvGraphicFramePr/>
            <a:graphic xmlns:a="http://schemas.openxmlformats.org/drawingml/2006/main">
              <a:graphicData uri="http://schemas.openxmlformats.org/drawingml/2006/picture">
                <pic:pic xmlns:pic="http://schemas.openxmlformats.org/drawingml/2006/picture">
                  <pic:nvPicPr>
                    <pic:cNvPr id="0" name="image7.png" descr="b2"/>
                    <pic:cNvPicPr preferRelativeResize="0"/>
                  </pic:nvPicPr>
                  <pic:blipFill>
                    <a:blip r:embed="rId15"/>
                    <a:srcRect/>
                    <a:stretch>
                      <a:fillRect/>
                    </a:stretch>
                  </pic:blipFill>
                  <pic:spPr>
                    <a:xfrm>
                      <a:off x="0" y="0"/>
                      <a:ext cx="6115050" cy="5238115"/>
                    </a:xfrm>
                    <a:prstGeom prst="rect">
                      <a:avLst/>
                    </a:prstGeom>
                    <a:ln/>
                  </pic:spPr>
                </pic:pic>
              </a:graphicData>
            </a:graphic>
          </wp:anchor>
        </w:drawing>
      </w:r>
      <w:r w:rsidR="00A54540">
        <w:rPr>
          <w:noProof/>
        </w:rPr>
        <mc:AlternateContent>
          <mc:Choice Requires="wps">
            <w:drawing>
              <wp:anchor distT="45720" distB="45720" distL="114300" distR="114300" simplePos="0" relativeHeight="251660288" behindDoc="0" locked="0" layoutInCell="1" hidden="0" allowOverlap="1" wp14:anchorId="77F67BDB" wp14:editId="45FA68A2">
                <wp:simplePos x="0" y="0"/>
                <wp:positionH relativeFrom="column">
                  <wp:posOffset>-24765</wp:posOffset>
                </wp:positionH>
                <wp:positionV relativeFrom="paragraph">
                  <wp:posOffset>983615</wp:posOffset>
                </wp:positionV>
                <wp:extent cx="5886450" cy="2510546"/>
                <wp:effectExtent l="0" t="0" r="0" b="0"/>
                <wp:wrapSquare wrapText="bothSides" distT="45720" distB="45720" distL="114300" distR="114300"/>
                <wp:docPr id="6" name="Rectangle 6"/>
                <wp:cNvGraphicFramePr/>
                <a:graphic xmlns:a="http://schemas.openxmlformats.org/drawingml/2006/main">
                  <a:graphicData uri="http://schemas.microsoft.com/office/word/2010/wordprocessingShape">
                    <wps:wsp>
                      <wps:cNvSpPr/>
                      <wps:spPr>
                        <a:xfrm>
                          <a:off x="0" y="0"/>
                          <a:ext cx="5886450" cy="2510546"/>
                        </a:xfrm>
                        <a:prstGeom prst="rect">
                          <a:avLst/>
                        </a:prstGeom>
                        <a:noFill/>
                        <a:ln>
                          <a:noFill/>
                        </a:ln>
                      </wps:spPr>
                      <wps:txbx>
                        <w:txbxContent>
                          <w:p w14:paraId="13A8365A" w14:textId="77777777" w:rsidR="005E4CCE" w:rsidRDefault="005E4CCE">
                            <w:pPr>
                              <w:spacing w:line="240" w:lineRule="auto"/>
                              <w:textDirection w:val="btLr"/>
                            </w:pPr>
                            <w:r>
                              <w:rPr>
                                <w:rFonts w:ascii="Arial" w:eastAsia="Arial" w:hAnsi="Arial" w:cs="Arial"/>
                                <w:b/>
                                <w:color w:val="0070C0"/>
                                <w:sz w:val="56"/>
                              </w:rPr>
                              <w:t xml:space="preserve">STRATEGIJA </w:t>
                            </w:r>
                          </w:p>
                          <w:p w14:paraId="3739C867" w14:textId="77777777" w:rsidR="005E4CCE" w:rsidRDefault="005E4CCE">
                            <w:pPr>
                              <w:spacing w:line="240" w:lineRule="auto"/>
                              <w:textDirection w:val="btLr"/>
                            </w:pPr>
                            <w:r>
                              <w:rPr>
                                <w:rFonts w:ascii="Arial" w:eastAsia="Arial" w:hAnsi="Arial" w:cs="Arial"/>
                                <w:b/>
                                <w:color w:val="0070C0"/>
                                <w:sz w:val="56"/>
                              </w:rPr>
                              <w:t>DIGITALNE TRANSFORMACIJE CRNE GORE 2022-2026</w:t>
                            </w:r>
                          </w:p>
                          <w:p w14:paraId="3EC9E99D" w14:textId="77777777" w:rsidR="005E4CCE" w:rsidRDefault="005E4CCE">
                            <w:pPr>
                              <w:spacing w:line="240" w:lineRule="auto"/>
                              <w:jc w:val="center"/>
                              <w:textDirection w:val="btLr"/>
                            </w:pPr>
                          </w:p>
                          <w:p w14:paraId="63140FD6" w14:textId="77777777" w:rsidR="005E4CCE" w:rsidRDefault="005E4CCE">
                            <w:pPr>
                              <w:spacing w:line="240" w:lineRule="auto"/>
                              <w:textDirection w:val="btLr"/>
                            </w:pPr>
                            <w:r>
                              <w:rPr>
                                <w:rFonts w:ascii="Arial" w:eastAsia="Arial" w:hAnsi="Arial" w:cs="Arial"/>
                                <w:color w:val="000000"/>
                                <w:sz w:val="44"/>
                              </w:rPr>
                              <w:t>SA AKCIONIM PLANOM 2022-2023</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id="Rectangle 6" o:spid="_x0000_s1039" style="position:absolute;margin-left:-1.95pt;margin-top:77.45pt;width:463.5pt;height:197.7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" filled="f" stroked="f">
                <v:textbox inset="2.53958mm,1.2694mm,2.53958mm,1.2694mm">
                  <w:txbxContent>
                    <w:p w:rsidR="005E4CCE" w:rsidRDefault="005E4CCE">
                      <w:pPr>
                        <w:spacing w:line="240" w:lineRule="auto"/>
                        <w:textDirection w:val="btLr"/>
                      </w:pPr>
                      <w:r>
                        <w:rPr>
                          <w:rFonts w:ascii="Arial" w:eastAsia="Arial" w:hAnsi="Arial" w:cs="Arial"/>
                          <w:b/>
                          <w:color w:val="0070C0"/>
                          <w:sz w:val="56"/>
                        </w:rPr>
                        <w:t xml:space="preserve">STRATEGIJA </w:t>
                      </w:r>
                    </w:p>
                    <w:p w:rsidR="005E4CCE" w:rsidRDefault="005E4CCE">
                      <w:pPr>
                        <w:spacing w:line="240" w:lineRule="auto"/>
                        <w:textDirection w:val="btLr"/>
                      </w:pPr>
                      <w:r>
                        <w:rPr>
                          <w:rFonts w:ascii="Arial" w:eastAsia="Arial" w:hAnsi="Arial" w:cs="Arial"/>
                          <w:b/>
                          <w:color w:val="0070C0"/>
                          <w:sz w:val="56"/>
                        </w:rPr>
                        <w:t>DIGITALNE TRANSFORMACIJE CRNE GORE 2022-2026</w:t>
                      </w:r>
                    </w:p>
                    <w:p w:rsidR="005E4CCE" w:rsidRDefault="005E4CCE">
                      <w:pPr>
                        <w:spacing w:line="240" w:lineRule="auto"/>
                        <w:jc w:val="center"/>
                        <w:textDirection w:val="btLr"/>
                      </w:pPr>
                    </w:p>
                    <w:p w:rsidR="005E4CCE" w:rsidRDefault="005E4CCE">
                      <w:pPr>
                        <w:spacing w:line="240" w:lineRule="auto"/>
                        <w:textDirection w:val="btLr"/>
                      </w:pPr>
                      <w:r>
                        <w:rPr>
                          <w:rFonts w:ascii="Arial" w:eastAsia="Arial" w:hAnsi="Arial" w:cs="Arial"/>
                          <w:color w:val="000000"/>
                          <w:sz w:val="44"/>
                        </w:rPr>
                        <w:t>SA AKCIONIM PLANOM 2022-2023</w:t>
                      </w:r>
                    </w:p>
                  </w:txbxContent>
                </v:textbox>
                <w10:wrap type="square"/>
              </v:rect>
            </w:pict>
          </mc:Fallback>
        </mc:AlternateContent>
      </w:r>
      <w:r>
        <w:t xml:space="preserve"> </w:t>
      </w:r>
      <w:r>
        <w:rPr>
          <w:noProof/>
        </w:rPr>
        <mc:AlternateContent>
          <mc:Choice Requires="wps">
            <w:drawing>
              <wp:anchor distT="0" distB="0" distL="0" distR="0" simplePos="0" relativeHeight="251658240" behindDoc="1" locked="0" layoutInCell="1" hidden="0" allowOverlap="1" wp14:anchorId="328CF43B" wp14:editId="64824C0E">
                <wp:simplePos x="0" y="0"/>
                <wp:positionH relativeFrom="column">
                  <wp:posOffset>685800</wp:posOffset>
                </wp:positionH>
                <wp:positionV relativeFrom="paragraph">
                  <wp:posOffset>-330199</wp:posOffset>
                </wp:positionV>
                <wp:extent cx="4288790" cy="553720"/>
                <wp:effectExtent l="0" t="0" r="0" b="0"/>
                <wp:wrapNone/>
                <wp:docPr id="4" name="Rectangle 4"/>
                <wp:cNvGraphicFramePr/>
                <a:graphic xmlns:a="http://schemas.openxmlformats.org/drawingml/2006/main">
                  <a:graphicData uri="http://schemas.microsoft.com/office/word/2010/wordprocessingShape">
                    <wps:wsp>
                      <wps:cNvSpPr/>
                      <wps:spPr>
                        <a:xfrm>
                          <a:off x="3211130" y="3512665"/>
                          <a:ext cx="4269740" cy="534670"/>
                        </a:xfrm>
                        <a:prstGeom prst="rect">
                          <a:avLst/>
                        </a:prstGeom>
                        <a:noFill/>
                        <a:ln>
                          <a:noFill/>
                        </a:ln>
                      </wps:spPr>
                      <wps:txbx>
                        <w:txbxContent>
                          <w:p w14:paraId="75988D34" w14:textId="77777777" w:rsidR="005E4CCE" w:rsidRDefault="005E4CCE">
                            <w:pPr>
                              <w:spacing w:after="0" w:line="258" w:lineRule="auto"/>
                              <w:textDirection w:val="btLr"/>
                            </w:pPr>
                            <w:r>
                              <w:rPr>
                                <w:rFonts w:ascii="Arial" w:eastAsia="Arial" w:hAnsi="Arial" w:cs="Arial"/>
                                <w:color w:val="000000"/>
                                <w:sz w:val="28"/>
                              </w:rPr>
                              <w:t xml:space="preserve">Ministarstvo javne uprave, </w:t>
                            </w:r>
                          </w:p>
                          <w:p w14:paraId="786E03F1" w14:textId="77777777" w:rsidR="005E4CCE" w:rsidRDefault="005E4CCE">
                            <w:pPr>
                              <w:spacing w:after="0" w:line="258" w:lineRule="auto"/>
                              <w:textDirection w:val="btLr"/>
                            </w:pPr>
                            <w:r>
                              <w:rPr>
                                <w:rFonts w:ascii="Arial" w:eastAsia="Arial" w:hAnsi="Arial" w:cs="Arial"/>
                                <w:color w:val="000000"/>
                                <w:sz w:val="28"/>
                              </w:rPr>
                              <w:t>digitalnog društva i medija</w:t>
                            </w:r>
                          </w:p>
                        </w:txbxContent>
                      </wps:txbx>
                      <wps:bodyPr spcFirstLastPara="1" wrap="square" lIns="91425" tIns="45700" rIns="91425" bIns="4570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id="Rectangle 4" o:spid="_x0000_s1040" style="position:absolute;margin-left:54pt;margin-top:-26pt;width:337.7pt;height:43.6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" filled="f" stroked="f">
                <v:textbox inset="2.53958mm,1.2694mm,2.53958mm,1.2694mm">
                  <w:txbxContent>
                    <w:p w:rsidR="005E4CCE" w:rsidRDefault="005E4CCE">
                      <w:pPr>
                        <w:spacing w:after="0" w:line="258" w:lineRule="auto"/>
                        <w:textDirection w:val="btLr"/>
                      </w:pPr>
                      <w:r>
                        <w:rPr>
                          <w:rFonts w:ascii="Arial" w:eastAsia="Arial" w:hAnsi="Arial" w:cs="Arial"/>
                          <w:color w:val="000000"/>
                          <w:sz w:val="28"/>
                        </w:rPr>
                        <w:t xml:space="preserve">Ministarstvo javne uprave, </w:t>
                      </w:r>
                    </w:p>
                    <w:p w:rsidR="005E4CCE" w:rsidRDefault="005E4CCE">
                      <w:pPr>
                        <w:spacing w:after="0" w:line="258" w:lineRule="auto"/>
                        <w:textDirection w:val="btLr"/>
                      </w:pPr>
                      <w:r>
                        <w:rPr>
                          <w:rFonts w:ascii="Arial" w:eastAsia="Arial" w:hAnsi="Arial" w:cs="Arial"/>
                          <w:color w:val="000000"/>
                          <w:sz w:val="28"/>
                        </w:rPr>
                        <w:t>digitalnog društva i medija</w:t>
                      </w:r>
                    </w:p>
                  </w:txbxContent>
                </v:textbox>
              </v:rect>
            </w:pict>
          </mc:Fallback>
        </mc:AlternateContent>
      </w:r>
      <w:r>
        <w:rPr>
          <w:noProof/>
        </w:rPr>
        <w:drawing>
          <wp:anchor distT="0" distB="0" distL="114300" distR="114300" simplePos="0" relativeHeight="251663360" behindDoc="0" locked="0" layoutInCell="1" hidden="0" allowOverlap="1" wp14:anchorId="75ACA001" wp14:editId="7A834E48">
            <wp:simplePos x="0" y="0"/>
            <wp:positionH relativeFrom="column">
              <wp:posOffset>-129538</wp:posOffset>
            </wp:positionH>
            <wp:positionV relativeFrom="paragraph">
              <wp:posOffset>-337818</wp:posOffset>
            </wp:positionV>
            <wp:extent cx="668020" cy="77025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668020" cy="770255"/>
                    </a:xfrm>
                    <a:prstGeom prst="rect">
                      <a:avLst/>
                    </a:prstGeom>
                    <a:ln/>
                  </pic:spPr>
                </pic:pic>
              </a:graphicData>
            </a:graphic>
          </wp:anchor>
        </w:drawing>
      </w:r>
    </w:p>
    <w:p w14:paraId="3D044984" w14:textId="77777777" w:rsidR="005B3072" w:rsidRDefault="00A46913">
      <w:pPr>
        <w:keepNext/>
        <w:keepLines/>
        <w:pBdr>
          <w:top w:val="nil"/>
          <w:left w:val="nil"/>
          <w:bottom w:val="nil"/>
          <w:right w:val="nil"/>
          <w:between w:val="nil"/>
        </w:pBdr>
        <w:spacing w:before="400" w:after="40" w:line="240" w:lineRule="auto"/>
        <w:rPr>
          <w:b/>
          <w:color w:val="1F3864"/>
          <w:sz w:val="28"/>
          <w:szCs w:val="28"/>
        </w:rPr>
      </w:pPr>
      <w:r>
        <w:rPr>
          <w:b/>
          <w:color w:val="1F3864"/>
          <w:sz w:val="28"/>
          <w:szCs w:val="28"/>
        </w:rPr>
        <w:lastRenderedPageBreak/>
        <w:t>SADRŽAJ</w:t>
      </w:r>
    </w:p>
    <w:sdt>
      <w:sdtPr>
        <w:id w:val="-503355733"/>
        <w:docPartObj>
          <w:docPartGallery w:val="Table of Contents"/>
          <w:docPartUnique/>
        </w:docPartObj>
      </w:sdtPr>
      <w:sdtEndPr/>
      <w:sdtContent>
        <w:p w14:paraId="6885164E" w14:textId="77777777" w:rsidR="005B3072" w:rsidRDefault="00A46913">
          <w:pPr>
            <w:pBdr>
              <w:top w:val="nil"/>
              <w:left w:val="nil"/>
              <w:bottom w:val="nil"/>
              <w:right w:val="nil"/>
              <w:between w:val="nil"/>
            </w:pBdr>
            <w:tabs>
              <w:tab w:val="right" w:pos="10183"/>
            </w:tabs>
            <w:spacing w:after="100"/>
            <w:rPr>
              <w:rFonts w:ascii="Cambria" w:eastAsia="Cambria" w:hAnsi="Cambria" w:cs="Cambria"/>
              <w:color w:val="000000"/>
            </w:rPr>
          </w:pPr>
          <w:r>
            <w:fldChar w:fldCharType="begin"/>
          </w:r>
          <w:r>
            <w:instrText xml:space="preserve"> TOC \h \u \z </w:instrText>
          </w:r>
          <w:r>
            <w:fldChar w:fldCharType="separate"/>
          </w:r>
          <w:hyperlink w:anchor="_gjdgxs">
            <w:r>
              <w:rPr>
                <w:b/>
                <w:color w:val="000000"/>
              </w:rPr>
              <w:t>Termini</w:t>
            </w:r>
          </w:hyperlink>
          <w:hyperlink w:anchor="_gjdgxs">
            <w:r>
              <w:rPr>
                <w:color w:val="000000"/>
              </w:rPr>
              <w:tab/>
              <w:t>5</w:t>
            </w:r>
          </w:hyperlink>
        </w:p>
        <w:p w14:paraId="54B5A7DE" w14:textId="77777777" w:rsidR="005B3072" w:rsidRDefault="00F348F7">
          <w:pPr>
            <w:pBdr>
              <w:top w:val="nil"/>
              <w:left w:val="nil"/>
              <w:bottom w:val="nil"/>
              <w:right w:val="nil"/>
              <w:between w:val="nil"/>
            </w:pBdr>
            <w:tabs>
              <w:tab w:val="left" w:pos="440"/>
              <w:tab w:val="right" w:pos="10183"/>
            </w:tabs>
            <w:spacing w:after="100"/>
            <w:rPr>
              <w:rFonts w:ascii="Cambria" w:eastAsia="Cambria" w:hAnsi="Cambria" w:cs="Cambria"/>
              <w:color w:val="000000"/>
            </w:rPr>
          </w:pPr>
          <w:hyperlink w:anchor="_2et92p0">
            <w:r w:rsidR="00A46913">
              <w:rPr>
                <w:b/>
                <w:color w:val="000000"/>
              </w:rPr>
              <w:t>I</w:t>
            </w:r>
          </w:hyperlink>
          <w:hyperlink w:anchor="_2et92p0">
            <w:r w:rsidR="00A46913">
              <w:rPr>
                <w:rFonts w:ascii="Cambria" w:eastAsia="Cambria" w:hAnsi="Cambria" w:cs="Cambria"/>
                <w:color w:val="000000"/>
              </w:rPr>
              <w:tab/>
            </w:r>
          </w:hyperlink>
          <w:r w:rsidR="00A46913">
            <w:fldChar w:fldCharType="begin"/>
          </w:r>
          <w:r w:rsidR="00A46913">
            <w:instrText xml:space="preserve"> PAGEREF _2et92p0 \h </w:instrText>
          </w:r>
          <w:r w:rsidR="00A46913">
            <w:fldChar w:fldCharType="separate"/>
          </w:r>
          <w:r w:rsidR="00A46913">
            <w:rPr>
              <w:b/>
              <w:color w:val="000000"/>
            </w:rPr>
            <w:t>UVOD</w:t>
          </w:r>
          <w:r w:rsidR="00A46913">
            <w:rPr>
              <w:color w:val="000000"/>
            </w:rPr>
            <w:tab/>
            <w:t>6</w:t>
          </w:r>
          <w:r w:rsidR="00A46913">
            <w:fldChar w:fldCharType="end"/>
          </w:r>
        </w:p>
        <w:p w14:paraId="57F5E150"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tyjcwt">
            <w:r w:rsidR="00A46913">
              <w:rPr>
                <w:color w:val="000000"/>
              </w:rPr>
              <w:t>Usklađenost sa EU strateškim okvirom međunarodnim obavezama</w:t>
            </w:r>
            <w:r w:rsidR="00A46913">
              <w:rPr>
                <w:color w:val="000000"/>
              </w:rPr>
              <w:tab/>
              <w:t>7</w:t>
            </w:r>
          </w:hyperlink>
        </w:p>
        <w:p w14:paraId="0ED1A8F6"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3dy6vkm">
            <w:r w:rsidR="00A46913">
              <w:rPr>
                <w:color w:val="000000"/>
              </w:rPr>
              <w:t>Pozicioniranje u strateškom okviru Crne Gore</w:t>
            </w:r>
            <w:r w:rsidR="00A46913">
              <w:rPr>
                <w:color w:val="000000"/>
              </w:rPr>
              <w:tab/>
              <w:t>10</w:t>
            </w:r>
          </w:hyperlink>
        </w:p>
        <w:p w14:paraId="1C4B9240"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1t3h5sf">
            <w:r w:rsidR="00A46913">
              <w:rPr>
                <w:b/>
                <w:color w:val="000000"/>
              </w:rPr>
              <w:t>Metodološki okvir i radni tok</w:t>
            </w:r>
          </w:hyperlink>
          <w:hyperlink w:anchor="_1t3h5sf">
            <w:r w:rsidR="00A46913">
              <w:rPr>
                <w:color w:val="000000"/>
              </w:rPr>
              <w:tab/>
              <w:t>12</w:t>
            </w:r>
          </w:hyperlink>
        </w:p>
        <w:p w14:paraId="1A367386"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4d34og8">
            <w:r w:rsidR="00A46913">
              <w:rPr>
                <w:b/>
                <w:color w:val="000000"/>
              </w:rPr>
              <w:t>Proces pripreme Strategije digitalne transformacije 2022-2026</w:t>
            </w:r>
          </w:hyperlink>
          <w:hyperlink w:anchor="_4d34og8">
            <w:r w:rsidR="00A46913">
              <w:rPr>
                <w:color w:val="000000"/>
              </w:rPr>
              <w:tab/>
              <w:t>13</w:t>
            </w:r>
          </w:hyperlink>
        </w:p>
        <w:p w14:paraId="35FAA017"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2s8eyo1">
            <w:r w:rsidR="00A46913">
              <w:rPr>
                <w:b/>
                <w:color w:val="000000"/>
              </w:rPr>
              <w:t>Organizacija i koordinacija</w:t>
            </w:r>
          </w:hyperlink>
          <w:hyperlink w:anchor="_2s8eyo1">
            <w:r w:rsidR="00A46913">
              <w:rPr>
                <w:color w:val="000000"/>
              </w:rPr>
              <w:tab/>
              <w:t>18</w:t>
            </w:r>
          </w:hyperlink>
        </w:p>
        <w:p w14:paraId="6ADC65F9"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lnxbz9">
            <w:r w:rsidR="00A46913">
              <w:rPr>
                <w:b/>
                <w:color w:val="000000"/>
              </w:rPr>
              <w:t>Ključni izazovi, problemi i nalazi</w:t>
            </w:r>
          </w:hyperlink>
          <w:hyperlink w:anchor="_lnxbz9">
            <w:r w:rsidR="00A46913">
              <w:rPr>
                <w:color w:val="000000"/>
              </w:rPr>
              <w:tab/>
              <w:t>25</w:t>
            </w:r>
          </w:hyperlink>
        </w:p>
        <w:p w14:paraId="2440F692"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35nkun2">
            <w:r w:rsidR="00A46913">
              <w:rPr>
                <w:b/>
                <w:color w:val="000000"/>
              </w:rPr>
              <w:t>Dizajn usluga i elektronskih usluga</w:t>
            </w:r>
          </w:hyperlink>
          <w:hyperlink w:anchor="_35nkun2">
            <w:r w:rsidR="00A46913">
              <w:rPr>
                <w:color w:val="000000"/>
              </w:rPr>
              <w:tab/>
              <w:t>26</w:t>
            </w:r>
          </w:hyperlink>
        </w:p>
        <w:p w14:paraId="6B401547"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44sinio">
            <w:r w:rsidR="00A46913">
              <w:rPr>
                <w:b/>
                <w:i/>
                <w:color w:val="000000"/>
              </w:rPr>
              <w:t>Usluge javne uprave</w:t>
            </w:r>
          </w:hyperlink>
          <w:hyperlink w:anchor="_44sinio">
            <w:r w:rsidR="00A46913">
              <w:rPr>
                <w:color w:val="000000"/>
              </w:rPr>
              <w:tab/>
              <w:t>31</w:t>
            </w:r>
          </w:hyperlink>
        </w:p>
        <w:p w14:paraId="147D479F"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3j2qqm3">
            <w:r w:rsidR="00A46913">
              <w:rPr>
                <w:b/>
                <w:i/>
                <w:color w:val="000000"/>
              </w:rPr>
              <w:t>e-Poslovanje</w:t>
            </w:r>
          </w:hyperlink>
          <w:hyperlink w:anchor="_3j2qqm3">
            <w:r w:rsidR="00A46913">
              <w:rPr>
                <w:color w:val="000000"/>
              </w:rPr>
              <w:tab/>
              <w:t>37</w:t>
            </w:r>
          </w:hyperlink>
        </w:p>
        <w:p w14:paraId="253157EF"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4i7ojhp">
            <w:r w:rsidR="00A46913">
              <w:rPr>
                <w:b/>
                <w:i/>
                <w:color w:val="000000"/>
              </w:rPr>
              <w:t>e-Obrazovanje</w:t>
            </w:r>
          </w:hyperlink>
          <w:hyperlink w:anchor="_4i7ojhp">
            <w:r w:rsidR="00A46913">
              <w:rPr>
                <w:color w:val="000000"/>
              </w:rPr>
              <w:tab/>
              <w:t>40</w:t>
            </w:r>
          </w:hyperlink>
        </w:p>
        <w:p w14:paraId="71073600"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2xcytpi">
            <w:r w:rsidR="00A46913">
              <w:rPr>
                <w:b/>
                <w:i/>
                <w:color w:val="000000"/>
              </w:rPr>
              <w:t>e-Inkluzivnost</w:t>
            </w:r>
          </w:hyperlink>
          <w:hyperlink w:anchor="_2xcytpi">
            <w:r w:rsidR="00A46913">
              <w:rPr>
                <w:color w:val="000000"/>
              </w:rPr>
              <w:tab/>
              <w:t>41</w:t>
            </w:r>
          </w:hyperlink>
        </w:p>
        <w:p w14:paraId="3CAF9776"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3whwml4">
            <w:r w:rsidR="00A46913">
              <w:rPr>
                <w:b/>
                <w:i/>
                <w:color w:val="000000"/>
              </w:rPr>
              <w:t>Infrastruktura i podaci za e-usluge</w:t>
            </w:r>
          </w:hyperlink>
          <w:hyperlink w:anchor="_3whwml4">
            <w:r w:rsidR="00A46913">
              <w:rPr>
                <w:color w:val="000000"/>
              </w:rPr>
              <w:tab/>
              <w:t>43</w:t>
            </w:r>
          </w:hyperlink>
        </w:p>
        <w:p w14:paraId="37524E47"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qsh70q">
            <w:r w:rsidR="00A46913">
              <w:rPr>
                <w:b/>
                <w:color w:val="000000"/>
              </w:rPr>
              <w:t>Ključni izazovi, problemi i nalazi</w:t>
            </w:r>
          </w:hyperlink>
          <w:hyperlink w:anchor="_qsh70q">
            <w:r w:rsidR="00A46913">
              <w:rPr>
                <w:color w:val="000000"/>
              </w:rPr>
              <w:tab/>
              <w:t>45</w:t>
            </w:r>
          </w:hyperlink>
        </w:p>
        <w:p w14:paraId="6B91CD69"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3as4poj">
            <w:r w:rsidR="00A46913">
              <w:rPr>
                <w:b/>
                <w:color w:val="000000"/>
              </w:rPr>
              <w:t>eID, usluge povjerenja i sajber bezbjednost</w:t>
            </w:r>
          </w:hyperlink>
          <w:hyperlink w:anchor="_3as4poj">
            <w:r w:rsidR="00A46913">
              <w:rPr>
                <w:color w:val="000000"/>
              </w:rPr>
              <w:tab/>
              <w:t>46</w:t>
            </w:r>
          </w:hyperlink>
        </w:p>
        <w:p w14:paraId="53822A42"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2p2csry">
            <w:r w:rsidR="00A46913">
              <w:rPr>
                <w:b/>
                <w:color w:val="000000"/>
              </w:rPr>
              <w:t>Ključni izazovi, problemi i nalazi</w:t>
            </w:r>
          </w:hyperlink>
          <w:hyperlink w:anchor="_2p2csry">
            <w:r w:rsidR="00A46913">
              <w:rPr>
                <w:color w:val="000000"/>
              </w:rPr>
              <w:tab/>
              <w:t>50</w:t>
            </w:r>
          </w:hyperlink>
        </w:p>
        <w:p w14:paraId="439BFC38"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1hmsyys">
            <w:r w:rsidR="00A46913">
              <w:rPr>
                <w:b/>
                <w:color w:val="000000"/>
              </w:rPr>
              <w:t>Ključni izazovi, problemi i nalazi</w:t>
            </w:r>
          </w:hyperlink>
          <w:hyperlink w:anchor="_1hmsyys">
            <w:r w:rsidR="00A46913">
              <w:rPr>
                <w:color w:val="000000"/>
              </w:rPr>
              <w:tab/>
              <w:t>56</w:t>
            </w:r>
          </w:hyperlink>
        </w:p>
        <w:p w14:paraId="5227CCCE"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41mghml">
            <w:r w:rsidR="00A46913">
              <w:rPr>
                <w:b/>
                <w:color w:val="000000"/>
              </w:rPr>
              <w:t>Digitalna povezanost</w:t>
            </w:r>
          </w:hyperlink>
          <w:hyperlink w:anchor="_41mghml">
            <w:r w:rsidR="00A46913">
              <w:rPr>
                <w:color w:val="000000"/>
              </w:rPr>
              <w:tab/>
              <w:t>57</w:t>
            </w:r>
          </w:hyperlink>
        </w:p>
        <w:p w14:paraId="5BE8DA38"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2u6wntf">
            <w:r w:rsidR="00A46913">
              <w:rPr>
                <w:b/>
                <w:color w:val="000000"/>
              </w:rPr>
              <w:t>Ključni izazovi, problemi i nalazi</w:t>
            </w:r>
          </w:hyperlink>
          <w:hyperlink w:anchor="_2u6wntf">
            <w:r w:rsidR="00A46913">
              <w:rPr>
                <w:color w:val="000000"/>
              </w:rPr>
              <w:tab/>
              <w:t>60</w:t>
            </w:r>
          </w:hyperlink>
        </w:p>
        <w:p w14:paraId="0F0878F4"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19c6y18">
            <w:r w:rsidR="00A46913">
              <w:rPr>
                <w:b/>
                <w:color w:val="000000"/>
              </w:rPr>
              <w:t>Vještine i obrazovanje</w:t>
            </w:r>
          </w:hyperlink>
          <w:hyperlink w:anchor="_19c6y18">
            <w:r w:rsidR="00A46913">
              <w:rPr>
                <w:color w:val="000000"/>
              </w:rPr>
              <w:tab/>
              <w:t>60</w:t>
            </w:r>
          </w:hyperlink>
        </w:p>
        <w:p w14:paraId="5314DD9D"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1mrcu09">
            <w:r w:rsidR="00A46913">
              <w:rPr>
                <w:b/>
                <w:color w:val="000000"/>
              </w:rPr>
              <w:t>Ključni izazovi, problemi i nalazi</w:t>
            </w:r>
          </w:hyperlink>
          <w:hyperlink w:anchor="_1mrcu09">
            <w:r w:rsidR="00A46913">
              <w:rPr>
                <w:color w:val="000000"/>
              </w:rPr>
              <w:tab/>
              <w:t>66</w:t>
            </w:r>
          </w:hyperlink>
        </w:p>
        <w:p w14:paraId="6286B9FB"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46r0co2">
            <w:r w:rsidR="00A46913">
              <w:rPr>
                <w:b/>
                <w:color w:val="000000"/>
              </w:rPr>
              <w:t>IKT sektor</w:t>
            </w:r>
          </w:hyperlink>
          <w:hyperlink w:anchor="_46r0co2">
            <w:r w:rsidR="00A46913">
              <w:rPr>
                <w:color w:val="000000"/>
              </w:rPr>
              <w:tab/>
              <w:t>67</w:t>
            </w:r>
          </w:hyperlink>
        </w:p>
        <w:p w14:paraId="6599CC3D"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4k668n3">
            <w:r w:rsidR="00A46913">
              <w:rPr>
                <w:b/>
                <w:color w:val="000000"/>
              </w:rPr>
              <w:t>Ključni izazovi, problemi i nalazi</w:t>
            </w:r>
          </w:hyperlink>
          <w:hyperlink w:anchor="_4k668n3">
            <w:r w:rsidR="00A46913">
              <w:rPr>
                <w:color w:val="000000"/>
              </w:rPr>
              <w:tab/>
              <w:t>72</w:t>
            </w:r>
          </w:hyperlink>
        </w:p>
        <w:p w14:paraId="583D3C3E"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2zbgiuw">
            <w:r w:rsidR="00A46913">
              <w:rPr>
                <w:b/>
                <w:color w:val="000000"/>
              </w:rPr>
              <w:t>Digitalna svijest crnogorskog društva</w:t>
            </w:r>
          </w:hyperlink>
          <w:hyperlink w:anchor="_2zbgiuw">
            <w:r w:rsidR="00A46913">
              <w:rPr>
                <w:color w:val="000000"/>
              </w:rPr>
              <w:tab/>
              <w:t>73</w:t>
            </w:r>
          </w:hyperlink>
        </w:p>
        <w:p w14:paraId="403CE892" w14:textId="77777777" w:rsidR="005B3072" w:rsidRDefault="00F348F7">
          <w:pPr>
            <w:pBdr>
              <w:top w:val="nil"/>
              <w:left w:val="nil"/>
              <w:bottom w:val="nil"/>
              <w:right w:val="nil"/>
              <w:between w:val="nil"/>
            </w:pBdr>
            <w:tabs>
              <w:tab w:val="right" w:pos="10183"/>
            </w:tabs>
            <w:spacing w:after="100"/>
            <w:ind w:left="440"/>
            <w:rPr>
              <w:rFonts w:ascii="Cambria" w:eastAsia="Cambria" w:hAnsi="Cambria" w:cs="Cambria"/>
              <w:color w:val="000000"/>
            </w:rPr>
          </w:pPr>
          <w:hyperlink w:anchor="_3ygebqi">
            <w:r w:rsidR="00A46913">
              <w:rPr>
                <w:b/>
                <w:color w:val="000000"/>
              </w:rPr>
              <w:t>Ključni izazovi, problemi i nalazi</w:t>
            </w:r>
          </w:hyperlink>
          <w:hyperlink w:anchor="_3ygebqi">
            <w:r w:rsidR="00A46913">
              <w:rPr>
                <w:color w:val="000000"/>
              </w:rPr>
              <w:tab/>
              <w:t>74</w:t>
            </w:r>
          </w:hyperlink>
        </w:p>
        <w:p w14:paraId="7BB2FEE7" w14:textId="77777777" w:rsidR="005B3072" w:rsidRDefault="00F348F7">
          <w:pPr>
            <w:pBdr>
              <w:top w:val="nil"/>
              <w:left w:val="nil"/>
              <w:bottom w:val="nil"/>
              <w:right w:val="nil"/>
              <w:between w:val="nil"/>
            </w:pBdr>
            <w:tabs>
              <w:tab w:val="right" w:pos="10183"/>
            </w:tabs>
            <w:spacing w:after="100"/>
            <w:ind w:left="220"/>
            <w:rPr>
              <w:rFonts w:ascii="Cambria" w:eastAsia="Cambria" w:hAnsi="Cambria" w:cs="Cambria"/>
              <w:color w:val="000000"/>
            </w:rPr>
          </w:pPr>
          <w:hyperlink w:anchor="_2dlolyb">
            <w:r w:rsidR="00A46913">
              <w:rPr>
                <w:b/>
                <w:color w:val="000000"/>
              </w:rPr>
              <w:t>SWOT analiza</w:t>
            </w:r>
          </w:hyperlink>
          <w:hyperlink w:anchor="_2dlolyb">
            <w:r w:rsidR="00A46913">
              <w:rPr>
                <w:color w:val="000000"/>
              </w:rPr>
              <w:tab/>
              <w:t>75</w:t>
            </w:r>
          </w:hyperlink>
        </w:p>
        <w:p w14:paraId="1CE9EA44" w14:textId="77777777" w:rsidR="005B3072" w:rsidRDefault="00F348F7">
          <w:pPr>
            <w:pBdr>
              <w:top w:val="nil"/>
              <w:left w:val="nil"/>
              <w:bottom w:val="nil"/>
              <w:right w:val="nil"/>
              <w:between w:val="nil"/>
            </w:pBdr>
            <w:tabs>
              <w:tab w:val="left" w:pos="440"/>
              <w:tab w:val="right" w:pos="10183"/>
            </w:tabs>
            <w:spacing w:after="100"/>
            <w:rPr>
              <w:rFonts w:ascii="Cambria" w:eastAsia="Cambria" w:hAnsi="Cambria" w:cs="Cambria"/>
              <w:color w:val="000000"/>
            </w:rPr>
          </w:pPr>
          <w:hyperlink w:anchor="_sqyw64">
            <w:r w:rsidR="00A46913">
              <w:rPr>
                <w:b/>
                <w:color w:val="000000"/>
              </w:rPr>
              <w:t>III</w:t>
            </w:r>
          </w:hyperlink>
          <w:hyperlink w:anchor="_sqyw64">
            <w:r w:rsidR="00A46913">
              <w:rPr>
                <w:rFonts w:ascii="Cambria" w:eastAsia="Cambria" w:hAnsi="Cambria" w:cs="Cambria"/>
                <w:color w:val="000000"/>
              </w:rPr>
              <w:tab/>
            </w:r>
          </w:hyperlink>
          <w:r w:rsidR="00A46913">
            <w:fldChar w:fldCharType="begin"/>
          </w:r>
          <w:r w:rsidR="00A46913">
            <w:instrText xml:space="preserve"> PAGEREF _sqyw64 \h </w:instrText>
          </w:r>
          <w:r w:rsidR="00A46913">
            <w:fldChar w:fldCharType="separate"/>
          </w:r>
          <w:r w:rsidR="00A46913">
            <w:rPr>
              <w:b/>
              <w:color w:val="000000"/>
            </w:rPr>
            <w:t>VIZIJA I IDENTIFIKOVANI STRATEŠKI PRAVCI</w:t>
          </w:r>
          <w:r w:rsidR="00A46913">
            <w:rPr>
              <w:color w:val="000000"/>
            </w:rPr>
            <w:tab/>
            <w:t>79</w:t>
          </w:r>
          <w:r w:rsidR="00A46913">
            <w:fldChar w:fldCharType="end"/>
          </w:r>
        </w:p>
        <w:p w14:paraId="54CD0067" w14:textId="77777777" w:rsidR="005B3072" w:rsidRDefault="00F348F7">
          <w:pPr>
            <w:pBdr>
              <w:top w:val="nil"/>
              <w:left w:val="nil"/>
              <w:bottom w:val="nil"/>
              <w:right w:val="nil"/>
              <w:between w:val="nil"/>
            </w:pBdr>
            <w:tabs>
              <w:tab w:val="left" w:pos="440"/>
              <w:tab w:val="right" w:pos="10183"/>
            </w:tabs>
            <w:spacing w:after="100"/>
            <w:rPr>
              <w:rFonts w:ascii="Cambria" w:eastAsia="Cambria" w:hAnsi="Cambria" w:cs="Cambria"/>
              <w:color w:val="000000"/>
            </w:rPr>
          </w:pPr>
          <w:hyperlink w:anchor="_3cqmetx">
            <w:r w:rsidR="00A46913">
              <w:rPr>
                <w:b/>
                <w:color w:val="000000"/>
              </w:rPr>
              <w:t>IV</w:t>
            </w:r>
          </w:hyperlink>
          <w:hyperlink w:anchor="_3cqmetx">
            <w:r w:rsidR="00A46913">
              <w:rPr>
                <w:rFonts w:ascii="Cambria" w:eastAsia="Cambria" w:hAnsi="Cambria" w:cs="Cambria"/>
                <w:color w:val="000000"/>
              </w:rPr>
              <w:tab/>
            </w:r>
          </w:hyperlink>
          <w:r w:rsidR="00A46913">
            <w:fldChar w:fldCharType="begin"/>
          </w:r>
          <w:r w:rsidR="00A46913">
            <w:instrText xml:space="preserve"> PAGEREF _3cqmetx \h </w:instrText>
          </w:r>
          <w:r w:rsidR="00A46913">
            <w:fldChar w:fldCharType="separate"/>
          </w:r>
          <w:r w:rsidR="00A46913">
            <w:rPr>
              <w:b/>
              <w:color w:val="000000"/>
            </w:rPr>
            <w:t>STRATEŠKI I OPERATIVNI CILJEVI SA PRATEĆIM INDIKATORIMA</w:t>
          </w:r>
          <w:r w:rsidR="00A46913">
            <w:rPr>
              <w:color w:val="000000"/>
            </w:rPr>
            <w:tab/>
            <w:t>82</w:t>
          </w:r>
          <w:r w:rsidR="00A46913">
            <w:fldChar w:fldCharType="end"/>
          </w:r>
        </w:p>
        <w:p w14:paraId="5795571E" w14:textId="77777777" w:rsidR="005B3072" w:rsidRDefault="00F348F7">
          <w:pPr>
            <w:pBdr>
              <w:top w:val="nil"/>
              <w:left w:val="nil"/>
              <w:bottom w:val="nil"/>
              <w:right w:val="nil"/>
              <w:between w:val="nil"/>
            </w:pBdr>
            <w:tabs>
              <w:tab w:val="left" w:pos="440"/>
              <w:tab w:val="right" w:pos="10183"/>
            </w:tabs>
            <w:spacing w:after="100"/>
            <w:rPr>
              <w:rFonts w:ascii="Cambria" w:eastAsia="Cambria" w:hAnsi="Cambria" w:cs="Cambria"/>
              <w:color w:val="000000"/>
            </w:rPr>
          </w:pPr>
          <w:hyperlink w:anchor="_1rvwp1q">
            <w:r w:rsidR="00A46913">
              <w:rPr>
                <w:b/>
                <w:color w:val="000000"/>
              </w:rPr>
              <w:t>V</w:t>
            </w:r>
          </w:hyperlink>
          <w:hyperlink w:anchor="_1rvwp1q">
            <w:r w:rsidR="00A46913">
              <w:rPr>
                <w:rFonts w:ascii="Cambria" w:eastAsia="Cambria" w:hAnsi="Cambria" w:cs="Cambria"/>
                <w:color w:val="000000"/>
              </w:rPr>
              <w:tab/>
            </w:r>
          </w:hyperlink>
          <w:r w:rsidR="00A46913">
            <w:fldChar w:fldCharType="begin"/>
          </w:r>
          <w:r w:rsidR="00A46913">
            <w:instrText xml:space="preserve"> PAGEREF _1rvwp1q \h </w:instrText>
          </w:r>
          <w:r w:rsidR="00A46913">
            <w:fldChar w:fldCharType="separate"/>
          </w:r>
          <w:r w:rsidR="00A46913">
            <w:rPr>
              <w:b/>
              <w:color w:val="000000"/>
            </w:rPr>
            <w:t>KLJUČNE AKTIVNOSTI ZA SPROVOĐENJE OPERATIVNIH CILJEVA</w:t>
          </w:r>
          <w:r w:rsidR="00A46913">
            <w:rPr>
              <w:color w:val="000000"/>
            </w:rPr>
            <w:tab/>
            <w:t>88</w:t>
          </w:r>
          <w:r w:rsidR="00A46913">
            <w:fldChar w:fldCharType="end"/>
          </w:r>
        </w:p>
        <w:p w14:paraId="173C02BA" w14:textId="77777777" w:rsidR="005B3072" w:rsidRDefault="00F348F7">
          <w:pPr>
            <w:pBdr>
              <w:top w:val="nil"/>
              <w:left w:val="nil"/>
              <w:bottom w:val="nil"/>
              <w:right w:val="nil"/>
              <w:between w:val="nil"/>
            </w:pBdr>
            <w:tabs>
              <w:tab w:val="left" w:pos="660"/>
              <w:tab w:val="right" w:pos="10183"/>
            </w:tabs>
            <w:spacing w:after="100"/>
            <w:rPr>
              <w:rFonts w:ascii="Cambria" w:eastAsia="Cambria" w:hAnsi="Cambria" w:cs="Cambria"/>
              <w:color w:val="000000"/>
            </w:rPr>
          </w:pPr>
          <w:hyperlink w:anchor="_25b2l0r">
            <w:r w:rsidR="00A46913">
              <w:rPr>
                <w:b/>
                <w:color w:val="000000"/>
              </w:rPr>
              <w:t>VII</w:t>
            </w:r>
          </w:hyperlink>
          <w:hyperlink w:anchor="_25b2l0r">
            <w:r w:rsidR="00A46913">
              <w:rPr>
                <w:rFonts w:ascii="Cambria" w:eastAsia="Cambria" w:hAnsi="Cambria" w:cs="Cambria"/>
                <w:color w:val="000000"/>
              </w:rPr>
              <w:tab/>
            </w:r>
          </w:hyperlink>
          <w:r w:rsidR="00A46913">
            <w:fldChar w:fldCharType="begin"/>
          </w:r>
          <w:r w:rsidR="00A46913">
            <w:instrText xml:space="preserve"> PAGEREF _25b2l0r \h </w:instrText>
          </w:r>
          <w:r w:rsidR="00A46913">
            <w:fldChar w:fldCharType="separate"/>
          </w:r>
          <w:r w:rsidR="00A46913">
            <w:rPr>
              <w:b/>
              <w:color w:val="000000"/>
            </w:rPr>
            <w:t>MONITORING, IZVJEŠTAVANJE I EVALUACIJA</w:t>
          </w:r>
          <w:r w:rsidR="00A46913">
            <w:rPr>
              <w:color w:val="000000"/>
            </w:rPr>
            <w:tab/>
            <w:t>102</w:t>
          </w:r>
          <w:r w:rsidR="00A46913">
            <w:fldChar w:fldCharType="end"/>
          </w:r>
        </w:p>
        <w:p w14:paraId="74415177" w14:textId="77777777" w:rsidR="005B3072" w:rsidRDefault="00F348F7">
          <w:pPr>
            <w:pBdr>
              <w:top w:val="nil"/>
              <w:left w:val="nil"/>
              <w:bottom w:val="nil"/>
              <w:right w:val="nil"/>
              <w:between w:val="nil"/>
            </w:pBdr>
            <w:tabs>
              <w:tab w:val="left" w:pos="660"/>
              <w:tab w:val="right" w:pos="10183"/>
            </w:tabs>
            <w:spacing w:after="100"/>
            <w:rPr>
              <w:rFonts w:ascii="Cambria" w:eastAsia="Cambria" w:hAnsi="Cambria" w:cs="Cambria"/>
              <w:color w:val="000000"/>
            </w:rPr>
          </w:pPr>
          <w:hyperlink w:anchor="_34g0dwd">
            <w:r w:rsidR="00A46913">
              <w:rPr>
                <w:b/>
                <w:color w:val="000000"/>
              </w:rPr>
              <w:t>VIII</w:t>
            </w:r>
          </w:hyperlink>
          <w:hyperlink w:anchor="_34g0dwd">
            <w:r w:rsidR="00A46913">
              <w:rPr>
                <w:rFonts w:ascii="Cambria" w:eastAsia="Cambria" w:hAnsi="Cambria" w:cs="Cambria"/>
                <w:color w:val="000000"/>
              </w:rPr>
              <w:tab/>
            </w:r>
          </w:hyperlink>
          <w:r w:rsidR="00A46913">
            <w:fldChar w:fldCharType="begin"/>
          </w:r>
          <w:r w:rsidR="00A46913">
            <w:instrText xml:space="preserve"> PAGEREF _34g0dwd \h </w:instrText>
          </w:r>
          <w:r w:rsidR="00A46913">
            <w:fldChar w:fldCharType="separate"/>
          </w:r>
          <w:r w:rsidR="00A46913">
            <w:rPr>
              <w:b/>
              <w:color w:val="000000"/>
            </w:rPr>
            <w:t>KOMUNIKACIJA STRATEGIJE</w:t>
          </w:r>
          <w:r w:rsidR="00A46913">
            <w:rPr>
              <w:color w:val="000000"/>
            </w:rPr>
            <w:tab/>
            <w:t>105</w:t>
          </w:r>
          <w:r w:rsidR="00A46913">
            <w:fldChar w:fldCharType="end"/>
          </w:r>
        </w:p>
        <w:p w14:paraId="08DF2F68" w14:textId="77777777" w:rsidR="005B3072" w:rsidRDefault="00F348F7">
          <w:pPr>
            <w:pBdr>
              <w:top w:val="nil"/>
              <w:left w:val="nil"/>
              <w:bottom w:val="nil"/>
              <w:right w:val="nil"/>
              <w:between w:val="nil"/>
            </w:pBdr>
            <w:tabs>
              <w:tab w:val="left" w:pos="440"/>
              <w:tab w:val="right" w:pos="10183"/>
            </w:tabs>
            <w:spacing w:after="100"/>
            <w:rPr>
              <w:rFonts w:ascii="Cambria" w:eastAsia="Cambria" w:hAnsi="Cambria" w:cs="Cambria"/>
              <w:color w:val="000000"/>
            </w:rPr>
          </w:pPr>
          <w:hyperlink w:anchor="_1jlao46">
            <w:r w:rsidR="00A46913">
              <w:rPr>
                <w:b/>
                <w:color w:val="000000"/>
              </w:rPr>
              <w:t>IX</w:t>
            </w:r>
          </w:hyperlink>
          <w:hyperlink w:anchor="_1jlao46">
            <w:r w:rsidR="00A46913">
              <w:rPr>
                <w:rFonts w:ascii="Cambria" w:eastAsia="Cambria" w:hAnsi="Cambria" w:cs="Cambria"/>
                <w:color w:val="000000"/>
              </w:rPr>
              <w:tab/>
            </w:r>
          </w:hyperlink>
          <w:r w:rsidR="00A46913">
            <w:fldChar w:fldCharType="begin"/>
          </w:r>
          <w:r w:rsidR="00A46913">
            <w:instrText xml:space="preserve"> PAGEREF _1jlao46 \h </w:instrText>
          </w:r>
          <w:r w:rsidR="00A46913">
            <w:fldChar w:fldCharType="separate"/>
          </w:r>
          <w:r w:rsidR="00A46913">
            <w:rPr>
              <w:b/>
              <w:color w:val="000000"/>
            </w:rPr>
            <w:t>AKCIONI PLAN 2022-2023.</w:t>
          </w:r>
          <w:r w:rsidR="00A46913">
            <w:rPr>
              <w:color w:val="000000"/>
            </w:rPr>
            <w:tab/>
            <w:t>107</w:t>
          </w:r>
          <w:r w:rsidR="00A46913">
            <w:fldChar w:fldCharType="end"/>
          </w:r>
        </w:p>
        <w:p w14:paraId="752A4EEB" w14:textId="77777777" w:rsidR="005B3072" w:rsidRDefault="00A46913">
          <w:pPr>
            <w:tabs>
              <w:tab w:val="right" w:pos="10193"/>
            </w:tabs>
            <w:spacing w:before="200" w:after="80" w:line="240" w:lineRule="auto"/>
            <w:rPr>
              <w:b/>
              <w:color w:val="000000"/>
            </w:rPr>
          </w:pPr>
          <w:r>
            <w:fldChar w:fldCharType="end"/>
          </w:r>
        </w:p>
      </w:sdtContent>
    </w:sdt>
    <w:p w14:paraId="732278AA" w14:textId="77777777" w:rsidR="005B3072" w:rsidRDefault="005B3072"/>
    <w:p w14:paraId="0C7C1629" w14:textId="77777777" w:rsidR="005B3072" w:rsidRDefault="005B3072"/>
    <w:p w14:paraId="0F6AD4E0" w14:textId="77777777" w:rsidR="005B3072" w:rsidRDefault="005B3072"/>
    <w:p w14:paraId="10754EC6" w14:textId="77777777" w:rsidR="005B3072" w:rsidRDefault="00A46913">
      <w:pPr>
        <w:tabs>
          <w:tab w:val="left" w:pos="6090"/>
        </w:tabs>
      </w:pPr>
      <w:r>
        <w:tab/>
      </w:r>
    </w:p>
    <w:p w14:paraId="7F5BBAA6" w14:textId="77777777" w:rsidR="005B3072" w:rsidRDefault="00A46913">
      <w:pPr>
        <w:rPr>
          <w:b/>
          <w:sz w:val="28"/>
          <w:szCs w:val="28"/>
        </w:rPr>
      </w:pPr>
      <w:r>
        <w:br w:type="page"/>
      </w:r>
      <w:r>
        <w:rPr>
          <w:b/>
          <w:sz w:val="28"/>
          <w:szCs w:val="28"/>
        </w:rPr>
        <w:lastRenderedPageBreak/>
        <w:t>Skraćenice i akronimi</w:t>
      </w:r>
    </w:p>
    <w:p w14:paraId="7D145F66" w14:textId="77777777" w:rsidR="005B3072" w:rsidRDefault="00A46913">
      <w:pPr>
        <w:numPr>
          <w:ilvl w:val="0"/>
          <w:numId w:val="6"/>
        </w:numPr>
        <w:spacing w:after="0" w:line="276" w:lineRule="auto"/>
        <w:ind w:left="714" w:hanging="357"/>
      </w:pPr>
      <w:r>
        <w:rPr>
          <w:highlight w:val="white"/>
        </w:rPr>
        <w:t>(O)RG - (Operativna) radna grupa</w:t>
      </w:r>
    </w:p>
    <w:p w14:paraId="119CB7E1" w14:textId="77777777" w:rsidR="005B3072" w:rsidRDefault="00A46913">
      <w:pPr>
        <w:numPr>
          <w:ilvl w:val="0"/>
          <w:numId w:val="6"/>
        </w:numPr>
        <w:spacing w:after="0" w:line="276" w:lineRule="auto"/>
        <w:ind w:left="714" w:hanging="357"/>
      </w:pPr>
      <w:r>
        <w:t xml:space="preserve">AI – </w:t>
      </w:r>
      <w:r>
        <w:rPr>
          <w:color w:val="202124"/>
          <w:sz w:val="24"/>
          <w:szCs w:val="24"/>
          <w:highlight w:val="white"/>
        </w:rPr>
        <w:t>Artificial intelligence</w:t>
      </w:r>
      <w:r>
        <w:t xml:space="preserve"> (Vještačka inteligencija)</w:t>
      </w:r>
    </w:p>
    <w:p w14:paraId="4446F4E6" w14:textId="77777777" w:rsidR="005B3072" w:rsidRDefault="00A46913">
      <w:pPr>
        <w:numPr>
          <w:ilvl w:val="0"/>
          <w:numId w:val="6"/>
        </w:numPr>
        <w:spacing w:after="0" w:line="276" w:lineRule="auto"/>
      </w:pPr>
      <w:r>
        <w:t>AMM -</w:t>
      </w:r>
      <w:r>
        <w:rPr>
          <w:highlight w:val="white"/>
        </w:rPr>
        <w:t xml:space="preserve"> </w:t>
      </w:r>
      <w:hyperlink r:id="rId17">
        <w:r>
          <w:rPr>
            <w:highlight w:val="white"/>
          </w:rPr>
          <w:t>Association of Montenegrin Managers</w:t>
        </w:r>
      </w:hyperlink>
      <w:r>
        <w:t xml:space="preserve"> (Asocijacija menadžera Crne Gore)</w:t>
      </w:r>
    </w:p>
    <w:p w14:paraId="712E044D" w14:textId="77777777" w:rsidR="005B3072" w:rsidRDefault="00A46913">
      <w:pPr>
        <w:numPr>
          <w:ilvl w:val="0"/>
          <w:numId w:val="6"/>
        </w:numPr>
        <w:spacing w:after="0" w:line="276" w:lineRule="auto"/>
      </w:pPr>
      <w:r>
        <w:rPr>
          <w:highlight w:val="white"/>
        </w:rPr>
        <w:t xml:space="preserve">AmCham </w:t>
      </w:r>
      <w:r>
        <w:t>- The American Chamber of Commerce in Montenegro (Američka privredna komora u Crnoj Gori)</w:t>
      </w:r>
    </w:p>
    <w:p w14:paraId="0D67FBA1" w14:textId="77777777" w:rsidR="005B3072" w:rsidRDefault="00A46913">
      <w:pPr>
        <w:numPr>
          <w:ilvl w:val="0"/>
          <w:numId w:val="6"/>
        </w:numPr>
        <w:spacing w:after="0" w:line="276" w:lineRule="auto"/>
        <w:ind w:left="714" w:hanging="357"/>
      </w:pPr>
      <w:r>
        <w:t>AZLP – Agencija za zaštitu ličnih podataka</w:t>
      </w:r>
    </w:p>
    <w:p w14:paraId="692D1A7D" w14:textId="77777777" w:rsidR="005B3072" w:rsidRDefault="00A46913">
      <w:pPr>
        <w:numPr>
          <w:ilvl w:val="0"/>
          <w:numId w:val="6"/>
        </w:numPr>
        <w:spacing w:after="0" w:line="276" w:lineRule="auto"/>
        <w:ind w:left="714" w:hanging="357"/>
      </w:pPr>
      <w:r>
        <w:rPr>
          <w:highlight w:val="white"/>
        </w:rPr>
        <w:t>BPD – Bruto-domaći proizvod</w:t>
      </w:r>
    </w:p>
    <w:p w14:paraId="025E26CC"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highlight w:val="white"/>
        </w:rPr>
        <w:t>CANU</w:t>
      </w:r>
      <w:r>
        <w:rPr>
          <w:color w:val="000000"/>
        </w:rPr>
        <w:t xml:space="preserve"> – Crnogorska Akademija Nauka i Umjetnosti</w:t>
      </w:r>
    </w:p>
    <w:p w14:paraId="71031D79"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CBCG – Centralna banka Crne Gore</w:t>
      </w:r>
    </w:p>
    <w:p w14:paraId="1F8EA219" w14:textId="77777777" w:rsidR="005B3072" w:rsidRDefault="00A46913">
      <w:pPr>
        <w:numPr>
          <w:ilvl w:val="0"/>
          <w:numId w:val="6"/>
        </w:numPr>
        <w:spacing w:after="0" w:line="276" w:lineRule="auto"/>
        <w:ind w:left="714" w:hanging="357"/>
      </w:pPr>
      <w:r>
        <w:rPr>
          <w:highlight w:val="white"/>
        </w:rPr>
        <w:t>CIO - Chief Information Officer (Glavni službenik za informisanje)</w:t>
      </w:r>
    </w:p>
    <w:p w14:paraId="3DED5C4B" w14:textId="77777777" w:rsidR="005B3072" w:rsidRDefault="00A46913">
      <w:pPr>
        <w:numPr>
          <w:ilvl w:val="0"/>
          <w:numId w:val="6"/>
        </w:numPr>
        <w:spacing w:after="0" w:line="276" w:lineRule="auto"/>
        <w:ind w:left="714" w:hanging="357"/>
      </w:pPr>
      <w:r>
        <w:rPr>
          <w:highlight w:val="white"/>
        </w:rPr>
        <w:t>CIRT - Computer Incident Response Team (Nacionalni tim za odgovor na računarske incidente)</w:t>
      </w:r>
    </w:p>
    <w:p w14:paraId="55FA8076"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CRPS - Centralni registar privrednih subjekata</w:t>
      </w:r>
    </w:p>
    <w:p w14:paraId="061F1932" w14:textId="77777777" w:rsidR="005B3072" w:rsidRDefault="00A46913">
      <w:pPr>
        <w:numPr>
          <w:ilvl w:val="0"/>
          <w:numId w:val="6"/>
        </w:numPr>
        <w:pBdr>
          <w:top w:val="nil"/>
          <w:left w:val="nil"/>
          <w:bottom w:val="nil"/>
          <w:right w:val="nil"/>
          <w:between w:val="nil"/>
        </w:pBdr>
        <w:spacing w:after="0" w:line="276" w:lineRule="auto"/>
        <w:ind w:left="714" w:hanging="357"/>
      </w:pPr>
      <w:r>
        <w:t>DEI - Diversity, Equity and Inclusion (različitost, jednakost i inkluzivnost)</w:t>
      </w:r>
    </w:p>
    <w:p w14:paraId="72163CF9" w14:textId="77777777" w:rsidR="005B3072" w:rsidRDefault="00A46913">
      <w:pPr>
        <w:numPr>
          <w:ilvl w:val="0"/>
          <w:numId w:val="6"/>
        </w:numPr>
        <w:spacing w:after="0" w:line="276" w:lineRule="auto"/>
        <w:ind w:left="714" w:hanging="357"/>
      </w:pPr>
      <w:r>
        <w:rPr>
          <w:highlight w:val="white"/>
        </w:rPr>
        <w:t>DT strategija - Digital Transformation Strategy (Strategija digitalne transformacije)</w:t>
      </w:r>
    </w:p>
    <w:p w14:paraId="5A2E03EF" w14:textId="77777777" w:rsidR="005B3072" w:rsidRDefault="00A46913">
      <w:pPr>
        <w:numPr>
          <w:ilvl w:val="0"/>
          <w:numId w:val="6"/>
        </w:numPr>
        <w:spacing w:after="0" w:line="276" w:lineRule="auto"/>
        <w:ind w:left="714" w:hanging="357"/>
      </w:pPr>
      <w:r>
        <w:rPr>
          <w:highlight w:val="white"/>
        </w:rPr>
        <w:t>ECDL – Standardni sertifikat IKT vještina</w:t>
      </w:r>
    </w:p>
    <w:p w14:paraId="3259BBD2" w14:textId="77777777" w:rsidR="005B3072" w:rsidRDefault="00A46913">
      <w:pPr>
        <w:numPr>
          <w:ilvl w:val="0"/>
          <w:numId w:val="6"/>
        </w:numPr>
        <w:spacing w:after="0" w:line="276" w:lineRule="auto"/>
        <w:ind w:left="714" w:hanging="357"/>
      </w:pPr>
      <w:r>
        <w:rPr>
          <w:highlight w:val="white"/>
        </w:rPr>
        <w:t>eDMS – Electronic Document Management System (Sistem za elektronsko upravljanje dokumentima)</w:t>
      </w:r>
    </w:p>
    <w:p w14:paraId="37873285" w14:textId="77777777" w:rsidR="005B3072" w:rsidRDefault="00A46913">
      <w:pPr>
        <w:numPr>
          <w:ilvl w:val="0"/>
          <w:numId w:val="6"/>
        </w:numPr>
        <w:spacing w:after="0" w:line="276" w:lineRule="auto"/>
        <w:ind w:left="714" w:hanging="357"/>
      </w:pPr>
      <w:r>
        <w:rPr>
          <w:highlight w:val="white"/>
        </w:rPr>
        <w:t>eID - Electronic Identity (Elektronski identitet)</w:t>
      </w:r>
    </w:p>
    <w:p w14:paraId="58A9D9E1"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EK – Evropska komisija</w:t>
      </w:r>
    </w:p>
    <w:p w14:paraId="0718641C" w14:textId="77777777" w:rsidR="005B3072" w:rsidRDefault="00A46913">
      <w:pPr>
        <w:numPr>
          <w:ilvl w:val="0"/>
          <w:numId w:val="6"/>
        </w:numPr>
        <w:pBdr>
          <w:top w:val="nil"/>
          <w:left w:val="nil"/>
          <w:bottom w:val="nil"/>
          <w:right w:val="nil"/>
          <w:between w:val="nil"/>
        </w:pBdr>
        <w:spacing w:after="0" w:line="276" w:lineRule="auto"/>
        <w:ind w:left="714" w:hanging="357"/>
      </w:pPr>
      <w:r>
        <w:t>EKIP - Agencija za elektronsku komunikaciju i poštansku djelatnost</w:t>
      </w:r>
    </w:p>
    <w:p w14:paraId="4DC531B4"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ETF - European Training Foundation (Evropska Fondacija za Obuku)</w:t>
      </w:r>
    </w:p>
    <w:p w14:paraId="2110B4B0"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EU – Evropska Unija</w:t>
      </w:r>
    </w:p>
    <w:p w14:paraId="18F085CD" w14:textId="77777777" w:rsidR="005B3072" w:rsidRDefault="00A46913">
      <w:pPr>
        <w:numPr>
          <w:ilvl w:val="0"/>
          <w:numId w:val="6"/>
        </w:numPr>
        <w:spacing w:after="0" w:line="276" w:lineRule="auto"/>
        <w:ind w:left="714" w:hanging="357"/>
      </w:pPr>
      <w:r>
        <w:rPr>
          <w:highlight w:val="white"/>
        </w:rPr>
        <w:t>GDPR - General Data Protection Regulation of the European Union (Opšta uredba o zaštiti podataka Evropske unije)</w:t>
      </w:r>
    </w:p>
    <w:p w14:paraId="5E49D659" w14:textId="77777777" w:rsidR="005B3072" w:rsidRDefault="00A46913">
      <w:pPr>
        <w:numPr>
          <w:ilvl w:val="0"/>
          <w:numId w:val="6"/>
        </w:numPr>
        <w:spacing w:after="0" w:line="276" w:lineRule="auto"/>
        <w:ind w:left="714" w:hanging="357"/>
      </w:pPr>
      <w:r>
        <w:rPr>
          <w:highlight w:val="white"/>
        </w:rPr>
        <w:t>GSB - Government Service Bus Single (Jedinstveni informacioni sistem za elektronsku razmjenu podataka)</w:t>
      </w:r>
    </w:p>
    <w:p w14:paraId="51B0FC1B" w14:textId="77777777" w:rsidR="005B3072" w:rsidRDefault="00A46913">
      <w:pPr>
        <w:numPr>
          <w:ilvl w:val="0"/>
          <w:numId w:val="6"/>
        </w:numPr>
        <w:spacing w:after="0" w:line="276" w:lineRule="auto"/>
        <w:ind w:left="714" w:hanging="357"/>
      </w:pPr>
      <w:r>
        <w:t>GSV – Generalni sekretarijat Vlade</w:t>
      </w:r>
    </w:p>
    <w:p w14:paraId="0DC4879B" w14:textId="77777777" w:rsidR="005B3072" w:rsidRDefault="00A46913">
      <w:pPr>
        <w:numPr>
          <w:ilvl w:val="0"/>
          <w:numId w:val="6"/>
        </w:numPr>
        <w:spacing w:after="0" w:line="276" w:lineRule="auto"/>
        <w:ind w:left="714" w:hanging="357"/>
      </w:pPr>
      <w:r>
        <w:rPr>
          <w:highlight w:val="white"/>
        </w:rPr>
        <w:t>IKT - Information and Communication Technology (Informaciono-komunikacione tehnologije)</w:t>
      </w:r>
    </w:p>
    <w:p w14:paraId="4792F915" w14:textId="77777777" w:rsidR="005B3072" w:rsidRDefault="00A46913">
      <w:pPr>
        <w:numPr>
          <w:ilvl w:val="0"/>
          <w:numId w:val="6"/>
        </w:numPr>
        <w:spacing w:after="0" w:line="276" w:lineRule="auto"/>
        <w:ind w:left="714" w:hanging="357"/>
      </w:pPr>
      <w:r>
        <w:rPr>
          <w:highlight w:val="white"/>
        </w:rPr>
        <w:t>IoT – Internet of Things (Internet stvari)</w:t>
      </w:r>
    </w:p>
    <w:p w14:paraId="6C6A882C" w14:textId="77777777" w:rsidR="005B3072" w:rsidRDefault="00A46913">
      <w:pPr>
        <w:numPr>
          <w:ilvl w:val="0"/>
          <w:numId w:val="6"/>
        </w:numPr>
        <w:spacing w:after="0" w:line="276" w:lineRule="auto"/>
        <w:ind w:left="714" w:hanging="357"/>
      </w:pPr>
      <w:r>
        <w:t>IRF – Investiciono razvojni fond</w:t>
      </w:r>
    </w:p>
    <w:p w14:paraId="4DF6EF41" w14:textId="77777777" w:rsidR="005B3072" w:rsidRDefault="00A46913">
      <w:pPr>
        <w:numPr>
          <w:ilvl w:val="0"/>
          <w:numId w:val="6"/>
        </w:numPr>
        <w:spacing w:after="0" w:line="276" w:lineRule="auto"/>
        <w:ind w:left="714" w:hanging="357"/>
      </w:pPr>
      <w:r>
        <w:rPr>
          <w:highlight w:val="white"/>
        </w:rPr>
        <w:t>JMB - Jedinstven Matični Broj</w:t>
      </w:r>
    </w:p>
    <w:p w14:paraId="1545606A" w14:textId="77777777" w:rsidR="005B3072" w:rsidRDefault="00A46913">
      <w:pPr>
        <w:numPr>
          <w:ilvl w:val="0"/>
          <w:numId w:val="6"/>
        </w:numPr>
        <w:spacing w:after="0" w:line="276" w:lineRule="auto"/>
        <w:ind w:left="714" w:hanging="357"/>
      </w:pPr>
      <w:r>
        <w:rPr>
          <w:highlight w:val="white"/>
        </w:rPr>
        <w:t>JSERP - Jedinstveni informacioni sistem za elektronsku razmjenu podataka</w:t>
      </w:r>
      <w:r>
        <w:t xml:space="preserve"> (eng. SISEDE)</w:t>
      </w:r>
    </w:p>
    <w:p w14:paraId="21908725"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KPR - Kontinuirani profesionalni razvoj</w:t>
      </w:r>
    </w:p>
    <w:p w14:paraId="409D589A"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MBAN - Montenegrin Business Angels Network (Crnogorska Mreža Poslovnih Anđela)</w:t>
      </w:r>
    </w:p>
    <w:p w14:paraId="6F5CF4B1" w14:textId="77777777" w:rsidR="005B3072" w:rsidRDefault="00A46913">
      <w:pPr>
        <w:numPr>
          <w:ilvl w:val="0"/>
          <w:numId w:val="6"/>
        </w:numPr>
        <w:spacing w:after="0" w:line="276" w:lineRule="auto"/>
        <w:ind w:left="714" w:hanging="357"/>
      </w:pPr>
      <w:r>
        <w:t>MER – Ministarstvo ekonomskog razvoja</w:t>
      </w:r>
    </w:p>
    <w:p w14:paraId="5C2427F4" w14:textId="77777777" w:rsidR="005B3072" w:rsidRDefault="00A46913">
      <w:pPr>
        <w:numPr>
          <w:ilvl w:val="0"/>
          <w:numId w:val="6"/>
        </w:numPr>
        <w:spacing w:after="0" w:line="276" w:lineRule="auto"/>
        <w:ind w:left="714" w:hanging="357"/>
      </w:pPr>
      <w:r>
        <w:t>MFSS – Ministarstvo finansija i socijalnog staranja</w:t>
      </w:r>
    </w:p>
    <w:p w14:paraId="721DAD01" w14:textId="77777777" w:rsidR="005B3072" w:rsidRDefault="00A46913">
      <w:pPr>
        <w:numPr>
          <w:ilvl w:val="0"/>
          <w:numId w:val="6"/>
        </w:numPr>
        <w:spacing w:after="0" w:line="276" w:lineRule="auto"/>
        <w:ind w:left="714" w:hanging="357"/>
      </w:pPr>
      <w:r>
        <w:rPr>
          <w:highlight w:val="white"/>
        </w:rPr>
        <w:t>MJUDDM – Ministarstvo javne uprave, digitalnog društva i medija</w:t>
      </w:r>
    </w:p>
    <w:p w14:paraId="7782F8BE"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MO - Ministarstvo odbrane</w:t>
      </w:r>
    </w:p>
    <w:p w14:paraId="768D9B1D"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 xml:space="preserve">MONSTAT - Uprava za statistiku Crne Gore </w:t>
      </w:r>
    </w:p>
    <w:p w14:paraId="31849EBF" w14:textId="77777777" w:rsidR="005B3072" w:rsidRDefault="00A46913">
      <w:pPr>
        <w:numPr>
          <w:ilvl w:val="0"/>
          <w:numId w:val="6"/>
        </w:numPr>
        <w:spacing w:after="0" w:line="276" w:lineRule="auto"/>
        <w:ind w:left="714" w:hanging="357"/>
      </w:pPr>
      <w:r>
        <w:t>MPNKS – Ministarstvo prosvjete, nauke, kulture i sporta</w:t>
      </w:r>
    </w:p>
    <w:p w14:paraId="47CADEED"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MSP – Mala i srednja preduzeća</w:t>
      </w:r>
    </w:p>
    <w:p w14:paraId="4CD70642" w14:textId="77777777" w:rsidR="005B3072" w:rsidRDefault="00A46913">
      <w:pPr>
        <w:numPr>
          <w:ilvl w:val="0"/>
          <w:numId w:val="6"/>
        </w:numPr>
        <w:spacing w:after="0" w:line="276" w:lineRule="auto"/>
        <w:ind w:left="714" w:hanging="357"/>
      </w:pPr>
      <w:r>
        <w:rPr>
          <w:highlight w:val="white"/>
        </w:rPr>
        <w:t>MUP - Ministarstvo unutrašnjih poslova</w:t>
      </w:r>
    </w:p>
    <w:p w14:paraId="7017FBD9" w14:textId="77777777" w:rsidR="005B3072" w:rsidRDefault="00A46913">
      <w:pPr>
        <w:numPr>
          <w:ilvl w:val="0"/>
          <w:numId w:val="6"/>
        </w:numPr>
        <w:spacing w:after="0" w:line="276" w:lineRule="auto"/>
        <w:ind w:left="714" w:hanging="357"/>
      </w:pPr>
      <w:r>
        <w:lastRenderedPageBreak/>
        <w:t>MZ – Ministarstvo zdravlja</w:t>
      </w:r>
    </w:p>
    <w:p w14:paraId="6325A6EC"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highlight w:val="white"/>
        </w:rPr>
        <w:t>NCIRT - National Computer Incident Response Team</w:t>
      </w:r>
      <w:r>
        <w:rPr>
          <w:color w:val="000000"/>
        </w:rPr>
        <w:t xml:space="preserve"> (Nacionalni tim za odgovor na računarske incidente)</w:t>
      </w:r>
    </w:p>
    <w:p w14:paraId="36818593" w14:textId="77777777" w:rsidR="005B3072" w:rsidRDefault="00A46913">
      <w:pPr>
        <w:numPr>
          <w:ilvl w:val="0"/>
          <w:numId w:val="6"/>
        </w:numPr>
        <w:spacing w:after="0" w:line="276" w:lineRule="auto"/>
        <w:ind w:left="714" w:hanging="357"/>
      </w:pPr>
      <w:r>
        <w:rPr>
          <w:highlight w:val="white"/>
        </w:rPr>
        <w:t>NIB - Nacionalni identifikacioni broj</w:t>
      </w:r>
    </w:p>
    <w:p w14:paraId="21EE2A14" w14:textId="77777777" w:rsidR="005B3072" w:rsidRDefault="00A46913">
      <w:pPr>
        <w:numPr>
          <w:ilvl w:val="0"/>
          <w:numId w:val="6"/>
        </w:numPr>
        <w:spacing w:after="0" w:line="276" w:lineRule="auto"/>
        <w:ind w:left="714" w:hanging="357"/>
      </w:pPr>
      <w:r>
        <w:rPr>
          <w:highlight w:val="white"/>
        </w:rPr>
        <w:t>NS eID - National Electronic Identification System (Nacionalni sistem za elektronsku identifikaciju)</w:t>
      </w:r>
    </w:p>
    <w:p w14:paraId="48D0F44B" w14:textId="77777777" w:rsidR="005B3072" w:rsidRDefault="00A46913">
      <w:pPr>
        <w:numPr>
          <w:ilvl w:val="0"/>
          <w:numId w:val="6"/>
        </w:numPr>
        <w:spacing w:after="0" w:line="276" w:lineRule="auto"/>
        <w:ind w:left="714" w:hanging="357"/>
      </w:pPr>
      <w:r>
        <w:rPr>
          <w:highlight w:val="white"/>
        </w:rPr>
        <w:t>NS NAT - Administrative Fee Collection System (Nacionalni sistem Sistem naplate administrativnih taksi)</w:t>
      </w:r>
    </w:p>
    <w:p w14:paraId="1338AF79"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NTP CG – Naučno Tehnološki Park Crne Gore</w:t>
      </w:r>
    </w:p>
    <w:p w14:paraId="00B080B7" w14:textId="77777777" w:rsidR="005B3072" w:rsidRDefault="00A46913">
      <w:pPr>
        <w:numPr>
          <w:ilvl w:val="0"/>
          <w:numId w:val="6"/>
        </w:numPr>
        <w:spacing w:after="0" w:line="276" w:lineRule="auto"/>
        <w:ind w:left="714" w:hanging="357"/>
      </w:pPr>
      <w:r>
        <w:rPr>
          <w:highlight w:val="white"/>
        </w:rPr>
        <w:t>NVO – Nevladina organizacija</w:t>
      </w:r>
    </w:p>
    <w:p w14:paraId="0E469219" w14:textId="77777777" w:rsidR="005B3072" w:rsidRDefault="00A46913">
      <w:pPr>
        <w:numPr>
          <w:ilvl w:val="0"/>
          <w:numId w:val="6"/>
        </w:numPr>
        <w:spacing w:after="0" w:line="276" w:lineRule="auto"/>
        <w:ind w:left="714" w:hanging="357"/>
      </w:pPr>
      <w:r>
        <w:rPr>
          <w:highlight w:val="white"/>
        </w:rPr>
        <w:t>OECD - Organisation for Economic Co-operation and Development (Organizacija za ekonomsku saradnju i razvoj)</w:t>
      </w:r>
    </w:p>
    <w:p w14:paraId="445F839A"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OGP - Open Government Partnership (Partnerstvo Otvorenih Vlada)</w:t>
      </w:r>
    </w:p>
    <w:p w14:paraId="1F488AF8"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OSI - Online Service Index (Index Online Usluga)</w:t>
      </w:r>
    </w:p>
    <w:p w14:paraId="3D0809FC" w14:textId="77777777" w:rsidR="005B3072" w:rsidRDefault="00A46913">
      <w:pPr>
        <w:numPr>
          <w:ilvl w:val="0"/>
          <w:numId w:val="6"/>
        </w:numPr>
        <w:spacing w:after="0" w:line="276" w:lineRule="auto"/>
        <w:ind w:left="714" w:hanging="357"/>
      </w:pPr>
      <w:r>
        <w:rPr>
          <w:highlight w:val="white"/>
        </w:rPr>
        <w:t>PAR - Public Administration reform (Reforma javne uprave)</w:t>
      </w:r>
    </w:p>
    <w:p w14:paraId="7873E3BB"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PDV – Porez na dodatu vrijednost</w:t>
      </w:r>
    </w:p>
    <w:p w14:paraId="10F47F50"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PIB  - Poreski identifikacioni broj</w:t>
      </w:r>
    </w:p>
    <w:p w14:paraId="0EC4D5A4"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highlight w:val="white"/>
        </w:rPr>
        <w:t>PKCG</w:t>
      </w:r>
      <w:r>
        <w:rPr>
          <w:color w:val="000000"/>
        </w:rPr>
        <w:t xml:space="preserve"> – Privredna komora Crne Gore</w:t>
      </w:r>
    </w:p>
    <w:p w14:paraId="3044A32F"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RCC – Regional Cooperation Council (Regionalni savjet za saradnju)</w:t>
      </w:r>
    </w:p>
    <w:p w14:paraId="54351B2A" w14:textId="77777777" w:rsidR="005B3072" w:rsidRDefault="00A46913">
      <w:pPr>
        <w:numPr>
          <w:ilvl w:val="0"/>
          <w:numId w:val="6"/>
        </w:numPr>
        <w:spacing w:after="0" w:line="276" w:lineRule="auto"/>
        <w:ind w:left="714" w:hanging="357"/>
      </w:pPr>
      <w:r>
        <w:rPr>
          <w:highlight w:val="white"/>
        </w:rPr>
        <w:t>SISEDE - Single Information System for Electronic Data Exchange (Jedinstveni informacioni sistem za elektronsku razmjenu podataka)</w:t>
      </w:r>
    </w:p>
    <w:p w14:paraId="145FF2FA"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SLA – Service Level Agreement (Ugovor o održavanju)</w:t>
      </w:r>
    </w:p>
    <w:p w14:paraId="3FF916B2" w14:textId="77777777" w:rsidR="005B3072" w:rsidRDefault="00A46913">
      <w:pPr>
        <w:numPr>
          <w:ilvl w:val="0"/>
          <w:numId w:val="6"/>
        </w:numPr>
        <w:spacing w:after="0" w:line="276" w:lineRule="auto"/>
        <w:ind w:left="714" w:hanging="357"/>
      </w:pPr>
      <w:r>
        <w:rPr>
          <w:highlight w:val="white"/>
        </w:rPr>
        <w:t>SME - Small and Medium-sized Enterprises (mala i srednja preduzeća)</w:t>
      </w:r>
    </w:p>
    <w:p w14:paraId="51E87524" w14:textId="77777777" w:rsidR="005B3072" w:rsidRDefault="00A46913">
      <w:pPr>
        <w:numPr>
          <w:ilvl w:val="0"/>
          <w:numId w:val="6"/>
        </w:numPr>
        <w:spacing w:after="0" w:line="276" w:lineRule="auto"/>
        <w:ind w:left="714" w:hanging="357"/>
      </w:pPr>
      <w:r>
        <w:rPr>
          <w:highlight w:val="white"/>
        </w:rPr>
        <w:t>SRID - Strategija razvoja informacionog društva Crne Gore 2016-2020</w:t>
      </w:r>
    </w:p>
    <w:p w14:paraId="5DE2D50C" w14:textId="77777777" w:rsidR="005B3072" w:rsidRDefault="00A46913">
      <w:pPr>
        <w:numPr>
          <w:ilvl w:val="0"/>
          <w:numId w:val="6"/>
        </w:numPr>
        <w:spacing w:after="0" w:line="276" w:lineRule="auto"/>
        <w:ind w:left="714" w:hanging="357"/>
        <w:rPr>
          <w:highlight w:val="white"/>
        </w:rPr>
      </w:pPr>
      <w:r>
        <w:rPr>
          <w:highlight w:val="white"/>
        </w:rPr>
        <w:t>STEM - Science, technology, engineering i mathematics (nauka, tehnologija, inžinjerstvo i matematika)</w:t>
      </w:r>
    </w:p>
    <w:p w14:paraId="62140792" w14:textId="77777777" w:rsidR="005B3072" w:rsidRDefault="00A46913">
      <w:pPr>
        <w:numPr>
          <w:ilvl w:val="0"/>
          <w:numId w:val="6"/>
        </w:numPr>
        <w:spacing w:after="0" w:line="276" w:lineRule="auto"/>
        <w:ind w:left="714" w:hanging="357"/>
      </w:pPr>
      <w:r>
        <w:rPr>
          <w:highlight w:val="white"/>
        </w:rPr>
        <w:t>UN – United Nations (Ujedinjene Nacije</w:t>
      </w:r>
      <w:r>
        <w:t>)</w:t>
      </w:r>
    </w:p>
    <w:p w14:paraId="3573608E" w14:textId="77777777" w:rsidR="005B3072" w:rsidRDefault="00A46913">
      <w:pPr>
        <w:numPr>
          <w:ilvl w:val="0"/>
          <w:numId w:val="6"/>
        </w:numPr>
        <w:spacing w:after="0" w:line="276" w:lineRule="auto"/>
        <w:ind w:left="714" w:hanging="357"/>
      </w:pPr>
      <w:r>
        <w:rPr>
          <w:highlight w:val="white"/>
        </w:rPr>
        <w:t>UNDP – United Nations Development Programme (Program Ujedinjenih nacija za razvoj)</w:t>
      </w:r>
    </w:p>
    <w:p w14:paraId="264BEC5F" w14:textId="77777777" w:rsidR="005B3072" w:rsidRDefault="00A46913">
      <w:pPr>
        <w:numPr>
          <w:ilvl w:val="0"/>
          <w:numId w:val="6"/>
        </w:numPr>
        <w:spacing w:after="0" w:line="276" w:lineRule="auto"/>
        <w:ind w:left="714" w:hanging="357"/>
        <w:rPr>
          <w:highlight w:val="white"/>
        </w:rPr>
      </w:pPr>
      <w:r>
        <w:rPr>
          <w:highlight w:val="white"/>
        </w:rPr>
        <w:t xml:space="preserve">UNICEF -  </w:t>
      </w:r>
      <w:r>
        <w:t>United Nations International Children's Emergency Fund (Dječiji fond Ujedinjenih nacija)</w:t>
      </w:r>
    </w:p>
    <w:p w14:paraId="49B7C89C" w14:textId="77777777" w:rsidR="005B3072" w:rsidRDefault="00A46913">
      <w:pPr>
        <w:numPr>
          <w:ilvl w:val="0"/>
          <w:numId w:val="6"/>
        </w:numPr>
        <w:spacing w:after="0" w:line="276" w:lineRule="auto"/>
        <w:ind w:left="714" w:hanging="357"/>
      </w:pPr>
      <w:r>
        <w:t>UZK – Uprava za kadrove</w:t>
      </w:r>
    </w:p>
    <w:p w14:paraId="2A97E92E" w14:textId="77777777" w:rsidR="005B3072" w:rsidRDefault="00A46913">
      <w:pPr>
        <w:numPr>
          <w:ilvl w:val="0"/>
          <w:numId w:val="6"/>
        </w:numPr>
        <w:pBdr>
          <w:top w:val="nil"/>
          <w:left w:val="nil"/>
          <w:bottom w:val="nil"/>
          <w:right w:val="nil"/>
          <w:between w:val="nil"/>
        </w:pBdr>
        <w:spacing w:after="0" w:line="276" w:lineRule="auto"/>
        <w:ind w:left="714" w:hanging="357"/>
      </w:pPr>
      <w:r>
        <w:rPr>
          <w:color w:val="000000"/>
        </w:rPr>
        <w:t>VET – Vocational Education and Training (Stručno obrazovanje i osposobljavanje)</w:t>
      </w:r>
    </w:p>
    <w:p w14:paraId="20D961C1" w14:textId="77777777" w:rsidR="005B3072" w:rsidRDefault="00A46913">
      <w:pPr>
        <w:numPr>
          <w:ilvl w:val="0"/>
          <w:numId w:val="6"/>
        </w:numPr>
        <w:spacing w:after="0" w:line="276" w:lineRule="auto"/>
        <w:ind w:left="714" w:hanging="357"/>
      </w:pPr>
      <w:r>
        <w:rPr>
          <w:highlight w:val="white"/>
        </w:rPr>
        <w:t>WB6 – Western Balkan 6 economies (6 ekonomija Zapadnog Balkana)</w:t>
      </w:r>
    </w:p>
    <w:p w14:paraId="4E87ECFF" w14:textId="77777777" w:rsidR="005B3072" w:rsidRDefault="00A46913">
      <w:pPr>
        <w:numPr>
          <w:ilvl w:val="0"/>
          <w:numId w:val="6"/>
        </w:numPr>
        <w:spacing w:after="0" w:line="276" w:lineRule="auto"/>
        <w:ind w:left="714" w:hanging="357"/>
      </w:pPr>
      <w:r>
        <w:t>ZOCG – Zajednica opština Crne Gore</w:t>
      </w:r>
    </w:p>
    <w:p w14:paraId="4F9BE234" w14:textId="77777777" w:rsidR="005B3072" w:rsidRDefault="00A46913">
      <w:pPr>
        <w:numPr>
          <w:ilvl w:val="0"/>
          <w:numId w:val="6"/>
        </w:numPr>
        <w:spacing w:after="0" w:line="276" w:lineRule="auto"/>
        <w:ind w:left="714" w:hanging="357"/>
      </w:pPr>
      <w:r>
        <w:rPr>
          <w:highlight w:val="white"/>
        </w:rPr>
        <w:t>ZUP – Zakon o upravnom postupku</w:t>
      </w:r>
    </w:p>
    <w:p w14:paraId="2A41D07D" w14:textId="77777777" w:rsidR="005B3072" w:rsidRDefault="005B3072">
      <w:pPr>
        <w:spacing w:after="0" w:line="276" w:lineRule="auto"/>
        <w:ind w:left="720"/>
        <w:rPr>
          <w:highlight w:val="white"/>
        </w:rPr>
      </w:pPr>
    </w:p>
    <w:p w14:paraId="39E81EF5" w14:textId="77777777" w:rsidR="005B3072" w:rsidRDefault="005B3072">
      <w:pPr>
        <w:rPr>
          <w:rFonts w:ascii="Times New Roman" w:eastAsia="Times New Roman" w:hAnsi="Times New Roman" w:cs="Times New Roman"/>
          <w:sz w:val="24"/>
          <w:szCs w:val="24"/>
        </w:rPr>
      </w:pPr>
    </w:p>
    <w:p w14:paraId="18F864CA" w14:textId="77777777" w:rsidR="005B3072" w:rsidRDefault="00A46913">
      <w:pPr>
        <w:rPr>
          <w:b/>
          <w:color w:val="1F3864"/>
          <w:sz w:val="28"/>
          <w:szCs w:val="28"/>
        </w:rPr>
      </w:pPr>
      <w:r>
        <w:br w:type="page"/>
      </w:r>
    </w:p>
    <w:p w14:paraId="0C3F4D50" w14:textId="77777777" w:rsidR="005B3072" w:rsidRDefault="00A46913">
      <w:pPr>
        <w:pStyle w:val="Heading1"/>
        <w:spacing w:before="240" w:after="240"/>
        <w:rPr>
          <w:b/>
          <w:sz w:val="32"/>
          <w:szCs w:val="32"/>
        </w:rPr>
      </w:pPr>
      <w:bookmarkStart w:id="1" w:name="_gjdgxs" w:colFirst="0" w:colLast="0"/>
      <w:bookmarkEnd w:id="1"/>
      <w:r>
        <w:rPr>
          <w:b/>
          <w:sz w:val="28"/>
          <w:szCs w:val="28"/>
        </w:rPr>
        <w:lastRenderedPageBreak/>
        <w:t>Termini</w:t>
      </w:r>
    </w:p>
    <w:p w14:paraId="7385A4D1" w14:textId="77777777" w:rsidR="005B3072" w:rsidRDefault="00A46913">
      <w:pPr>
        <w:numPr>
          <w:ilvl w:val="0"/>
          <w:numId w:val="38"/>
        </w:numPr>
        <w:spacing w:after="0" w:line="276" w:lineRule="auto"/>
        <w:jc w:val="both"/>
      </w:pPr>
      <w:r>
        <w:rPr>
          <w:highlight w:val="white"/>
        </w:rPr>
        <w:t>Digitalni identitet</w:t>
      </w:r>
      <w:r>
        <w:t xml:space="preserve"> - identitet osobe u digitalnom prostoru koji predstavlja njenu jedinstvenu verifikovanu identifikaciju.</w:t>
      </w:r>
    </w:p>
    <w:p w14:paraId="6910CCF3" w14:textId="77777777" w:rsidR="005B3072" w:rsidRDefault="00A46913">
      <w:pPr>
        <w:numPr>
          <w:ilvl w:val="0"/>
          <w:numId w:val="38"/>
        </w:numPr>
        <w:spacing w:after="0" w:line="276" w:lineRule="auto"/>
        <w:jc w:val="both"/>
      </w:pPr>
      <w:r>
        <w:rPr>
          <w:highlight w:val="white"/>
        </w:rPr>
        <w:t>Digitalni potpis</w:t>
      </w:r>
      <w:r>
        <w:t xml:space="preserve"> - skup podataka u elektronskom obliku koji su dodati ili logički pridruženi elektronskim porukama ili dokumentima i služe kao metod za identifikaciju potpisnika.</w:t>
      </w:r>
    </w:p>
    <w:p w14:paraId="44937D30" w14:textId="77777777" w:rsidR="005B3072" w:rsidRDefault="00A46913">
      <w:pPr>
        <w:numPr>
          <w:ilvl w:val="0"/>
          <w:numId w:val="38"/>
        </w:numPr>
        <w:spacing w:after="0" w:line="276" w:lineRule="auto"/>
        <w:jc w:val="both"/>
        <w:rPr>
          <w:highlight w:val="white"/>
        </w:rPr>
      </w:pPr>
      <w:r>
        <w:rPr>
          <w:highlight w:val="white"/>
        </w:rPr>
        <w:t>Interoperabilnost - sposobnost računarskih sistema ili softvera da razmjenjuju i koriste informacije.</w:t>
      </w:r>
    </w:p>
    <w:p w14:paraId="69367E64" w14:textId="77777777" w:rsidR="005B3072" w:rsidRDefault="00A46913">
      <w:pPr>
        <w:numPr>
          <w:ilvl w:val="0"/>
          <w:numId w:val="38"/>
        </w:numPr>
        <w:spacing w:after="0" w:line="276" w:lineRule="auto"/>
        <w:jc w:val="both"/>
        <w:rPr>
          <w:highlight w:val="white"/>
        </w:rPr>
      </w:pPr>
      <w:r>
        <w:rPr>
          <w:highlight w:val="white"/>
        </w:rPr>
        <w:t>Otvoreni podaci - digitalni podaci besplatno dostupni, koji se mogu ponovo koristiti i dalje objavljivati i koji su dati u formatu koji je moguće računarski obrađivati i analizirati.</w:t>
      </w:r>
    </w:p>
    <w:p w14:paraId="6A9BA801" w14:textId="77777777" w:rsidR="005B3072" w:rsidRDefault="00A46913">
      <w:pPr>
        <w:numPr>
          <w:ilvl w:val="0"/>
          <w:numId w:val="38"/>
        </w:numPr>
        <w:spacing w:after="0" w:line="276" w:lineRule="auto"/>
        <w:jc w:val="both"/>
        <w:rPr>
          <w:highlight w:val="white"/>
        </w:rPr>
      </w:pPr>
      <w:bookmarkStart w:id="2" w:name="_30j0zll" w:colFirst="0" w:colLast="0"/>
      <w:bookmarkEnd w:id="2"/>
      <w:r>
        <w:rPr>
          <w:highlight w:val="white"/>
        </w:rPr>
        <w:t>P2P (peer-to-peer) - model komunikacije putem interneta, pandan klijent/server modelu, najčešće u upotrebi za dijeljenje datoteka.</w:t>
      </w:r>
    </w:p>
    <w:p w14:paraId="70891ADB" w14:textId="77777777" w:rsidR="005B3072" w:rsidRDefault="00A46913">
      <w:pPr>
        <w:numPr>
          <w:ilvl w:val="0"/>
          <w:numId w:val="38"/>
        </w:numPr>
        <w:spacing w:after="0" w:line="276" w:lineRule="auto"/>
      </w:pPr>
      <w:r>
        <w:rPr>
          <w:highlight w:val="white"/>
        </w:rPr>
        <w:t>Razmjena podataka - razmjena podataka između različitih zainteresovanih strana</w:t>
      </w:r>
      <w:r>
        <w:t>.</w:t>
      </w:r>
    </w:p>
    <w:p w14:paraId="56D8445C" w14:textId="77777777" w:rsidR="005B3072" w:rsidRDefault="00A46913">
      <w:pPr>
        <w:numPr>
          <w:ilvl w:val="0"/>
          <w:numId w:val="38"/>
        </w:numPr>
        <w:spacing w:after="0" w:line="276" w:lineRule="auto"/>
        <w:jc w:val="both"/>
      </w:pPr>
      <w:bookmarkStart w:id="3" w:name="_1fob9te" w:colFirst="0" w:colLast="0"/>
      <w:bookmarkEnd w:id="3"/>
      <w:r>
        <w:rPr>
          <w:highlight w:val="white"/>
        </w:rPr>
        <w:t>Sajber bezbjednost - skup tehnologija, procesa i praksi dizajniranih da zaštite mreže, uređaje, programe i podatke od napada, oštećenja ili neovlašćenog pristupa. Sajber bezbjednost se takođe može označiti kao bezbjednost informacione tehnologije.</w:t>
      </w:r>
    </w:p>
    <w:p w14:paraId="41C3608D" w14:textId="77777777" w:rsidR="005B3072" w:rsidRDefault="00A46913">
      <w:pPr>
        <w:numPr>
          <w:ilvl w:val="0"/>
          <w:numId w:val="38"/>
        </w:numPr>
        <w:spacing w:after="0" w:line="276" w:lineRule="auto"/>
        <w:jc w:val="both"/>
        <w:rPr>
          <w:highlight w:val="white"/>
        </w:rPr>
      </w:pPr>
      <w:r>
        <w:rPr>
          <w:highlight w:val="white"/>
        </w:rPr>
        <w:t>Elektronske usluge povjerenja - usluge izrade sertifikata za elektronski potpis, elektronski pečat i autentifikaciju internet stranice; izrada elektronskog vremenskog pečata; usluga elektronske preporučene dostave; verifikacija elektronskog potpisa i elektronskog pečata; čuvanje elektronskog potpisa, elektronskih pečata ili sertifikata koji se odnose na te usluge. Elektronske usluge povjerenja koje ispunjavaju posebne uslove propisane Zakonom o elektronskoj upravi su kvalifikovane elektronske usluge povjerenja.</w:t>
      </w:r>
    </w:p>
    <w:p w14:paraId="7F5BE6F9" w14:textId="77777777" w:rsidR="005B3072" w:rsidRDefault="00A46913">
      <w:pPr>
        <w:numPr>
          <w:ilvl w:val="0"/>
          <w:numId w:val="38"/>
        </w:numPr>
        <w:spacing w:after="0" w:line="276" w:lineRule="auto"/>
        <w:jc w:val="both"/>
      </w:pPr>
      <w:r>
        <w:t>Elektronski vremenski pečat - skup podataka u elektronskom obliku koji povezuju druge podatke u elektronskom obliku sa određenim vremenom i na taj način dokazuju da su ti podaci postojali u to vrijeme.</w:t>
      </w:r>
    </w:p>
    <w:p w14:paraId="03B8D1ED" w14:textId="77777777" w:rsidR="005B3072" w:rsidRDefault="00A46913">
      <w:pPr>
        <w:pStyle w:val="Heading1"/>
        <w:spacing w:before="240" w:after="240"/>
        <w:rPr>
          <w:b/>
          <w:color w:val="980000"/>
          <w:sz w:val="28"/>
          <w:szCs w:val="28"/>
          <w:highlight w:val="yellow"/>
        </w:rPr>
      </w:pPr>
      <w:bookmarkStart w:id="4" w:name="_3znysh7" w:colFirst="0" w:colLast="0"/>
      <w:bookmarkEnd w:id="4"/>
      <w:r>
        <w:br w:type="page"/>
      </w:r>
    </w:p>
    <w:p w14:paraId="645A2120" w14:textId="77777777" w:rsidR="005B3072" w:rsidRDefault="00A46913">
      <w:pPr>
        <w:pStyle w:val="Heading1"/>
        <w:rPr>
          <w:sz w:val="21"/>
          <w:szCs w:val="21"/>
        </w:rPr>
      </w:pPr>
      <w:bookmarkStart w:id="5" w:name="_2et92p0" w:colFirst="0" w:colLast="0"/>
      <w:bookmarkEnd w:id="5"/>
      <w:r>
        <w:rPr>
          <w:b/>
          <w:sz w:val="28"/>
          <w:szCs w:val="28"/>
        </w:rPr>
        <w:lastRenderedPageBreak/>
        <w:t>I</w:t>
      </w:r>
      <w:r>
        <w:rPr>
          <w:b/>
          <w:sz w:val="28"/>
          <w:szCs w:val="28"/>
        </w:rPr>
        <w:tab/>
        <w:t>UVOD</w:t>
      </w:r>
    </w:p>
    <w:p w14:paraId="70B5B305" w14:textId="77777777" w:rsidR="005B3072" w:rsidRDefault="005B3072">
      <w:pPr>
        <w:rPr>
          <w:color w:val="70AD47"/>
        </w:rPr>
      </w:pPr>
    </w:p>
    <w:p w14:paraId="05A1C453" w14:textId="77777777" w:rsidR="005B3072" w:rsidRDefault="00A46913">
      <w:pPr>
        <w:jc w:val="both"/>
        <w:rPr>
          <w:sz w:val="24"/>
          <w:szCs w:val="24"/>
        </w:rPr>
      </w:pPr>
      <w:r>
        <w:rPr>
          <w:sz w:val="24"/>
          <w:szCs w:val="24"/>
        </w:rPr>
        <w:t>Digitalizacija svih segmenata društva više nije samo predmet odluke, već je i važna činjenica sa kojom se jedno društvo suočava na svakom koraku (od obavljanja poslovnih zadataka, preko rješavanja privatnih zahtjeva, upisa djece u školu i sl.). Digitalizacija mijenja živote građana, mijenjajući način na koji rade i obavljaju svakodnevne zadatke. Mijenja i način rada u privatnom sektoru, stvarajući preduslove za rad u konkurentom okruženju koje ne poznaje geografske granice, ali i utiče na strukturu organizacije u svim oblastima. Posmatrano sa najvišeg, nacionalnog nivoa, digitalni razvoj ne samo da je važan za funkcionisanje države kao takve, već sve više predstavlja konkurentsku prednost u međunarodnom okruženju.</w:t>
      </w:r>
    </w:p>
    <w:p w14:paraId="29F56138" w14:textId="77777777" w:rsidR="005B3072" w:rsidRDefault="00A46913">
      <w:pPr>
        <w:jc w:val="both"/>
        <w:rPr>
          <w:sz w:val="24"/>
          <w:szCs w:val="24"/>
        </w:rPr>
      </w:pPr>
      <w:r>
        <w:rPr>
          <w:sz w:val="24"/>
          <w:szCs w:val="24"/>
        </w:rPr>
        <w:t>I pored činjenice da digitalna rješenja treba shvatiti kao alat koji može pomoći u efikasnijem i transparentnijem funkcionisanju jednog sistema, oni predstavljaju ključni doprinos u postizanju poslovnih i političkih ciljeva. Upravo zbog toga, pažljivo planiranje njihovih funkcionalnosti, interoperabilnosti, izvora podataka i tehničkih rješenja je krucijalno pri stvaranju efektivnog digitalnog okruženja i postizanja personalne satisfakcije svih aktera u jednom društvu (građana, poslovne zajednice, nevladinog sektora i sl.).</w:t>
      </w:r>
    </w:p>
    <w:p w14:paraId="459F7C9B" w14:textId="77777777" w:rsidR="005B3072" w:rsidRDefault="00A46913">
      <w:pPr>
        <w:spacing w:before="240" w:after="240"/>
        <w:jc w:val="both"/>
        <w:rPr>
          <w:sz w:val="24"/>
          <w:szCs w:val="24"/>
        </w:rPr>
      </w:pPr>
      <w:r>
        <w:rPr>
          <w:sz w:val="24"/>
          <w:szCs w:val="24"/>
        </w:rPr>
        <w:t>Digitalna transformacija je kontinuiran proces koji treba da se eksponencijalno ubrzava sa pojavom novih tehnologija koje karakteriše intenzivan i brz razvoj. Iako proces digitalne transformacije treba da prati tempo razvoja digitalnih tehnologija, da bi u tome bili uspješni, potrebno je da postoji dobra osnova u infrastrukturi, normativnom i institucionalnom uređenju, dostupnosti i upravljanju podacima, obrazovnim programima kao preduslovu za sticanje digitalnih vještina, saradnji sa privatnim sektorom, kao i podsticajima kako bi se digitalna rješenja koristila. Osim toga, uspostavljanje kvalitetnog modela digitalnog upravljanja i jačanje sposobnosti za identifikaciju tih mogućnosti postaje važnije nego ikada prije.</w:t>
      </w:r>
    </w:p>
    <w:p w14:paraId="127C294B" w14:textId="77777777" w:rsidR="005B3072" w:rsidRDefault="00A46913">
      <w:pPr>
        <w:jc w:val="both"/>
        <w:rPr>
          <w:sz w:val="24"/>
          <w:szCs w:val="24"/>
        </w:rPr>
      </w:pPr>
      <w:r>
        <w:rPr>
          <w:sz w:val="24"/>
          <w:szCs w:val="24"/>
        </w:rPr>
        <w:t>Strategija digitalne transformacije Crne Gore 2022-2026 predstavlja razvojni okvir koji će definisati preduslove i inicijative potrebne za brzu adaptaciju u sve kompleksnije digitalno okruženje te agilan i proaktivan razvoj digitalne Crne Gore. Sa efikasnim digitalnim okruženjem, koje će stvoriti pozitivne uticaje na ekonomski razvoj, doprinijeće se i razvoju društva u cjelini. Iz tog razloga, Strategija digitalne transformacije se ne smije nikako shvatiti kao tehničko-razvojna strategija, već je jedan od ključnih političkih, ali i razvojnih dokumenata, koji takođe čini osnovu za političke odluke, promjene u normativnom okruženju, ulaganja i podsticaje.</w:t>
      </w:r>
    </w:p>
    <w:p w14:paraId="4048D3B3" w14:textId="77777777" w:rsidR="005B3072" w:rsidRDefault="00A46913">
      <w:pPr>
        <w:jc w:val="both"/>
        <w:rPr>
          <w:sz w:val="24"/>
          <w:szCs w:val="24"/>
        </w:rPr>
      </w:pPr>
      <w:r>
        <w:rPr>
          <w:sz w:val="24"/>
          <w:szCs w:val="24"/>
        </w:rPr>
        <w:t xml:space="preserve">Digitalne tehnologije nisu vezane za određenu industriju ili proces, već su generalno primjenjive u privatnom i profesionalnom životu, u svim djelatnostima i segmentima društva. Digitalna infrastruktura postaje podjednako važna u društvu kao što je vodovodna ili električna infrastruktura, jer treba da bude dostupna svima, pod jednakim uslovima. Od njenog razvoja zavisi uspjeh svih ostalih aktivnosti. Stoga je, u procesu izrade Strategije digitalne transformacije Crne Gore 2022-2026, prepoznata ključna potreba da svi državni organi i javne ustanove učestvuju na koordinisan i aktivan način i promovišu aktivno </w:t>
      </w:r>
      <w:r>
        <w:rPr>
          <w:sz w:val="24"/>
          <w:szCs w:val="24"/>
        </w:rPr>
        <w:lastRenderedPageBreak/>
        <w:t xml:space="preserve">uključivanje privatnog i nevladinog sektora. Kvalitet koordinacije sprovođenja digitalne transformacije je stoga posebno obrađen u strategiji. </w:t>
      </w:r>
    </w:p>
    <w:p w14:paraId="44EE4F5F" w14:textId="77777777" w:rsidR="005B3072" w:rsidRDefault="00A46913">
      <w:pPr>
        <w:jc w:val="both"/>
        <w:rPr>
          <w:sz w:val="24"/>
          <w:szCs w:val="24"/>
        </w:rPr>
      </w:pPr>
      <w:r>
        <w:rPr>
          <w:sz w:val="24"/>
          <w:szCs w:val="24"/>
        </w:rPr>
        <w:t>Opisana strateška namjera potkrijepljena je i strateškim opredjeljenjima Evropske unije, koja je jasno istakla “</w:t>
      </w:r>
      <w:r>
        <w:rPr>
          <w:b/>
          <w:sz w:val="24"/>
          <w:szCs w:val="24"/>
        </w:rPr>
        <w:t>zeleno” i “digitalno”</w:t>
      </w:r>
      <w:r>
        <w:rPr>
          <w:sz w:val="24"/>
          <w:szCs w:val="24"/>
        </w:rPr>
        <w:t xml:space="preserve"> kao centralne razvojne ciljeve čitavog evropskog regiona. Prilikom izrade Strategije digitalne transformacije obuhvaćeni su ovi principi i slijedile su se navedene smjernice, imajući u vidu da Crna Gora želi da istraje na putu moderne, prosperitetne evropske zemlje.</w:t>
      </w:r>
    </w:p>
    <w:p w14:paraId="0567C515" w14:textId="77777777" w:rsidR="005B3072" w:rsidRDefault="00A46913">
      <w:pPr>
        <w:jc w:val="both"/>
        <w:rPr>
          <w:sz w:val="24"/>
          <w:szCs w:val="24"/>
        </w:rPr>
      </w:pPr>
      <w:r>
        <w:rPr>
          <w:sz w:val="24"/>
          <w:szCs w:val="24"/>
        </w:rPr>
        <w:t>Dva ključna megatrenda - “zeleno” i “digitalno” - iako različiti, u novom, modernom društvu su usko povezani. Sa jedne strane, digitalne tehnologije su veoma „zelene” i značajno stvaraju dodatnu vrijednost društvu, a sa druge strane, mogu efikasno da doprinesu smanjenju negativnih uticaja na životnu sredinu i ojačaju ekološku komponentu održivosti. Ovo drugo je posebno važno za Crnu Goru kao turističku zemlju.</w:t>
      </w:r>
    </w:p>
    <w:p w14:paraId="79007ABC" w14:textId="77777777" w:rsidR="005B3072" w:rsidRDefault="00A46913">
      <w:pPr>
        <w:jc w:val="both"/>
        <w:rPr>
          <w:sz w:val="24"/>
          <w:szCs w:val="24"/>
        </w:rPr>
      </w:pPr>
      <w:r>
        <w:rPr>
          <w:sz w:val="24"/>
          <w:szCs w:val="24"/>
        </w:rPr>
        <w:t>Osim toga, održiva komponenta ne znači samo brigu o životnoj sredini, već i brigu za društveno i ekonomsko dobro. Socijalna komponenta naglašava raznolikost i aktivno učešće svih društvenih grupa, za šta se pokazalo da su informacioni alati izuzetno efikasni i dostupni. Takođe, sistematskim promovisanjem savremenih tehnologija, razvojem digitalnih vještina i povećanjem stepena povezanosti, podstaći će se i ekonomski uspjeh Crne Gore. Visoka dodatna vrijednost digitalnih tehnologija, relativno niska potrebna ulaganja u odnosu na druga infrastrukturna ulaganja i dostupnost globalnog tržišta, takođe predstavljaju izuzetnu priliku za industrijski razvoj Crne Gore, zbog čega je Strategija poseban akcenat stavila na promociju IKT sektora.</w:t>
      </w:r>
    </w:p>
    <w:p w14:paraId="227182C6" w14:textId="77777777" w:rsidR="005B3072" w:rsidRDefault="00A46913">
      <w:pPr>
        <w:pStyle w:val="Heading2"/>
        <w:spacing w:after="240"/>
        <w:rPr>
          <w:color w:val="2E75B5"/>
          <w:sz w:val="28"/>
          <w:szCs w:val="28"/>
        </w:rPr>
      </w:pPr>
      <w:bookmarkStart w:id="6" w:name="_tyjcwt" w:colFirst="0" w:colLast="0"/>
      <w:bookmarkEnd w:id="6"/>
      <w:r>
        <w:rPr>
          <w:color w:val="2E75B5"/>
          <w:sz w:val="28"/>
          <w:szCs w:val="28"/>
        </w:rPr>
        <w:t>Usklađenost sa EU strateškim okvirom međunarodnim obavezama</w:t>
      </w:r>
    </w:p>
    <w:p w14:paraId="77B29ECC" w14:textId="77777777" w:rsidR="005B3072" w:rsidRDefault="00A46913">
      <w:pPr>
        <w:jc w:val="both"/>
        <w:rPr>
          <w:sz w:val="24"/>
          <w:szCs w:val="24"/>
        </w:rPr>
      </w:pPr>
      <w:r>
        <w:rPr>
          <w:sz w:val="24"/>
          <w:szCs w:val="24"/>
        </w:rPr>
        <w:t>U procesu pripreme Nacrta Strategije digitalne transformacije Crne Gore 2022-2026. razmotren je širi strateški okvir Evropske unije koji je uzet u obzir prilikom definisanja ciljeva i akcija.</w:t>
      </w:r>
    </w:p>
    <w:p w14:paraId="1A82F325" w14:textId="77777777" w:rsidR="005B3072" w:rsidRDefault="00A46913">
      <w:pPr>
        <w:jc w:val="both"/>
        <w:rPr>
          <w:sz w:val="24"/>
          <w:szCs w:val="24"/>
        </w:rPr>
      </w:pPr>
      <w:r>
        <w:rPr>
          <w:sz w:val="24"/>
          <w:szCs w:val="24"/>
        </w:rPr>
        <w:t xml:space="preserve">Najopsežniji i najrelevantniji strateški dokument koji je analiziran je dokument </w:t>
      </w:r>
      <w:r>
        <w:rPr>
          <w:b/>
          <w:sz w:val="24"/>
          <w:szCs w:val="24"/>
        </w:rPr>
        <w:t>Digitalna decenija Evrope: digitalni ciljevi za 2030</w:t>
      </w:r>
      <w:r>
        <w:rPr>
          <w:sz w:val="24"/>
          <w:szCs w:val="24"/>
          <w:vertAlign w:val="superscript"/>
        </w:rPr>
        <w:footnoteReference w:id="1"/>
      </w:r>
      <w:r>
        <w:rPr>
          <w:sz w:val="24"/>
          <w:szCs w:val="24"/>
        </w:rPr>
        <w:t xml:space="preserve"> a koji je predstavljen 9. marta 2021. Dokument postavlja viziju digitalne transformacije Evrope do 2030. Takođe je predstavljen kao </w:t>
      </w:r>
      <w:r>
        <w:rPr>
          <w:b/>
          <w:sz w:val="24"/>
          <w:szCs w:val="24"/>
        </w:rPr>
        <w:t>Digitalni kompas</w:t>
      </w:r>
      <w:r>
        <w:rPr>
          <w:sz w:val="24"/>
          <w:szCs w:val="24"/>
        </w:rPr>
        <w:t xml:space="preserve"> i fokusira se na četiri glavna aspekta: vještine, infrastruktura, vlada i biznis.</w:t>
      </w:r>
    </w:p>
    <w:p w14:paraId="2CB68FCF" w14:textId="77777777" w:rsidR="005B3072" w:rsidRDefault="00A46913">
      <w:pPr>
        <w:jc w:val="both"/>
        <w:rPr>
          <w:sz w:val="24"/>
          <w:szCs w:val="24"/>
        </w:rPr>
      </w:pPr>
      <w:r>
        <w:rPr>
          <w:sz w:val="24"/>
          <w:szCs w:val="24"/>
        </w:rPr>
        <w:t xml:space="preserve">Budući da je veliki dio Strategije digitalne transformacije Crne Gore 2022-2026 direktno ili indirektno povezan sa podacima, u pripremi Strategije koristila se </w:t>
      </w:r>
      <w:r>
        <w:rPr>
          <w:b/>
          <w:sz w:val="24"/>
          <w:szCs w:val="24"/>
        </w:rPr>
        <w:t>Evropska strategija podataka</w:t>
      </w:r>
      <w:r>
        <w:rPr>
          <w:b/>
          <w:sz w:val="24"/>
          <w:szCs w:val="24"/>
          <w:vertAlign w:val="superscript"/>
        </w:rPr>
        <w:footnoteReference w:id="2"/>
      </w:r>
      <w:r>
        <w:rPr>
          <w:sz w:val="24"/>
          <w:szCs w:val="24"/>
        </w:rPr>
        <w:t xml:space="preserve"> kao osnova za usklađivanje prema evropskim ciljevima.</w:t>
      </w:r>
    </w:p>
    <w:p w14:paraId="72B7C8F8" w14:textId="77777777" w:rsidR="005B3072" w:rsidRDefault="00A46913">
      <w:pPr>
        <w:jc w:val="both"/>
        <w:rPr>
          <w:sz w:val="24"/>
          <w:szCs w:val="24"/>
        </w:rPr>
      </w:pPr>
      <w:r>
        <w:rPr>
          <w:sz w:val="24"/>
          <w:szCs w:val="24"/>
        </w:rPr>
        <w:t xml:space="preserve">Jedan od najvažnijih izazova prepoznatih u </w:t>
      </w:r>
      <w:r>
        <w:rPr>
          <w:i/>
          <w:sz w:val="24"/>
          <w:szCs w:val="24"/>
        </w:rPr>
        <w:t>Analizi stanja za pripremu strategije digitalne transformacije Crne Gore 2022-2026</w:t>
      </w:r>
      <w:r>
        <w:rPr>
          <w:sz w:val="24"/>
          <w:szCs w:val="24"/>
        </w:rPr>
        <w:t xml:space="preserve"> bio je nedostatak digitalnih vještina na više nivoa (zaposleni u privatnim i javnim organizacijama, studenti, ali i opšta javnost). Stoga je </w:t>
      </w:r>
      <w:r>
        <w:rPr>
          <w:b/>
          <w:sz w:val="24"/>
          <w:szCs w:val="24"/>
        </w:rPr>
        <w:t>Evropska agenda vještina</w:t>
      </w:r>
      <w:r>
        <w:rPr>
          <w:b/>
          <w:sz w:val="24"/>
          <w:szCs w:val="24"/>
          <w:vertAlign w:val="superscript"/>
        </w:rPr>
        <w:footnoteReference w:id="3"/>
      </w:r>
      <w:r>
        <w:rPr>
          <w:sz w:val="24"/>
          <w:szCs w:val="24"/>
        </w:rPr>
        <w:t xml:space="preserve"> sa ciljevima koje treba postići do 2025. godine glavni krovni strateški okvir koji će voditi Strategiju digitalne transformacije Crne </w:t>
      </w:r>
      <w:r>
        <w:rPr>
          <w:sz w:val="24"/>
          <w:szCs w:val="24"/>
        </w:rPr>
        <w:lastRenderedPageBreak/>
        <w:t xml:space="preserve">Gore 2022-2026. Konkretnija politika </w:t>
      </w:r>
      <w:r>
        <w:rPr>
          <w:b/>
          <w:sz w:val="24"/>
          <w:szCs w:val="24"/>
        </w:rPr>
        <w:t>Akcioni plan za digitalno obrazovanje</w:t>
      </w:r>
      <w:r>
        <w:rPr>
          <w:b/>
          <w:sz w:val="24"/>
          <w:szCs w:val="24"/>
          <w:vertAlign w:val="superscript"/>
        </w:rPr>
        <w:footnoteReference w:id="4"/>
      </w:r>
      <w:r>
        <w:rPr>
          <w:sz w:val="24"/>
          <w:szCs w:val="24"/>
        </w:rPr>
        <w:t xml:space="preserve"> je razvijen kako bi se pojednostavile akcije za postizanje ciljeva evropskih zemalja u digitalnom području za period 2021-2027. Takođe, ovaj dokument je razmatran i u procesu izrade Strategije.</w:t>
      </w:r>
    </w:p>
    <w:p w14:paraId="0FA5CAF5" w14:textId="77777777" w:rsidR="005B3072" w:rsidRDefault="00A46913">
      <w:pPr>
        <w:jc w:val="both"/>
        <w:rPr>
          <w:sz w:val="24"/>
          <w:szCs w:val="24"/>
        </w:rPr>
      </w:pPr>
      <w:r>
        <w:rPr>
          <w:b/>
          <w:sz w:val="24"/>
          <w:szCs w:val="24"/>
        </w:rPr>
        <w:t>Evropska industrijska strategija</w:t>
      </w:r>
      <w:r>
        <w:rPr>
          <w:b/>
          <w:sz w:val="24"/>
          <w:szCs w:val="24"/>
          <w:vertAlign w:val="superscript"/>
        </w:rPr>
        <w:footnoteReference w:id="5"/>
      </w:r>
      <w:r>
        <w:rPr>
          <w:sz w:val="24"/>
          <w:szCs w:val="24"/>
        </w:rPr>
        <w:t xml:space="preserve"> objavljena je 10. marta 2020. godine. Pod uticajem krize COVID-19 zahtijevano je ažuriranje kako bi se postigla relevantnost i efikasna podrška državama EU u njihovoj tranziciji na zelenu i digitalnu ekonomiju. Budući da evropska industrijska strategija naglašava i podržava inovacije u različitim ekosistemima, malim i srednjim preduzećima (MSP) i fokusira se i na start-up preduzeća, ovaj dokument takođe predstavlja jedan od najvažnijih EU dokumenata koje treba slijediti u procesu izrade Strategije digitalne transformacije Crne Gore 2022-2026. Potreba za jačanjem IKT sektora u Crnoj Gori prepoznata je kao jedan od najvažnijih izazova ali i potencijala u situacionoj analizi.</w:t>
      </w:r>
    </w:p>
    <w:p w14:paraId="6667CC07" w14:textId="77777777" w:rsidR="005B3072" w:rsidRDefault="00A46913">
      <w:pPr>
        <w:jc w:val="both"/>
        <w:rPr>
          <w:sz w:val="24"/>
          <w:szCs w:val="24"/>
        </w:rPr>
      </w:pPr>
      <w:r>
        <w:rPr>
          <w:b/>
          <w:color w:val="4A4E57"/>
          <w:sz w:val="24"/>
          <w:szCs w:val="24"/>
          <w:highlight w:val="white"/>
        </w:rPr>
        <w:t>Ekonomsko-investicioni plan za Zapadni Balkan</w:t>
      </w:r>
      <w:r>
        <w:rPr>
          <w:b/>
          <w:color w:val="4A4E57"/>
          <w:sz w:val="24"/>
          <w:szCs w:val="24"/>
          <w:highlight w:val="white"/>
          <w:vertAlign w:val="superscript"/>
        </w:rPr>
        <w:footnoteReference w:id="6"/>
      </w:r>
      <w:r>
        <w:rPr>
          <w:color w:val="4A4E57"/>
          <w:sz w:val="24"/>
          <w:szCs w:val="24"/>
          <w:highlight w:val="white"/>
        </w:rPr>
        <w:t>, ima za cilj da potspiješi dugoročan privredni oporavak regiona, podrži zelenu i digitalnu tranziciju, regionalnu integraciju i konvergenciju sa Evropskom unijom. Plan će podržati održivo povezivanje, ljudski kapital, konkurentnost i inkluzivan rast, kao i dvojnu zelenu i digitalnu tranziciju.</w:t>
      </w:r>
    </w:p>
    <w:p w14:paraId="370B1D22" w14:textId="77777777" w:rsidR="005B3072" w:rsidRDefault="00A46913">
      <w:pPr>
        <w:jc w:val="both"/>
        <w:rPr>
          <w:sz w:val="24"/>
          <w:szCs w:val="24"/>
        </w:rPr>
      </w:pPr>
      <w:r>
        <w:rPr>
          <w:sz w:val="24"/>
          <w:szCs w:val="24"/>
        </w:rPr>
        <w:t xml:space="preserve">Kada je riječ o regionalnom nivou Zapadnog Balkana - </w:t>
      </w:r>
      <w:r>
        <w:rPr>
          <w:b/>
          <w:sz w:val="24"/>
          <w:szCs w:val="24"/>
        </w:rPr>
        <w:t>Zajedničko regionalno tržište</w:t>
      </w:r>
      <w:r>
        <w:rPr>
          <w:b/>
          <w:sz w:val="24"/>
          <w:szCs w:val="24"/>
          <w:vertAlign w:val="superscript"/>
        </w:rPr>
        <w:footnoteReference w:id="7"/>
      </w:r>
      <w:r>
        <w:rPr>
          <w:sz w:val="24"/>
          <w:szCs w:val="24"/>
        </w:rPr>
        <w:t xml:space="preserve"> je izgrađeno na dostignućima Regionalnog ekonomskog prostora. Ono predstavlja odskočnu dasku za bližu integraciju regiona sa jedinstvenim tržištem EU prije pristupanja. Konkretnije, </w:t>
      </w:r>
      <w:r>
        <w:rPr>
          <w:b/>
          <w:sz w:val="24"/>
          <w:szCs w:val="24"/>
        </w:rPr>
        <w:t>Akcioni plan 2021-2024 za zajedničko regionalno tržište</w:t>
      </w:r>
      <w:r>
        <w:rPr>
          <w:b/>
          <w:sz w:val="24"/>
          <w:szCs w:val="24"/>
          <w:vertAlign w:val="superscript"/>
        </w:rPr>
        <w:footnoteReference w:id="8"/>
      </w:r>
      <w:r>
        <w:rPr>
          <w:sz w:val="24"/>
          <w:szCs w:val="24"/>
        </w:rPr>
        <w:t xml:space="preserve"> razmatran je kao osnova za definisanje operativnih ciljeva i akcija u oblasti podataka i jačanja IKT sektora.</w:t>
      </w:r>
    </w:p>
    <w:p w14:paraId="40696D1B" w14:textId="77777777" w:rsidR="005B3072" w:rsidRDefault="00A46913">
      <w:pPr>
        <w:jc w:val="both"/>
        <w:rPr>
          <w:sz w:val="24"/>
          <w:szCs w:val="24"/>
        </w:rPr>
      </w:pPr>
      <w:r>
        <w:rPr>
          <w:sz w:val="24"/>
          <w:szCs w:val="24"/>
        </w:rPr>
        <w:t xml:space="preserve">Pored svih navedenih strateških dokumenata EU, u pripremi ovog strateškog dokumenta, razmatrani su i </w:t>
      </w:r>
      <w:r>
        <w:rPr>
          <w:b/>
          <w:sz w:val="24"/>
          <w:szCs w:val="24"/>
          <w:u w:val="single"/>
        </w:rPr>
        <w:t>prioriteti</w:t>
      </w:r>
      <w:r>
        <w:rPr>
          <w:sz w:val="24"/>
          <w:szCs w:val="24"/>
        </w:rPr>
        <w:t xml:space="preserve"> postavljeni od strane aktuelne Evropske komisije za period 2019-2024.</w:t>
      </w:r>
    </w:p>
    <w:p w14:paraId="278B70CA" w14:textId="77777777" w:rsidR="005B3072" w:rsidRDefault="00A46913">
      <w:pPr>
        <w:jc w:val="both"/>
        <w:rPr>
          <w:sz w:val="24"/>
          <w:szCs w:val="24"/>
        </w:rPr>
      </w:pPr>
      <w:r>
        <w:rPr>
          <w:sz w:val="24"/>
          <w:szCs w:val="24"/>
        </w:rPr>
        <w:t>Navedene četiri direktive EU iz oblasti podataka postavljene su kao osnova za definisanje ciljeva i aktivnosti za poboljšanje dostupnosti i interoperabilnosti podataka i unapređenje kvaliteta, količine i upotrebe e-usluga:</w:t>
      </w:r>
    </w:p>
    <w:p w14:paraId="2B72AFE7" w14:textId="77777777" w:rsidR="005B3072" w:rsidRDefault="00A46913">
      <w:pPr>
        <w:jc w:val="both"/>
        <w:rPr>
          <w:sz w:val="24"/>
          <w:szCs w:val="24"/>
        </w:rPr>
      </w:pPr>
      <w:r>
        <w:rPr>
          <w:sz w:val="24"/>
          <w:szCs w:val="24"/>
        </w:rPr>
        <w:t>● Direktiva 2013/37/EU</w:t>
      </w:r>
      <w:r>
        <w:rPr>
          <w:sz w:val="24"/>
          <w:szCs w:val="24"/>
          <w:vertAlign w:val="superscript"/>
        </w:rPr>
        <w:footnoteReference w:id="9"/>
      </w:r>
      <w:r>
        <w:rPr>
          <w:sz w:val="24"/>
          <w:szCs w:val="24"/>
        </w:rPr>
        <w:t xml:space="preserve"> Evropskog parlamenta i Savjeta od 26. juna 2013. o izmjeni Direktive 2003/98/EC o ponovnoj upotrebi informacija iz javnog sektora;</w:t>
      </w:r>
    </w:p>
    <w:p w14:paraId="69D3056F" w14:textId="77777777" w:rsidR="005B3072" w:rsidRDefault="00A46913">
      <w:pPr>
        <w:jc w:val="both"/>
        <w:rPr>
          <w:sz w:val="24"/>
          <w:szCs w:val="24"/>
        </w:rPr>
      </w:pPr>
      <w:r>
        <w:rPr>
          <w:sz w:val="24"/>
          <w:szCs w:val="24"/>
        </w:rPr>
        <w:t>● Direktiva (EU) 2019/1024</w:t>
      </w:r>
      <w:r>
        <w:rPr>
          <w:sz w:val="24"/>
          <w:szCs w:val="24"/>
          <w:vertAlign w:val="superscript"/>
        </w:rPr>
        <w:footnoteReference w:id="10"/>
      </w:r>
      <w:r>
        <w:rPr>
          <w:sz w:val="24"/>
          <w:szCs w:val="24"/>
        </w:rPr>
        <w:t xml:space="preserve"> Evropskog parlamenta i Savjeta od 20. juna 2019. o otvorenim podacima i ponovnoj upotrebi informacija iz javnog sektora;</w:t>
      </w:r>
    </w:p>
    <w:p w14:paraId="5F846F54" w14:textId="77777777" w:rsidR="005B3072" w:rsidRDefault="00A46913">
      <w:pPr>
        <w:jc w:val="both"/>
        <w:rPr>
          <w:sz w:val="24"/>
          <w:szCs w:val="24"/>
        </w:rPr>
      </w:pPr>
      <w:r>
        <w:rPr>
          <w:sz w:val="24"/>
          <w:szCs w:val="24"/>
        </w:rPr>
        <w:lastRenderedPageBreak/>
        <w:t>● Uredba (EU) 2018/1807</w:t>
      </w:r>
      <w:r>
        <w:rPr>
          <w:sz w:val="24"/>
          <w:szCs w:val="24"/>
          <w:vertAlign w:val="superscript"/>
        </w:rPr>
        <w:footnoteReference w:id="11"/>
      </w:r>
      <w:r>
        <w:rPr>
          <w:sz w:val="24"/>
          <w:szCs w:val="24"/>
        </w:rPr>
        <w:t xml:space="preserve"> Evropskog parlamenta i Savjeta od 14. novembra 2018. o okviru za slobodan protok ne-ličnih podataka u Evropskoj uniji;</w:t>
      </w:r>
    </w:p>
    <w:p w14:paraId="76AFDAF4" w14:textId="77777777" w:rsidR="005B3072" w:rsidRDefault="00A46913">
      <w:pPr>
        <w:jc w:val="both"/>
        <w:rPr>
          <w:sz w:val="24"/>
          <w:szCs w:val="24"/>
        </w:rPr>
      </w:pPr>
      <w:r>
        <w:rPr>
          <w:sz w:val="24"/>
          <w:szCs w:val="24"/>
        </w:rPr>
        <w:t>● Uredba (EU) 2016/679</w:t>
      </w:r>
      <w:r>
        <w:rPr>
          <w:sz w:val="24"/>
          <w:szCs w:val="24"/>
          <w:vertAlign w:val="superscript"/>
        </w:rPr>
        <w:footnoteReference w:id="12"/>
      </w:r>
      <w:r>
        <w:rPr>
          <w:sz w:val="24"/>
          <w:szCs w:val="24"/>
        </w:rPr>
        <w:t xml:space="preserve"> Evropskog parlamenta i Savjeta od 27. aprila 2016. o zaštiti fizičkih lica u vezi sa obradom ličnih podataka i o slobodnom kretanju tih podataka i stavljanju van snage Direktive 95/46/ EC – Opšta uredba o zaštiti podataka.</w:t>
      </w:r>
    </w:p>
    <w:p w14:paraId="536FC2FE" w14:textId="77777777" w:rsidR="005B3072" w:rsidRDefault="00A46913">
      <w:pPr>
        <w:spacing w:line="240" w:lineRule="auto"/>
        <w:jc w:val="both"/>
        <w:rPr>
          <w:sz w:val="24"/>
          <w:szCs w:val="24"/>
        </w:rPr>
      </w:pPr>
      <w:r>
        <w:rPr>
          <w:b/>
          <w:sz w:val="24"/>
          <w:szCs w:val="24"/>
        </w:rPr>
        <w:t>Program pristupanja Crne Gore Evropskoj uniji 2021 – 2023</w:t>
      </w:r>
      <w:r>
        <w:rPr>
          <w:sz w:val="24"/>
          <w:szCs w:val="24"/>
          <w:vertAlign w:val="superscript"/>
        </w:rPr>
        <w:footnoteReference w:id="13"/>
      </w:r>
      <w:r>
        <w:rPr>
          <w:sz w:val="24"/>
          <w:szCs w:val="24"/>
        </w:rPr>
        <w:t xml:space="preserve"> (PPCG) je strateški dokument koji obuhvata 33 pregovaračka poglavlja i koji se na godišnjem nivou prilagođava promjenama u okviru procesa razvoja prava EU. U skladu s tim, kako bi ovaj dokument bio usklađen sa novom pravnom tekovinom EU, ali i dinamikom donošenja nacionalnih zakonodavnih i strategijskih dokumenata, Programom pristupanja za period 2021 – 2023, navedena je izrada Strategije digitalne transformacije Crne Gore.</w:t>
      </w:r>
    </w:p>
    <w:p w14:paraId="019869F6" w14:textId="77777777" w:rsidR="005B3072" w:rsidRDefault="00A46913">
      <w:pPr>
        <w:jc w:val="both"/>
        <w:rPr>
          <w:rFonts w:ascii="Cambria" w:eastAsia="Cambria" w:hAnsi="Cambria" w:cs="Cambria"/>
          <w:sz w:val="24"/>
          <w:szCs w:val="24"/>
        </w:rPr>
      </w:pPr>
      <w:r>
        <w:rPr>
          <w:sz w:val="24"/>
          <w:szCs w:val="24"/>
        </w:rPr>
        <w:t>Crna Gora je otvorila Poglavlje 10 –</w:t>
      </w:r>
      <w:r>
        <w:rPr>
          <w:b/>
          <w:sz w:val="24"/>
          <w:szCs w:val="24"/>
        </w:rPr>
        <w:t xml:space="preserve"> Informatičko društvo i mediji na Međuvladinoj konferenciji održanoj 31. marta 2014. u Briselu.</w:t>
      </w:r>
      <w:r>
        <w:rPr>
          <w:sz w:val="24"/>
          <w:szCs w:val="24"/>
        </w:rPr>
        <w:t xml:space="preserve"> U okviru Poglavlja 10 su uključene sljedeće podoblasti: Elektronske komunikacije, Usluge informatičkog društva i Audiovizuelna politika, od čega su Elektronske komunikacije i usluge informatičkog društva tretirane ovom Strategijom.</w:t>
      </w:r>
    </w:p>
    <w:p w14:paraId="4F25B41E" w14:textId="77777777" w:rsidR="005B3072" w:rsidRDefault="00A46913">
      <w:pPr>
        <w:jc w:val="both"/>
        <w:rPr>
          <w:sz w:val="24"/>
          <w:szCs w:val="24"/>
        </w:rPr>
      </w:pPr>
      <w:r>
        <w:rPr>
          <w:sz w:val="24"/>
          <w:szCs w:val="24"/>
        </w:rPr>
        <w:t>Poglavlje 10 donosi brojne benefite za građane i građanke Crne Gore, kako za pružaoce, tako i za korisnike usluga. Koristi od ovog poglavlja se ogledaju u širokom pristupu internetu (težnja je da se svakome, bez obzira na fizičku udaljenost obezbijedi brzi internet pristup), elektronskim komunikacijama (mobilna i fiksna telefonija), velikom broju elektronskih servisa i usluga u cilju efikasnijih i bržih procedura (registracija preduzeća, zakazivanje pregleda, elektronska identifikacija), zaštita maloljetnika od neprikladnih sadržaja, uz obavezno označavanje koji su programi primjereni za koji uzrast, promovisanje nacionalne i evropske kulturne baštine i slično.</w:t>
      </w:r>
    </w:p>
    <w:p w14:paraId="747BD41D" w14:textId="77777777" w:rsidR="005B3072" w:rsidRDefault="00A46913">
      <w:pPr>
        <w:jc w:val="both"/>
        <w:rPr>
          <w:sz w:val="24"/>
          <w:szCs w:val="24"/>
        </w:rPr>
      </w:pPr>
      <w:r>
        <w:rPr>
          <w:sz w:val="24"/>
          <w:szCs w:val="24"/>
        </w:rPr>
        <w:t xml:space="preserve">U godišnjem </w:t>
      </w:r>
      <w:r>
        <w:rPr>
          <w:b/>
          <w:sz w:val="24"/>
          <w:szCs w:val="24"/>
        </w:rPr>
        <w:t>Izvještaju Evropske komisije za Crnu Goru 2021</w:t>
      </w:r>
      <w:r>
        <w:rPr>
          <w:b/>
          <w:sz w:val="24"/>
          <w:szCs w:val="24"/>
          <w:vertAlign w:val="superscript"/>
        </w:rPr>
        <w:footnoteReference w:id="14"/>
      </w:r>
      <w:r>
        <w:rPr>
          <w:sz w:val="24"/>
          <w:szCs w:val="24"/>
        </w:rPr>
        <w:t xml:space="preserve"> konstatovano je da Crna Gora ima isti nivo spremnosti (umjereno spremna) i isti nivo ostvarenog godišnjeg napretka (ograničen napredak) kao u prošlogodišnjem izvještaju za Poglavlje 10. Izvještajem je konstatovan pozitivan trend kada su u pitanju zakonodavne izmjene u dijelu informacione bezbjednosti i aktivnosti u pogledu unapređenja e-usluga.</w:t>
      </w:r>
    </w:p>
    <w:p w14:paraId="4D855372" w14:textId="77777777" w:rsidR="005B3072" w:rsidRDefault="00A46913">
      <w:pPr>
        <w:jc w:val="both"/>
        <w:rPr>
          <w:sz w:val="24"/>
          <w:szCs w:val="24"/>
        </w:rPr>
      </w:pPr>
      <w:r>
        <w:rPr>
          <w:sz w:val="24"/>
          <w:szCs w:val="24"/>
        </w:rPr>
        <w:t xml:space="preserve">Strategija digitalne transformacije Crne Gore 2022 – 2026 prati i ključne ciljeve definisane Programom predpristupne podrške IPA III. </w:t>
      </w:r>
    </w:p>
    <w:p w14:paraId="0EDF2072" w14:textId="77777777" w:rsidR="005B3072" w:rsidRDefault="00A46913">
      <w:pPr>
        <w:pBdr>
          <w:top w:val="nil"/>
          <w:left w:val="nil"/>
          <w:bottom w:val="nil"/>
          <w:right w:val="nil"/>
          <w:between w:val="nil"/>
        </w:pBdr>
        <w:spacing w:line="240" w:lineRule="auto"/>
        <w:jc w:val="both"/>
        <w:rPr>
          <w:color w:val="000000"/>
          <w:sz w:val="24"/>
          <w:szCs w:val="24"/>
        </w:rPr>
      </w:pPr>
      <w:r>
        <w:rPr>
          <w:color w:val="000000"/>
          <w:sz w:val="24"/>
          <w:szCs w:val="24"/>
        </w:rPr>
        <w:t xml:space="preserve">Evropska unija je u svoju pravnu tekovinu i politike inkorporirala </w:t>
      </w:r>
      <w:r>
        <w:rPr>
          <w:b/>
          <w:color w:val="000000"/>
          <w:sz w:val="24"/>
          <w:szCs w:val="24"/>
        </w:rPr>
        <w:t>UN Agendu održivog razvoja 2030</w:t>
      </w:r>
      <w:r>
        <w:rPr>
          <w:b/>
          <w:color w:val="000000"/>
          <w:sz w:val="24"/>
          <w:szCs w:val="24"/>
          <w:vertAlign w:val="superscript"/>
        </w:rPr>
        <w:footnoteReference w:id="15"/>
      </w:r>
      <w:r>
        <w:rPr>
          <w:color w:val="000000"/>
          <w:sz w:val="24"/>
          <w:szCs w:val="24"/>
        </w:rPr>
        <w:t xml:space="preserve"> i jedan je od vodećih međunarodnih subjekata u njenoj implementaciji. U tom kontekstu, Evropska komisija je, u okviru političkih smjernica svog rada za period 2019-2024, definisala šest prioriteta sa ambicijom da evropski kontinent bude prvi kontinent koji je klimatski neutralan, da unaprijedi prosperitet svojih građana i socijalnu pravdu, da osnaži sopstvene građane sa novom generacijom tehnologija, da osigura </w:t>
      </w:r>
      <w:r>
        <w:rPr>
          <w:color w:val="000000"/>
          <w:sz w:val="24"/>
          <w:szCs w:val="24"/>
        </w:rPr>
        <w:lastRenderedPageBreak/>
        <w:t>jednakost na prostoru Unije i unaprijedi demokratski kapacitet evropskih institucija, kao i da kroz globalno liderstvo promoviše ove vrijednosti u svojoj spoljnoj politici.</w:t>
      </w:r>
    </w:p>
    <w:p w14:paraId="20EC7BB3" w14:textId="77777777" w:rsidR="005B3072" w:rsidRDefault="00A46913">
      <w:pPr>
        <w:pBdr>
          <w:top w:val="nil"/>
          <w:left w:val="nil"/>
          <w:bottom w:val="nil"/>
          <w:right w:val="nil"/>
          <w:between w:val="nil"/>
        </w:pBdr>
        <w:spacing w:after="0" w:line="240" w:lineRule="auto"/>
        <w:jc w:val="both"/>
        <w:rPr>
          <w:color w:val="000000"/>
          <w:sz w:val="24"/>
          <w:szCs w:val="24"/>
        </w:rPr>
      </w:pPr>
      <w:r>
        <w:rPr>
          <w:color w:val="000000"/>
          <w:sz w:val="24"/>
          <w:szCs w:val="24"/>
        </w:rPr>
        <w:t>Posmatrajući ovaj sistemski odnos EU prema Agendi održivog razvoja 2030. u kontekstu procesa pristupanja Crne Gore EU, jasno je da postoji snažna sinergija između procesa pristupanja EU i ostvarivanja ciljeva održivog razvoja, te da je harmonizacija zakonodavstva i politika sa EU de facto ispunjavanje zahtjeva Agende za održivi razvoj 2030 i snažan impuls u pravcu dostizanja ciljeva održivog razvoja. Shodno tome, poglavlje 10 Informatičko društvo podpada pod ciljem Industrija, inovacije i infrastruktura. Takođe, od prepoznatih 17 ciljeva u Agendi održivog razvoja za period 2020-2030 godine,</w:t>
      </w:r>
      <w:r>
        <w:rPr>
          <w:b/>
          <w:color w:val="000000"/>
          <w:sz w:val="24"/>
          <w:szCs w:val="24"/>
        </w:rPr>
        <w:t xml:space="preserve"> kroz cilj 9. Industrija, inovacije i infrastrukturu akcenat se stavlja na proces digitalizacije kroz </w:t>
      </w:r>
      <w:r>
        <w:rPr>
          <w:color w:val="000000"/>
          <w:sz w:val="24"/>
          <w:szCs w:val="24"/>
        </w:rPr>
        <w:t>održivo investiranje u infrastrukturu i inovacije kao ključnog pokretača privrednog rasta i razvoja.</w:t>
      </w:r>
    </w:p>
    <w:p w14:paraId="2B52440A" w14:textId="77777777" w:rsidR="005B3072" w:rsidRDefault="005B3072">
      <w:pPr>
        <w:pBdr>
          <w:top w:val="nil"/>
          <w:left w:val="nil"/>
          <w:bottom w:val="nil"/>
          <w:right w:val="nil"/>
          <w:between w:val="nil"/>
        </w:pBdr>
        <w:spacing w:after="0" w:line="240" w:lineRule="auto"/>
        <w:jc w:val="both"/>
        <w:rPr>
          <w:color w:val="000000"/>
          <w:sz w:val="24"/>
          <w:szCs w:val="24"/>
        </w:rPr>
      </w:pPr>
    </w:p>
    <w:p w14:paraId="0E090E73" w14:textId="77777777" w:rsidR="005B3072" w:rsidRDefault="00A46913">
      <w:pPr>
        <w:pStyle w:val="Heading2"/>
        <w:spacing w:before="0" w:after="240"/>
      </w:pPr>
      <w:bookmarkStart w:id="7" w:name="_3dy6vkm" w:colFirst="0" w:colLast="0"/>
      <w:bookmarkEnd w:id="7"/>
      <w:r>
        <w:rPr>
          <w:color w:val="2E75B5"/>
          <w:sz w:val="28"/>
          <w:szCs w:val="28"/>
        </w:rPr>
        <w:t>Pozicioniranje u strateškom okviru Crne Gore</w:t>
      </w:r>
    </w:p>
    <w:p w14:paraId="0C7C0AF3" w14:textId="77777777" w:rsidR="005B3072" w:rsidRDefault="00A46913">
      <w:pPr>
        <w:pBdr>
          <w:top w:val="nil"/>
          <w:left w:val="nil"/>
          <w:bottom w:val="nil"/>
          <w:right w:val="nil"/>
          <w:between w:val="nil"/>
        </w:pBdr>
        <w:spacing w:line="240" w:lineRule="auto"/>
        <w:jc w:val="both"/>
        <w:rPr>
          <w:color w:val="000000"/>
          <w:sz w:val="24"/>
          <w:szCs w:val="24"/>
        </w:rPr>
      </w:pPr>
      <w:r>
        <w:rPr>
          <w:color w:val="000000"/>
          <w:sz w:val="24"/>
          <w:szCs w:val="24"/>
        </w:rPr>
        <w:t xml:space="preserve">Ekspozeom premijera, predstavljenim 2.12.2020. godine postavljen je kamen temeljac za prioritete kojima se utvrđuje vizija razvoja Crne Gore. Ove prioritetne oblasti su okosnica planiranja politika u narednom periodu, a kao jedan od šest prepoznatih ciljeva u okviru ključnih prioriteta Vlade Crne Gore prepoznata je i digitalna transformacija. </w:t>
      </w:r>
      <w:r>
        <w:rPr>
          <w:b/>
          <w:color w:val="000000"/>
          <w:sz w:val="24"/>
          <w:szCs w:val="24"/>
        </w:rPr>
        <w:t>Programom rada Vlade Crne za 2021. godinu</w:t>
      </w:r>
      <w:r>
        <w:rPr>
          <w:b/>
          <w:color w:val="000000"/>
          <w:sz w:val="24"/>
          <w:szCs w:val="24"/>
          <w:vertAlign w:val="superscript"/>
        </w:rPr>
        <w:footnoteReference w:id="16"/>
      </w:r>
      <w:r>
        <w:rPr>
          <w:color w:val="000000"/>
          <w:sz w:val="24"/>
          <w:szCs w:val="24"/>
        </w:rPr>
        <w:t xml:space="preserve"> digitalna transformacija prepoznata je kao jedan od strateških prioriteta koj</w:t>
      </w:r>
      <w:r>
        <w:rPr>
          <w:sz w:val="24"/>
          <w:szCs w:val="24"/>
        </w:rPr>
        <w:t>i</w:t>
      </w:r>
      <w:r>
        <w:rPr>
          <w:color w:val="000000"/>
          <w:sz w:val="24"/>
          <w:szCs w:val="24"/>
        </w:rPr>
        <w:t xml:space="preserve"> predstavlja pokretač inovacija, modernizacije, konkurentnosti i sveobuhvatnog društveno-ekonomskog razvoja. Građani i privreda trebaju biti u centru aktivnosti Vlade, a usluge koje im pružamo optimizovane na način da odgovaraju njihovim potrebama na brz, efikasan i jednostavan način, kroz nove tehnologije i alate.</w:t>
      </w:r>
    </w:p>
    <w:p w14:paraId="0DBCD676" w14:textId="77777777" w:rsidR="005B3072" w:rsidRDefault="00A46913">
      <w:pPr>
        <w:pBdr>
          <w:top w:val="nil"/>
          <w:left w:val="nil"/>
          <w:bottom w:val="nil"/>
          <w:right w:val="nil"/>
          <w:between w:val="nil"/>
        </w:pBdr>
        <w:spacing w:line="240" w:lineRule="auto"/>
        <w:jc w:val="both"/>
        <w:rPr>
          <w:color w:val="000000"/>
          <w:sz w:val="24"/>
          <w:szCs w:val="24"/>
        </w:rPr>
      </w:pPr>
      <w:r>
        <w:rPr>
          <w:b/>
          <w:color w:val="000000"/>
          <w:sz w:val="24"/>
          <w:szCs w:val="24"/>
        </w:rPr>
        <w:t xml:space="preserve">Strategija digitalne transformacije </w:t>
      </w:r>
      <w:r>
        <w:rPr>
          <w:color w:val="000000"/>
          <w:sz w:val="24"/>
          <w:szCs w:val="24"/>
        </w:rPr>
        <w:t>zbog svog obuhvata i multi-sektorske prirode ima značaj i opseg krovnog strateškog dokumenta u sferi digitalizacije čiji se definisani prioriteti detaljno razrađuju u nizu sektorskih dokumenata javne politike.</w:t>
      </w:r>
    </w:p>
    <w:p w14:paraId="207C199A" w14:textId="77777777" w:rsidR="005B3072" w:rsidRDefault="00A46913">
      <w:pPr>
        <w:pBdr>
          <w:top w:val="nil"/>
          <w:left w:val="nil"/>
          <w:bottom w:val="nil"/>
          <w:right w:val="nil"/>
          <w:between w:val="nil"/>
        </w:pBdr>
        <w:spacing w:line="240" w:lineRule="auto"/>
        <w:jc w:val="both"/>
        <w:rPr>
          <w:sz w:val="24"/>
          <w:szCs w:val="24"/>
        </w:rPr>
      </w:pPr>
      <w:r>
        <w:rPr>
          <w:b/>
          <w:sz w:val="24"/>
          <w:szCs w:val="24"/>
        </w:rPr>
        <w:t>Nacionalnom strategijom održivog razvoja u Crnoj Gori 2016-2030</w:t>
      </w:r>
      <w:r>
        <w:rPr>
          <w:b/>
          <w:sz w:val="24"/>
          <w:szCs w:val="24"/>
          <w:vertAlign w:val="superscript"/>
        </w:rPr>
        <w:footnoteReference w:id="17"/>
      </w:r>
      <w:r>
        <w:rPr>
          <w:sz w:val="24"/>
          <w:szCs w:val="24"/>
        </w:rPr>
        <w:t xml:space="preserve"> (NSOR) postavljeni su ambiciozni ciljevi za kvalitetno obrazovanje (SDG 4), inkluzivan i održiv ekonomski rast, punu i produktivnu zaposlenost i dostojanstven rad za sve (SDG 8), mir, pravdu i jake institucije (SDG 16) i partnerstva za postizanje ciljeva (SDG 17). NSOR-om je osigurano postizanje nacionalnih ciljeva, dok su Strategijom digitalne transformacije Crne Gore 2022-2026 ciljevi detaljno razrađeni do nivoa konkretnih aktivnosti za period 2022-2023.</w:t>
      </w:r>
    </w:p>
    <w:p w14:paraId="53EEED47" w14:textId="77777777" w:rsidR="005B3072" w:rsidRDefault="00A46913">
      <w:pPr>
        <w:pBdr>
          <w:top w:val="nil"/>
          <w:left w:val="nil"/>
          <w:bottom w:val="nil"/>
          <w:right w:val="nil"/>
          <w:between w:val="nil"/>
        </w:pBdr>
        <w:spacing w:line="240" w:lineRule="auto"/>
        <w:jc w:val="both"/>
        <w:rPr>
          <w:color w:val="000000"/>
          <w:sz w:val="24"/>
          <w:szCs w:val="24"/>
        </w:rPr>
      </w:pPr>
      <w:r>
        <w:rPr>
          <w:b/>
          <w:color w:val="000000"/>
          <w:sz w:val="24"/>
          <w:szCs w:val="24"/>
        </w:rPr>
        <w:t>Pravci razvoja Crne Gore 2018-2021. godine</w:t>
      </w:r>
      <w:r>
        <w:rPr>
          <w:b/>
          <w:color w:val="000000"/>
          <w:sz w:val="24"/>
          <w:szCs w:val="24"/>
          <w:vertAlign w:val="superscript"/>
        </w:rPr>
        <w:footnoteReference w:id="18"/>
      </w:r>
      <w:r>
        <w:rPr>
          <w:b/>
          <w:color w:val="000000"/>
          <w:sz w:val="24"/>
          <w:szCs w:val="24"/>
        </w:rPr>
        <w:t xml:space="preserve"> </w:t>
      </w:r>
      <w:r>
        <w:rPr>
          <w:color w:val="000000"/>
          <w:sz w:val="24"/>
          <w:szCs w:val="24"/>
        </w:rPr>
        <w:t>kroz oblast informaciono – komunikacione tehnologije prepoznaju značaj dostupnosti elektronskih usluga kroz unapređenje poslovnog ambijenta za korišćenje usluga u svakodnevnom životu i poslovanju, kao i unapređenje elektronske identifikacije i povećanje povjerenja u elektronske transakcije.</w:t>
      </w:r>
    </w:p>
    <w:p w14:paraId="1011AFD0" w14:textId="77777777" w:rsidR="005B3072" w:rsidRDefault="00A46913">
      <w:pPr>
        <w:pBdr>
          <w:top w:val="nil"/>
          <w:left w:val="nil"/>
          <w:bottom w:val="nil"/>
          <w:right w:val="nil"/>
          <w:between w:val="nil"/>
        </w:pBdr>
        <w:spacing w:line="240" w:lineRule="auto"/>
        <w:jc w:val="both"/>
        <w:rPr>
          <w:color w:val="000000"/>
          <w:sz w:val="24"/>
          <w:szCs w:val="24"/>
        </w:rPr>
      </w:pPr>
      <w:r>
        <w:rPr>
          <w:b/>
          <w:color w:val="000000"/>
          <w:sz w:val="24"/>
          <w:szCs w:val="24"/>
        </w:rPr>
        <w:lastRenderedPageBreak/>
        <w:t>Novim Programom ekonomskih reformi za Crnu Goru 2022-2024. godine</w:t>
      </w:r>
      <w:r>
        <w:rPr>
          <w:b/>
          <w:color w:val="000000"/>
          <w:sz w:val="24"/>
          <w:szCs w:val="24"/>
          <w:vertAlign w:val="superscript"/>
        </w:rPr>
        <w:footnoteReference w:id="19"/>
      </w:r>
      <w:r>
        <w:rPr>
          <w:b/>
          <w:color w:val="000000"/>
          <w:sz w:val="24"/>
          <w:szCs w:val="24"/>
        </w:rPr>
        <w:t xml:space="preserve"> (PER) </w:t>
      </w:r>
      <w:r>
        <w:rPr>
          <w:color w:val="000000"/>
          <w:sz w:val="24"/>
          <w:szCs w:val="24"/>
        </w:rPr>
        <w:t>- čija je izrada u toku, uključiće se reformske mjere koje će direktno uticati na procese digitalizacije društva u Crnoj Gori, koji je prepoznat kroz novu oblast Digitalna transformacija. </w:t>
      </w:r>
    </w:p>
    <w:p w14:paraId="11926B13" w14:textId="77777777" w:rsidR="005B3072" w:rsidRDefault="00F348F7">
      <w:pPr>
        <w:pBdr>
          <w:top w:val="nil"/>
          <w:left w:val="nil"/>
          <w:bottom w:val="nil"/>
          <w:right w:val="nil"/>
          <w:between w:val="nil"/>
        </w:pBdr>
        <w:spacing w:line="240" w:lineRule="auto"/>
        <w:jc w:val="both"/>
        <w:rPr>
          <w:color w:val="000000"/>
          <w:sz w:val="24"/>
          <w:szCs w:val="24"/>
        </w:rPr>
      </w:pPr>
      <w:hyperlink r:id="rId18">
        <w:r w:rsidR="00A46913">
          <w:rPr>
            <w:b/>
            <w:color w:val="000000"/>
            <w:sz w:val="24"/>
            <w:szCs w:val="24"/>
          </w:rPr>
          <w:t>Industrijska politika Crne Gore do 2019-2023</w:t>
        </w:r>
      </w:hyperlink>
      <w:r w:rsidR="00A46913">
        <w:rPr>
          <w:b/>
          <w:color w:val="000000"/>
          <w:sz w:val="24"/>
          <w:szCs w:val="24"/>
        </w:rPr>
        <w:t>. godine</w:t>
      </w:r>
      <w:r w:rsidR="00A46913">
        <w:rPr>
          <w:b/>
          <w:color w:val="000000"/>
          <w:sz w:val="24"/>
          <w:szCs w:val="24"/>
          <w:vertAlign w:val="superscript"/>
        </w:rPr>
        <w:footnoteReference w:id="20"/>
      </w:r>
      <w:r w:rsidR="00A46913">
        <w:rPr>
          <w:b/>
          <w:color w:val="000000"/>
          <w:sz w:val="24"/>
          <w:szCs w:val="24"/>
        </w:rPr>
        <w:t xml:space="preserve"> </w:t>
      </w:r>
      <w:r w:rsidR="00A46913">
        <w:rPr>
          <w:color w:val="000000"/>
          <w:sz w:val="24"/>
          <w:szCs w:val="24"/>
        </w:rPr>
        <w:t>- definiše priori</w:t>
      </w:r>
      <w:r w:rsidR="00A46913">
        <w:rPr>
          <w:b/>
          <w:sz w:val="24"/>
          <w:szCs w:val="24"/>
        </w:rPr>
        <w:t xml:space="preserve">tete digitalizacije </w:t>
      </w:r>
      <w:r w:rsidR="00A46913">
        <w:rPr>
          <w:color w:val="000000"/>
          <w:sz w:val="24"/>
          <w:szCs w:val="24"/>
        </w:rPr>
        <w:t>kroz Strateški cilj 3</w:t>
      </w:r>
      <w:r w:rsidR="00A46913">
        <w:rPr>
          <w:sz w:val="24"/>
          <w:szCs w:val="24"/>
        </w:rPr>
        <w:t xml:space="preserve"> (odsticati inovacije, transfer tehnologije i razvoj preduzetništva kroz </w:t>
      </w:r>
      <w:r w:rsidR="00A46913">
        <w:rPr>
          <w:color w:val="000000"/>
          <w:sz w:val="24"/>
          <w:szCs w:val="24"/>
        </w:rPr>
        <w:t>unaprijeđen</w:t>
      </w:r>
      <w:r w:rsidR="00A46913">
        <w:rPr>
          <w:sz w:val="24"/>
          <w:szCs w:val="24"/>
        </w:rPr>
        <w:t>u</w:t>
      </w:r>
      <w:r w:rsidR="00A46913">
        <w:rPr>
          <w:color w:val="000000"/>
          <w:sz w:val="24"/>
          <w:szCs w:val="24"/>
        </w:rPr>
        <w:t xml:space="preserve"> infrastruktur</w:t>
      </w:r>
      <w:r w:rsidR="00A46913">
        <w:rPr>
          <w:sz w:val="24"/>
          <w:szCs w:val="24"/>
        </w:rPr>
        <w:t>u</w:t>
      </w:r>
      <w:r w:rsidR="00A46913">
        <w:rPr>
          <w:color w:val="000000"/>
          <w:sz w:val="24"/>
          <w:szCs w:val="24"/>
        </w:rPr>
        <w:t xml:space="preserve"> za inovacije i saradnj</w:t>
      </w:r>
      <w:r w:rsidR="00A46913">
        <w:rPr>
          <w:sz w:val="24"/>
          <w:szCs w:val="24"/>
        </w:rPr>
        <w:t>u</w:t>
      </w:r>
      <w:r w:rsidR="00A46913">
        <w:rPr>
          <w:color w:val="000000"/>
          <w:sz w:val="24"/>
          <w:szCs w:val="24"/>
        </w:rPr>
        <w:t xml:space="preserve"> naučnoistraživačkih institucija i preduzeća, ojačan</w:t>
      </w:r>
      <w:r w:rsidR="00A46913">
        <w:rPr>
          <w:sz w:val="24"/>
          <w:szCs w:val="24"/>
        </w:rPr>
        <w:t xml:space="preserve">e </w:t>
      </w:r>
      <w:r w:rsidR="00A46913">
        <w:rPr>
          <w:color w:val="000000"/>
          <w:sz w:val="24"/>
          <w:szCs w:val="24"/>
        </w:rPr>
        <w:t>administrativn</w:t>
      </w:r>
      <w:r w:rsidR="00A46913">
        <w:rPr>
          <w:sz w:val="24"/>
          <w:szCs w:val="24"/>
        </w:rPr>
        <w:t>e</w:t>
      </w:r>
      <w:r w:rsidR="00A46913">
        <w:rPr>
          <w:color w:val="000000"/>
          <w:sz w:val="24"/>
          <w:szCs w:val="24"/>
        </w:rPr>
        <w:t xml:space="preserve"> kapacitet</w:t>
      </w:r>
      <w:r w:rsidR="00A46913">
        <w:rPr>
          <w:sz w:val="24"/>
          <w:szCs w:val="24"/>
        </w:rPr>
        <w:t>e</w:t>
      </w:r>
      <w:r w:rsidR="00A46913">
        <w:rPr>
          <w:color w:val="000000"/>
          <w:sz w:val="24"/>
          <w:szCs w:val="24"/>
        </w:rPr>
        <w:t xml:space="preserve"> za pristup EU fondovima, razvoj institucionalne infrastrukture i usluga podrške za razvoj preduzetništva, razvoj zelene ekonomije, podrška diverzifikaciji ponude industrijskog sektora i dinamičn</w:t>
      </w:r>
      <w:r w:rsidR="00A46913">
        <w:rPr>
          <w:sz w:val="24"/>
          <w:szCs w:val="24"/>
        </w:rPr>
        <w:t>e</w:t>
      </w:r>
      <w:r w:rsidR="00A46913">
        <w:rPr>
          <w:color w:val="000000"/>
          <w:sz w:val="24"/>
          <w:szCs w:val="24"/>
        </w:rPr>
        <w:t xml:space="preserve"> digitalizacij</w:t>
      </w:r>
      <w:r w:rsidR="00A46913">
        <w:rPr>
          <w:sz w:val="24"/>
          <w:szCs w:val="24"/>
        </w:rPr>
        <w:t>e</w:t>
      </w:r>
      <w:r w:rsidR="00A46913">
        <w:rPr>
          <w:color w:val="000000"/>
          <w:sz w:val="24"/>
          <w:szCs w:val="24"/>
        </w:rPr>
        <w:t xml:space="preserve"> društva i privrede) kao i kroz Operativni cilj 3.7. (</w:t>
      </w:r>
      <w:r w:rsidR="00A46913">
        <w:rPr>
          <w:sz w:val="24"/>
          <w:szCs w:val="24"/>
        </w:rPr>
        <w:t>p</w:t>
      </w:r>
      <w:r w:rsidR="00A46913">
        <w:rPr>
          <w:color w:val="000000"/>
          <w:sz w:val="24"/>
          <w:szCs w:val="24"/>
        </w:rPr>
        <w:t>odsticanje digitalne transformacije preduzeća kroz digitalizaciju procesa potrebno je uspostaviti nove poslovne modele preduzeća koji dovode do novih ponuda proizvoda i usluga, kao i novih oblika odnosa s klijentima i zaposlenima). Aktivnosti u okviru ovog operativnog cilja obuhvataju specifične različite mjere i aktivnosti digitalizacije crnogorskih preduzeća sa fokusom na preduzeća industrijskih sektora u segmentu savjetodavne podrške za unapređenje biznisa primjenom digitalne transformacije, organizaciju različitih događaja u cilju podrške start</w:t>
      </w:r>
      <w:r w:rsidR="00A46913">
        <w:rPr>
          <w:sz w:val="24"/>
          <w:szCs w:val="24"/>
        </w:rPr>
        <w:t>a</w:t>
      </w:r>
      <w:r w:rsidR="00A46913">
        <w:rPr>
          <w:color w:val="000000"/>
          <w:sz w:val="24"/>
          <w:szCs w:val="24"/>
        </w:rPr>
        <w:t>p biznisima u pravcu digitalizacije, pripremu različitih analitičkih i strateških dokumenata u oblasti digitalizacije crnogorske privrede i ostale povezane aktivnosti. </w:t>
      </w:r>
    </w:p>
    <w:p w14:paraId="39226755" w14:textId="77777777" w:rsidR="005B3072" w:rsidRDefault="00A46913">
      <w:pPr>
        <w:pBdr>
          <w:top w:val="nil"/>
          <w:left w:val="nil"/>
          <w:bottom w:val="nil"/>
          <w:right w:val="nil"/>
          <w:between w:val="nil"/>
        </w:pBdr>
        <w:spacing w:line="240" w:lineRule="auto"/>
        <w:jc w:val="both"/>
        <w:rPr>
          <w:color w:val="000000"/>
          <w:sz w:val="24"/>
          <w:szCs w:val="24"/>
        </w:rPr>
      </w:pPr>
      <w:r>
        <w:rPr>
          <w:b/>
          <w:color w:val="000000"/>
          <w:sz w:val="24"/>
          <w:szCs w:val="24"/>
        </w:rPr>
        <w:t>Strategij</w:t>
      </w:r>
      <w:r>
        <w:rPr>
          <w:b/>
          <w:sz w:val="24"/>
          <w:szCs w:val="24"/>
        </w:rPr>
        <w:t>om</w:t>
      </w:r>
      <w:r>
        <w:rPr>
          <w:b/>
          <w:color w:val="000000"/>
          <w:sz w:val="24"/>
          <w:szCs w:val="24"/>
        </w:rPr>
        <w:t xml:space="preserve"> pametne specijalizacije 2019 - 2024. godine</w:t>
      </w:r>
      <w:r>
        <w:rPr>
          <w:b/>
          <w:color w:val="000000"/>
          <w:sz w:val="24"/>
          <w:szCs w:val="24"/>
          <w:vertAlign w:val="superscript"/>
        </w:rPr>
        <w:footnoteReference w:id="21"/>
      </w:r>
      <w:r>
        <w:rPr>
          <w:color w:val="000000"/>
          <w:sz w:val="24"/>
          <w:szCs w:val="24"/>
        </w:rPr>
        <w:t xml:space="preserve"> prepoznata je prioritetna oblast: Informaciono komunikacione tehnologije, Program Digitalna transformacija. Program ima za cilj reorganizaciju i unapređenje poslovnih procesa u prioritetnim oblastima pametne specijalizacije i javnoj upravi posredstvom digitalnih tehnologija. </w:t>
      </w:r>
    </w:p>
    <w:p w14:paraId="77E300E4" w14:textId="77777777" w:rsidR="005B3072" w:rsidRDefault="00F348F7">
      <w:pPr>
        <w:pBdr>
          <w:top w:val="nil"/>
          <w:left w:val="nil"/>
          <w:bottom w:val="nil"/>
          <w:right w:val="nil"/>
          <w:between w:val="nil"/>
        </w:pBdr>
        <w:spacing w:line="240" w:lineRule="auto"/>
        <w:jc w:val="both"/>
        <w:rPr>
          <w:color w:val="000000"/>
          <w:sz w:val="24"/>
          <w:szCs w:val="24"/>
        </w:rPr>
      </w:pPr>
      <w:hyperlink r:id="rId19">
        <w:r w:rsidR="00A46913">
          <w:rPr>
            <w:b/>
            <w:color w:val="000000"/>
            <w:sz w:val="24"/>
            <w:szCs w:val="24"/>
          </w:rPr>
          <w:t>Strategija razvoja mikro, malih i srednjih preduzeća u Crnoj Gori 2018 - 2022</w:t>
        </w:r>
      </w:hyperlink>
      <w:r w:rsidR="00A46913">
        <w:rPr>
          <w:b/>
          <w:color w:val="000000"/>
          <w:sz w:val="24"/>
          <w:szCs w:val="24"/>
        </w:rPr>
        <w:t>. godine</w:t>
      </w:r>
      <w:r w:rsidR="00A46913">
        <w:rPr>
          <w:b/>
          <w:color w:val="000000"/>
          <w:sz w:val="24"/>
          <w:szCs w:val="24"/>
          <w:vertAlign w:val="superscript"/>
        </w:rPr>
        <w:footnoteReference w:id="22"/>
      </w:r>
      <w:r w:rsidR="00A46913">
        <w:rPr>
          <w:color w:val="000000"/>
          <w:sz w:val="24"/>
          <w:szCs w:val="24"/>
        </w:rPr>
        <w:t xml:space="preserve"> kroz jedan od ključnih prioriteta u razvoju preduzetništva i podizanja konkurentnosti MSP u Crnoj Gori prepoznaje potrebu za digitalnom transformacijom biznisa. U okviru strateškog cilja jačanje konkurentnosti MMSP prepoznat je operativni cilj Digitalna transformacija biznisa.  </w:t>
      </w:r>
    </w:p>
    <w:p w14:paraId="5AA622F0" w14:textId="77777777" w:rsidR="005B3072" w:rsidRDefault="00A46913">
      <w:pPr>
        <w:pBdr>
          <w:top w:val="nil"/>
          <w:left w:val="nil"/>
          <w:bottom w:val="nil"/>
          <w:right w:val="nil"/>
          <w:between w:val="nil"/>
        </w:pBdr>
        <w:spacing w:after="120" w:line="240" w:lineRule="auto"/>
        <w:jc w:val="both"/>
        <w:rPr>
          <w:color w:val="000000"/>
          <w:sz w:val="24"/>
          <w:szCs w:val="24"/>
        </w:rPr>
      </w:pPr>
      <w:r>
        <w:rPr>
          <w:b/>
          <w:color w:val="000000"/>
          <w:sz w:val="24"/>
          <w:szCs w:val="24"/>
        </w:rPr>
        <w:t xml:space="preserve">Strategija za digitalizaciju obrazovnog sistema 2022 - 2027. godine </w:t>
      </w:r>
      <w:r>
        <w:rPr>
          <w:color w:val="000000"/>
          <w:sz w:val="24"/>
          <w:szCs w:val="24"/>
        </w:rPr>
        <w:t>obuhvata sve nivoe obrazovanja osim tercijalnog i neformalnog obrazovanja koje je obuhvaćeno Strategijom za digitalnu transformaciju Crne Gore 2022-2026. </w:t>
      </w:r>
    </w:p>
    <w:p w14:paraId="3297319F" w14:textId="77777777" w:rsidR="005B3072" w:rsidRDefault="00A46913">
      <w:pPr>
        <w:pBdr>
          <w:top w:val="nil"/>
          <w:left w:val="nil"/>
          <w:bottom w:val="nil"/>
          <w:right w:val="nil"/>
          <w:between w:val="nil"/>
        </w:pBdr>
        <w:spacing w:line="240" w:lineRule="auto"/>
        <w:jc w:val="both"/>
        <w:rPr>
          <w:color w:val="000000"/>
          <w:sz w:val="24"/>
          <w:szCs w:val="24"/>
        </w:rPr>
      </w:pPr>
      <w:r>
        <w:rPr>
          <w:b/>
          <w:color w:val="000000"/>
          <w:sz w:val="24"/>
          <w:szCs w:val="24"/>
        </w:rPr>
        <w:t>Strategija reforme javne uprave 2022</w:t>
      </w:r>
      <w:r>
        <w:rPr>
          <w:b/>
          <w:sz w:val="24"/>
          <w:szCs w:val="24"/>
        </w:rPr>
        <w:t xml:space="preserve"> </w:t>
      </w:r>
      <w:hyperlink r:id="rId20">
        <w:r>
          <w:rPr>
            <w:b/>
            <w:sz w:val="24"/>
            <w:szCs w:val="24"/>
          </w:rPr>
          <w:t>-</w:t>
        </w:r>
      </w:hyperlink>
      <w:r>
        <w:rPr>
          <w:b/>
          <w:sz w:val="24"/>
          <w:szCs w:val="24"/>
        </w:rPr>
        <w:t xml:space="preserve"> </w:t>
      </w:r>
      <w:r>
        <w:rPr>
          <w:b/>
          <w:color w:val="000000"/>
          <w:sz w:val="24"/>
          <w:szCs w:val="24"/>
        </w:rPr>
        <w:t>2026. godine</w:t>
      </w:r>
      <w:r>
        <w:rPr>
          <w:color w:val="000000"/>
          <w:sz w:val="24"/>
          <w:szCs w:val="24"/>
        </w:rPr>
        <w:t xml:space="preserve"> - u toku je izrada ovog strateškog dokumenta u kojem će kroz </w:t>
      </w:r>
      <w:r>
        <w:rPr>
          <w:sz w:val="24"/>
          <w:szCs w:val="24"/>
        </w:rPr>
        <w:t>s</w:t>
      </w:r>
      <w:r>
        <w:rPr>
          <w:color w:val="000000"/>
          <w:sz w:val="24"/>
          <w:szCs w:val="24"/>
        </w:rPr>
        <w:t>trateški cilj 1. (Organizacija i rad javne uprave u funkciji potreba građana) i strateški cilj 2 (Građani i privreda koriste kvalitetne usluge javne uprave) biti prepoznata administracija bez papira, puna interoperabilnost informacionih sistema i povećanje broja elektronskih usluga na visokom nivou sofisticiranosti kao i uvođenje centralnog monitoring sistema za pružanje usluga.</w:t>
      </w:r>
    </w:p>
    <w:p w14:paraId="6D5771D5" w14:textId="77777777" w:rsidR="005B3072" w:rsidRDefault="00F348F7">
      <w:pPr>
        <w:jc w:val="both"/>
        <w:rPr>
          <w:color w:val="70AD47"/>
          <w:sz w:val="24"/>
          <w:szCs w:val="24"/>
        </w:rPr>
      </w:pPr>
      <w:hyperlink r:id="rId21">
        <w:r w:rsidR="00A46913">
          <w:rPr>
            <w:b/>
            <w:color w:val="000000"/>
            <w:sz w:val="24"/>
            <w:szCs w:val="24"/>
          </w:rPr>
          <w:t>Strategija sajber bezbjednosti Crne Gore 2022 - 202</w:t>
        </w:r>
      </w:hyperlink>
      <w:r w:rsidR="00A46913">
        <w:rPr>
          <w:b/>
          <w:color w:val="000000"/>
          <w:sz w:val="24"/>
          <w:szCs w:val="24"/>
        </w:rPr>
        <w:t xml:space="preserve">6. godine </w:t>
      </w:r>
      <w:r w:rsidR="00A46913">
        <w:rPr>
          <w:color w:val="000000"/>
          <w:sz w:val="24"/>
          <w:szCs w:val="24"/>
        </w:rPr>
        <w:t>koja obuhvata, pored ostalog, aktivnosti vezane za usklađivanje zakonodavnog okvira sa Opštom uredbom Evropske unije o zaštiti podataka o ličnosti (GDPR) kao i uspostavljanju sistema zaštite kritične informatičke infrastrukture.</w:t>
      </w:r>
    </w:p>
    <w:p w14:paraId="4EB6E6BF" w14:textId="77777777" w:rsidR="005B3072" w:rsidRDefault="00A46913">
      <w:pPr>
        <w:rPr>
          <w:b/>
          <w:color w:val="1F3864"/>
          <w:sz w:val="28"/>
          <w:szCs w:val="28"/>
        </w:rPr>
      </w:pPr>
      <w:r>
        <w:br w:type="page"/>
      </w:r>
      <w:r>
        <w:rPr>
          <w:b/>
          <w:sz w:val="28"/>
          <w:szCs w:val="28"/>
        </w:rPr>
        <w:lastRenderedPageBreak/>
        <w:t>II</w:t>
      </w:r>
      <w:r>
        <w:rPr>
          <w:b/>
          <w:sz w:val="28"/>
          <w:szCs w:val="28"/>
        </w:rPr>
        <w:tab/>
        <w:t>ANALIZA STANJA</w:t>
      </w:r>
    </w:p>
    <w:p w14:paraId="59BF1CA7" w14:textId="77777777" w:rsidR="005B3072" w:rsidRDefault="005B3072"/>
    <w:p w14:paraId="13BB28C2"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Analiza postojećeg digitalnog ekosistema Crne Gore je dokument koji postavlja smjernice za pripremu strateških i operativnih ciljeva za Strategiju digitalne transformacije Crne Gore 2022-2026 (u daljem tekstu Strategija).</w:t>
      </w:r>
    </w:p>
    <w:p w14:paraId="0E175825" w14:textId="77777777" w:rsidR="005B3072" w:rsidRDefault="00A46913">
      <w:pPr>
        <w:spacing w:before="240" w:after="240"/>
        <w:jc w:val="both"/>
        <w:rPr>
          <w:sz w:val="24"/>
          <w:szCs w:val="24"/>
        </w:rPr>
      </w:pPr>
      <w:r>
        <w:rPr>
          <w:sz w:val="24"/>
          <w:szCs w:val="24"/>
        </w:rPr>
        <w:t xml:space="preserve">Analiza stanja pripremljena je na osnovu podataka i informacija baziranih na zvaničnim dokumentima i postojećim relevantnim analizama, podacima dobijenim iz intervjua koji su sprovedeni sa različitim vladinim, privrednim, nevladinim (NVO) i akademskim organizacijama, kao i predstavnicima Operativne grupe za izradu Strategije digitalne transformacije Crne Gore 2022-2026, a koji su aktivno učestvovali sa svojim idejama, sugestijama i analizama prilikom izrade ovog dokumenta. </w:t>
      </w:r>
    </w:p>
    <w:p w14:paraId="309D49B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Kroz dokument je predstavljen sveobuhvatan pregled trenutne situacije u različitim tehničkim, organizacionim, zakonskim, društvenim i ostalim aspektima digitalne transformacije, kao i glavni izazovi kojima će se baviti Strategija digitalne transformacije. Svi argumenti i nalazi koji su ovdje predstavljeni podržani su konkretnim podacima i informacijama u pojedinačnim segmentima (organizacija i koordinacija; e-</w:t>
      </w:r>
      <w:r>
        <w:rPr>
          <w:sz w:val="24"/>
          <w:szCs w:val="24"/>
        </w:rPr>
        <w:t>usluge</w:t>
      </w:r>
      <w:r>
        <w:rPr>
          <w:color w:val="000000"/>
          <w:sz w:val="24"/>
          <w:szCs w:val="24"/>
        </w:rPr>
        <w:t xml:space="preserve"> i dizajn e-</w:t>
      </w:r>
      <w:r>
        <w:rPr>
          <w:sz w:val="24"/>
          <w:szCs w:val="24"/>
        </w:rPr>
        <w:t>usluga</w:t>
      </w:r>
      <w:r>
        <w:rPr>
          <w:color w:val="000000"/>
          <w:sz w:val="24"/>
          <w:szCs w:val="24"/>
        </w:rPr>
        <w:t>; eID, povjerenje i sajber bezbjednost; dostupnost podataka i interoperabilnost, pristupačnost i (kritična) infrastruktura; vještine i obrazovanje; IKT industrija, digitalna spremnost crnogorskog društva). Dodatno, SWOT analiza objedinjava glavne izazove koji su prepoznati Strategijom.</w:t>
      </w:r>
    </w:p>
    <w:p w14:paraId="1D222696" w14:textId="77777777" w:rsidR="005B3072" w:rsidRDefault="00A46913">
      <w:pPr>
        <w:pStyle w:val="Heading2"/>
        <w:spacing w:after="240"/>
        <w:rPr>
          <w:b/>
          <w:color w:val="0070C0"/>
          <w:sz w:val="28"/>
          <w:szCs w:val="28"/>
        </w:rPr>
      </w:pPr>
      <w:bookmarkStart w:id="8" w:name="_1t3h5sf" w:colFirst="0" w:colLast="0"/>
      <w:bookmarkEnd w:id="8"/>
      <w:r>
        <w:rPr>
          <w:b/>
          <w:color w:val="0070C0"/>
          <w:sz w:val="26"/>
          <w:szCs w:val="26"/>
        </w:rPr>
        <w:t>Metodološki okvir i radni tok</w:t>
      </w:r>
    </w:p>
    <w:p w14:paraId="422EFCF1"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Strategija digitalne transformacije je horizontalna i višefunkcionalna i odnosi se na sve djelove crnogorskog društva – državnu upravu, lokalnu upravu i širi javni sektor, privredu, akademsku zajednicu, naučnu zajednicu, NVO i civilno društvo.</w:t>
      </w:r>
    </w:p>
    <w:p w14:paraId="1FAA891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Zbog njene sveobuhvatnosti, a sa ciljem osiguranja optimalnog odnosa između potrebnih resursa i postignutog napretka, neophodno je:</w:t>
      </w:r>
    </w:p>
    <w:p w14:paraId="6C59DB2B" w14:textId="77777777" w:rsidR="005B3072" w:rsidRDefault="00A46913">
      <w:pPr>
        <w:numPr>
          <w:ilvl w:val="0"/>
          <w:numId w:val="10"/>
        </w:numPr>
        <w:spacing w:before="240" w:after="0" w:line="276" w:lineRule="auto"/>
        <w:jc w:val="both"/>
        <w:rPr>
          <w:sz w:val="24"/>
          <w:szCs w:val="24"/>
        </w:rPr>
      </w:pPr>
      <w:r>
        <w:rPr>
          <w:i/>
          <w:sz w:val="24"/>
          <w:szCs w:val="24"/>
        </w:rPr>
        <w:t>primijeniti holistički pristup</w:t>
      </w:r>
      <w:r>
        <w:rPr>
          <w:sz w:val="24"/>
          <w:szCs w:val="24"/>
        </w:rPr>
        <w:t xml:space="preserve"> sa sveobuhvatnim pregledom svih najvažnijih postojećih strategija, različitih relevantnih dokumenata (analiza, procjena, intervjua, izvještaja sa javnih konsultacija, evaluacija itd.), propisa, informacija i podataka;</w:t>
      </w:r>
    </w:p>
    <w:p w14:paraId="4E39FA14" w14:textId="77777777" w:rsidR="005B3072" w:rsidRDefault="00A46913">
      <w:pPr>
        <w:numPr>
          <w:ilvl w:val="0"/>
          <w:numId w:val="10"/>
        </w:numPr>
        <w:spacing w:after="0" w:line="276" w:lineRule="auto"/>
        <w:jc w:val="both"/>
        <w:rPr>
          <w:sz w:val="24"/>
          <w:szCs w:val="24"/>
        </w:rPr>
      </w:pPr>
      <w:r>
        <w:rPr>
          <w:i/>
          <w:sz w:val="24"/>
          <w:szCs w:val="24"/>
        </w:rPr>
        <w:t>efikasno prepoznati</w:t>
      </w:r>
      <w:r>
        <w:rPr>
          <w:sz w:val="24"/>
          <w:szCs w:val="24"/>
        </w:rPr>
        <w:t xml:space="preserve"> najvažnije izazove kojima će se baviti strategija uz neophodnu usklađenost i integraciju sa crnogorskim strateškim ekosistemom i prioritetima Vlade Crne Gore;</w:t>
      </w:r>
    </w:p>
    <w:p w14:paraId="213BBC0A" w14:textId="77777777" w:rsidR="005B3072" w:rsidRDefault="00A46913">
      <w:pPr>
        <w:numPr>
          <w:ilvl w:val="0"/>
          <w:numId w:val="10"/>
        </w:numPr>
        <w:spacing w:after="240" w:line="276" w:lineRule="auto"/>
        <w:jc w:val="both"/>
        <w:rPr>
          <w:sz w:val="24"/>
          <w:szCs w:val="24"/>
        </w:rPr>
      </w:pPr>
      <w:r>
        <w:rPr>
          <w:i/>
          <w:sz w:val="24"/>
          <w:szCs w:val="24"/>
        </w:rPr>
        <w:t>identifikovati</w:t>
      </w:r>
      <w:r>
        <w:rPr>
          <w:sz w:val="24"/>
          <w:szCs w:val="24"/>
        </w:rPr>
        <w:t xml:space="preserve"> ključne aktere i donosioce odluka za uspješnu digitalnu transformaciju.</w:t>
      </w:r>
    </w:p>
    <w:p w14:paraId="0BA99F42"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Analiza stanja pripremljena je u cilju identifikovanja i definisanja strateških i operativnih ciljeva, uz razvoj mjera za njihovu realizaciju, shodno </w:t>
      </w:r>
      <w:r>
        <w:rPr>
          <w:i/>
          <w:color w:val="000000"/>
          <w:sz w:val="24"/>
          <w:szCs w:val="24"/>
        </w:rPr>
        <w:t>Metodologiji razvijanja politika, izrade i praćenja sprovođenja strateških dokumenata</w:t>
      </w:r>
      <w:r>
        <w:rPr>
          <w:color w:val="000000"/>
          <w:sz w:val="24"/>
          <w:szCs w:val="24"/>
        </w:rPr>
        <w:t xml:space="preserve">. </w:t>
      </w:r>
    </w:p>
    <w:p w14:paraId="054F4F5E" w14:textId="77777777" w:rsidR="005B3072" w:rsidRDefault="00A46913">
      <w:pPr>
        <w:spacing w:before="240" w:after="240"/>
        <w:jc w:val="both"/>
        <w:rPr>
          <w:sz w:val="24"/>
          <w:szCs w:val="24"/>
        </w:rPr>
      </w:pPr>
      <w:r>
        <w:rPr>
          <w:sz w:val="24"/>
          <w:szCs w:val="24"/>
        </w:rPr>
        <w:lastRenderedPageBreak/>
        <w:t>Analizom su prepoznate ključne cjeline u okviru sljedećih poglavlja:</w:t>
      </w:r>
    </w:p>
    <w:p w14:paraId="4EA478F4" w14:textId="77777777" w:rsidR="005B3072" w:rsidRDefault="00A46913">
      <w:pPr>
        <w:numPr>
          <w:ilvl w:val="0"/>
          <w:numId w:val="34"/>
        </w:numPr>
        <w:pBdr>
          <w:top w:val="nil"/>
          <w:left w:val="nil"/>
          <w:bottom w:val="nil"/>
          <w:right w:val="nil"/>
          <w:between w:val="nil"/>
        </w:pBdr>
        <w:spacing w:before="240" w:after="0" w:line="276" w:lineRule="auto"/>
        <w:jc w:val="both"/>
        <w:rPr>
          <w:color w:val="000000"/>
          <w:sz w:val="24"/>
          <w:szCs w:val="24"/>
        </w:rPr>
      </w:pPr>
      <w:r>
        <w:rPr>
          <w:color w:val="000000"/>
          <w:sz w:val="24"/>
          <w:szCs w:val="24"/>
        </w:rPr>
        <w:t>Organizacija i koordinacija</w:t>
      </w:r>
    </w:p>
    <w:p w14:paraId="16C0FE23" w14:textId="77777777" w:rsidR="005B3072" w:rsidRDefault="00A46913">
      <w:pPr>
        <w:numPr>
          <w:ilvl w:val="0"/>
          <w:numId w:val="3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eUsluge i dizajn usluga </w:t>
      </w:r>
    </w:p>
    <w:p w14:paraId="04E241DC" w14:textId="77777777" w:rsidR="005B3072" w:rsidRDefault="00A46913">
      <w:pPr>
        <w:numPr>
          <w:ilvl w:val="0"/>
          <w:numId w:val="34"/>
        </w:numPr>
        <w:pBdr>
          <w:top w:val="nil"/>
          <w:left w:val="nil"/>
          <w:bottom w:val="nil"/>
          <w:right w:val="nil"/>
          <w:between w:val="nil"/>
        </w:pBdr>
        <w:spacing w:after="0" w:line="276" w:lineRule="auto"/>
        <w:jc w:val="both"/>
        <w:rPr>
          <w:color w:val="000000"/>
          <w:sz w:val="24"/>
          <w:szCs w:val="24"/>
        </w:rPr>
      </w:pPr>
      <w:r>
        <w:rPr>
          <w:color w:val="000000"/>
          <w:sz w:val="24"/>
          <w:szCs w:val="24"/>
        </w:rPr>
        <w:t>eIdentifikacija, elektronske usluge povjerenja i sajber bezbjednost</w:t>
      </w:r>
    </w:p>
    <w:p w14:paraId="770550C9" w14:textId="77777777" w:rsidR="005B3072" w:rsidRDefault="00A46913">
      <w:pPr>
        <w:numPr>
          <w:ilvl w:val="0"/>
          <w:numId w:val="34"/>
        </w:numPr>
        <w:pBdr>
          <w:top w:val="nil"/>
          <w:left w:val="nil"/>
          <w:bottom w:val="nil"/>
          <w:right w:val="nil"/>
          <w:between w:val="nil"/>
        </w:pBdr>
        <w:spacing w:after="0" w:line="276" w:lineRule="auto"/>
        <w:jc w:val="both"/>
        <w:rPr>
          <w:color w:val="000000"/>
          <w:sz w:val="24"/>
          <w:szCs w:val="24"/>
        </w:rPr>
      </w:pPr>
      <w:r>
        <w:rPr>
          <w:sz w:val="24"/>
          <w:szCs w:val="24"/>
        </w:rPr>
        <w:t>Dostupnost, interoperabilnost i upravljanje podacima</w:t>
      </w:r>
    </w:p>
    <w:p w14:paraId="21F9343F" w14:textId="77777777" w:rsidR="005B3072" w:rsidRDefault="00A46913">
      <w:pPr>
        <w:numPr>
          <w:ilvl w:val="0"/>
          <w:numId w:val="3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Digitalna povezanost </w:t>
      </w:r>
    </w:p>
    <w:p w14:paraId="705606DC" w14:textId="77777777" w:rsidR="005B3072" w:rsidRDefault="00A46913">
      <w:pPr>
        <w:numPr>
          <w:ilvl w:val="0"/>
          <w:numId w:val="34"/>
        </w:numPr>
        <w:pBdr>
          <w:top w:val="nil"/>
          <w:left w:val="nil"/>
          <w:bottom w:val="nil"/>
          <w:right w:val="nil"/>
          <w:between w:val="nil"/>
        </w:pBdr>
        <w:spacing w:after="0" w:line="276" w:lineRule="auto"/>
        <w:jc w:val="both"/>
        <w:rPr>
          <w:color w:val="000000"/>
          <w:sz w:val="24"/>
          <w:szCs w:val="24"/>
        </w:rPr>
      </w:pPr>
      <w:r>
        <w:rPr>
          <w:color w:val="000000"/>
          <w:sz w:val="24"/>
          <w:szCs w:val="24"/>
        </w:rPr>
        <w:t>Vještine i edukacija</w:t>
      </w:r>
    </w:p>
    <w:p w14:paraId="2F522C0B" w14:textId="77777777" w:rsidR="005B3072" w:rsidRDefault="00A46913">
      <w:pPr>
        <w:numPr>
          <w:ilvl w:val="0"/>
          <w:numId w:val="3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IKT industrija </w:t>
      </w:r>
    </w:p>
    <w:p w14:paraId="7E70813A" w14:textId="77777777" w:rsidR="005B3072" w:rsidRDefault="005B3072">
      <w:pPr>
        <w:pBdr>
          <w:top w:val="nil"/>
          <w:left w:val="nil"/>
          <w:bottom w:val="nil"/>
          <w:right w:val="nil"/>
          <w:between w:val="nil"/>
        </w:pBdr>
        <w:ind w:left="780"/>
        <w:jc w:val="both"/>
        <w:rPr>
          <w:color w:val="000000"/>
          <w:sz w:val="24"/>
          <w:szCs w:val="24"/>
        </w:rPr>
      </w:pPr>
    </w:p>
    <w:p w14:paraId="3D1A891A" w14:textId="77777777" w:rsidR="005B3072" w:rsidRDefault="00A46913">
      <w:pPr>
        <w:pStyle w:val="Heading3"/>
        <w:rPr>
          <w:b/>
          <w:color w:val="0070C0"/>
          <w:sz w:val="26"/>
          <w:szCs w:val="26"/>
        </w:rPr>
      </w:pPr>
      <w:bookmarkStart w:id="9" w:name="_4d34og8" w:colFirst="0" w:colLast="0"/>
      <w:bookmarkEnd w:id="9"/>
      <w:r>
        <w:rPr>
          <w:b/>
          <w:color w:val="0070C0"/>
          <w:sz w:val="26"/>
          <w:szCs w:val="26"/>
        </w:rPr>
        <w:t xml:space="preserve">Proces pripreme Strategije digitalne transformacije 2022-2026 </w:t>
      </w:r>
    </w:p>
    <w:p w14:paraId="3E0A8E2D" w14:textId="77777777" w:rsidR="005B3072" w:rsidRDefault="00A46913">
      <w:pPr>
        <w:spacing w:before="240" w:after="240"/>
        <w:jc w:val="both"/>
        <w:rPr>
          <w:sz w:val="24"/>
          <w:szCs w:val="24"/>
        </w:rPr>
      </w:pPr>
      <w:r>
        <w:rPr>
          <w:sz w:val="24"/>
          <w:szCs w:val="24"/>
        </w:rPr>
        <w:t>Strategija je pripremljena u saradnji sa relevantnim zainteresovanim stranama i operativnom radnom grupom (ORG) za pripremu strategije, koju čine predstavnici sledećih institucija:</w:t>
      </w:r>
    </w:p>
    <w:p w14:paraId="35FD251F"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Generalni sekretarijat Vlade Crne Gore;</w:t>
      </w:r>
    </w:p>
    <w:p w14:paraId="4B85E8C2"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Ministarstvo javne uprave, digitalnog društva i medija;</w:t>
      </w:r>
    </w:p>
    <w:p w14:paraId="6B3F33CA"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Ministarstvo finansija i socijalnog staranja;</w:t>
      </w:r>
    </w:p>
    <w:p w14:paraId="72B2BA00"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Ministarstvo ekonomskog razvoja;</w:t>
      </w:r>
    </w:p>
    <w:p w14:paraId="4D968850"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Ministarstvo prosvjete, nauke, kulture i sporta;</w:t>
      </w:r>
    </w:p>
    <w:p w14:paraId="22F837B6"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Ministarstvo zdravlja;</w:t>
      </w:r>
    </w:p>
    <w:p w14:paraId="277E0202"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Ministarstvo unutrašnjih poslova;</w:t>
      </w:r>
    </w:p>
    <w:p w14:paraId="281FC5BE"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Agencija za elektronske komunikacije i poštansku djelatnost;</w:t>
      </w:r>
    </w:p>
    <w:p w14:paraId="65F1DAA5"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NVO 35mm;</w:t>
      </w:r>
    </w:p>
    <w:p w14:paraId="0A5DD6DE"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NVO multimedija MNE;</w:t>
      </w:r>
    </w:p>
    <w:p w14:paraId="4D08BDD7"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Bankarski sektor;</w:t>
      </w:r>
    </w:p>
    <w:p w14:paraId="6367CDF9"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 xml:space="preserve">Akademska </w:t>
      </w:r>
      <w:r>
        <w:rPr>
          <w:sz w:val="24"/>
          <w:szCs w:val="24"/>
        </w:rPr>
        <w:t>z</w:t>
      </w:r>
      <w:r>
        <w:rPr>
          <w:color w:val="000000"/>
          <w:sz w:val="24"/>
          <w:szCs w:val="24"/>
        </w:rPr>
        <w:t>ajednica;</w:t>
      </w:r>
    </w:p>
    <w:p w14:paraId="2055C6BD" w14:textId="77777777" w:rsidR="005B3072" w:rsidRDefault="00A46913">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Telekomunikacioni sektor;</w:t>
      </w:r>
    </w:p>
    <w:p w14:paraId="15B60F1D" w14:textId="77777777" w:rsidR="005B3072" w:rsidRDefault="00A46913" w:rsidP="00362F20">
      <w:pPr>
        <w:numPr>
          <w:ilvl w:val="0"/>
          <w:numId w:val="42"/>
        </w:numPr>
        <w:pBdr>
          <w:top w:val="nil"/>
          <w:left w:val="nil"/>
          <w:bottom w:val="nil"/>
          <w:right w:val="nil"/>
          <w:between w:val="nil"/>
        </w:pBdr>
        <w:spacing w:after="0" w:line="276" w:lineRule="auto"/>
        <w:jc w:val="both"/>
        <w:rPr>
          <w:color w:val="000000"/>
          <w:sz w:val="24"/>
          <w:szCs w:val="24"/>
        </w:rPr>
      </w:pPr>
      <w:r>
        <w:rPr>
          <w:color w:val="000000"/>
          <w:sz w:val="24"/>
          <w:szCs w:val="24"/>
        </w:rPr>
        <w:t>ICT zajednica</w:t>
      </w:r>
      <w:r>
        <w:rPr>
          <w:color w:val="000000"/>
          <w:sz w:val="24"/>
          <w:szCs w:val="24"/>
          <w:vertAlign w:val="superscript"/>
        </w:rPr>
        <w:footnoteReference w:id="23"/>
      </w:r>
      <w:r>
        <w:rPr>
          <w:color w:val="000000"/>
          <w:sz w:val="24"/>
          <w:szCs w:val="24"/>
          <w:vertAlign w:val="superscript"/>
        </w:rPr>
        <w:t xml:space="preserve">  </w:t>
      </w:r>
    </w:p>
    <w:p w14:paraId="046E85D5" w14:textId="77777777" w:rsidR="00362F20" w:rsidRPr="00362F20" w:rsidRDefault="00362F20" w:rsidP="00362F20">
      <w:pPr>
        <w:pBdr>
          <w:top w:val="nil"/>
          <w:left w:val="nil"/>
          <w:bottom w:val="nil"/>
          <w:right w:val="nil"/>
          <w:between w:val="nil"/>
        </w:pBdr>
        <w:spacing w:after="0" w:line="276" w:lineRule="auto"/>
        <w:ind w:left="780"/>
        <w:jc w:val="both"/>
        <w:rPr>
          <w:color w:val="000000"/>
          <w:sz w:val="24"/>
          <w:szCs w:val="24"/>
        </w:rPr>
      </w:pPr>
    </w:p>
    <w:p w14:paraId="1F10FBFF"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Operativna radna grupa bila je odgovorna za prikupljanje dokumentacije i pružanje relevantnih informacija u cilju što preciznijeg prepoznavanja i definisanja ključnih problema prepoznatih analizom stanja. Osim sastanaka ORG, održani su i posebni sastanci sa predstavnicima Ministarstva ekonomskog razvoja u cilju prikupljanja informacija o ekonomskom aspektu digitalne transformacije. Tokom </w:t>
      </w:r>
      <w:r>
        <w:rPr>
          <w:color w:val="000000"/>
          <w:sz w:val="24"/>
          <w:szCs w:val="24"/>
        </w:rPr>
        <w:lastRenderedPageBreak/>
        <w:t>pomenutih sastanaka, poseban akcenat je bio na analizi postojećeg zakonodavstva, programa, koordinacionih tijela, IKT sektora.</w:t>
      </w:r>
    </w:p>
    <w:p w14:paraId="69A0214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Tokom sastanaka i diskusija istaknuti su osnovni izazovi i mogućnosti koji su detaljno opisani u narednim poglavljima i potkrijepljeni su konkretnim kvantitativnim podacima.   </w:t>
      </w:r>
    </w:p>
    <w:p w14:paraId="3F29911C" w14:textId="77777777" w:rsidR="005B3072" w:rsidRDefault="00A46913">
      <w:pPr>
        <w:spacing w:before="240" w:after="240"/>
        <w:jc w:val="both"/>
        <w:rPr>
          <w:sz w:val="24"/>
          <w:szCs w:val="24"/>
        </w:rPr>
      </w:pPr>
      <w:r>
        <w:rPr>
          <w:sz w:val="24"/>
          <w:szCs w:val="24"/>
        </w:rPr>
        <w:t xml:space="preserve">U pripremi analize stanja </w:t>
      </w:r>
      <w:r>
        <w:rPr>
          <w:b/>
          <w:sz w:val="24"/>
          <w:szCs w:val="24"/>
        </w:rPr>
        <w:t>korišćene su sledeće metode</w:t>
      </w:r>
      <w:r>
        <w:rPr>
          <w:sz w:val="24"/>
          <w:szCs w:val="24"/>
        </w:rPr>
        <w:t>:</w:t>
      </w:r>
    </w:p>
    <w:p w14:paraId="38B0C3BA" w14:textId="77777777" w:rsidR="005B3072" w:rsidRDefault="00A46913">
      <w:pPr>
        <w:numPr>
          <w:ilvl w:val="0"/>
          <w:numId w:val="58"/>
        </w:numPr>
        <w:spacing w:before="240" w:after="0" w:line="276" w:lineRule="auto"/>
        <w:jc w:val="both"/>
        <w:rPr>
          <w:sz w:val="24"/>
          <w:szCs w:val="24"/>
        </w:rPr>
      </w:pPr>
      <w:r>
        <w:rPr>
          <w:i/>
          <w:sz w:val="24"/>
          <w:szCs w:val="24"/>
        </w:rPr>
        <w:t xml:space="preserve">analiza dostupne dokumentacije </w:t>
      </w:r>
    </w:p>
    <w:p w14:paraId="70518744" w14:textId="77777777" w:rsidR="005B3072" w:rsidRDefault="00A46913">
      <w:pPr>
        <w:numPr>
          <w:ilvl w:val="0"/>
          <w:numId w:val="58"/>
        </w:numPr>
        <w:spacing w:after="0" w:line="276" w:lineRule="auto"/>
        <w:jc w:val="both"/>
        <w:rPr>
          <w:sz w:val="24"/>
          <w:szCs w:val="24"/>
        </w:rPr>
      </w:pPr>
      <w:r>
        <w:rPr>
          <w:i/>
          <w:sz w:val="24"/>
          <w:szCs w:val="24"/>
        </w:rPr>
        <w:t>desktop istraživanje</w:t>
      </w:r>
      <w:r>
        <w:rPr>
          <w:sz w:val="24"/>
          <w:szCs w:val="24"/>
        </w:rPr>
        <w:t xml:space="preserve"> (prikupljanje kvantitativnih i kvalitativnih informacija sa međunarodnim referentnim podacima)</w:t>
      </w:r>
    </w:p>
    <w:p w14:paraId="02BF2D99" w14:textId="77777777" w:rsidR="005B3072" w:rsidRDefault="00A46913">
      <w:pPr>
        <w:numPr>
          <w:ilvl w:val="0"/>
          <w:numId w:val="58"/>
        </w:numPr>
        <w:spacing w:after="240" w:line="276" w:lineRule="auto"/>
        <w:jc w:val="both"/>
        <w:rPr>
          <w:sz w:val="24"/>
          <w:szCs w:val="24"/>
        </w:rPr>
      </w:pPr>
      <w:r>
        <w:rPr>
          <w:i/>
          <w:sz w:val="24"/>
          <w:szCs w:val="24"/>
        </w:rPr>
        <w:t>online anketiranje sa ciljem</w:t>
      </w:r>
      <w:r>
        <w:rPr>
          <w:sz w:val="24"/>
          <w:szCs w:val="24"/>
        </w:rPr>
        <w:t xml:space="preserve"> identifikacije glavnih izazova na polju digitalizacije i određivanje prioriteta na osnovu unaprijed definisanih kriterijuma</w:t>
      </w:r>
    </w:p>
    <w:p w14:paraId="7B44FDA7" w14:textId="77777777" w:rsidR="005B3072" w:rsidRDefault="00A46913">
      <w:pPr>
        <w:spacing w:before="240" w:after="240"/>
        <w:jc w:val="both"/>
        <w:rPr>
          <w:b/>
          <w:sz w:val="24"/>
          <w:szCs w:val="24"/>
        </w:rPr>
      </w:pPr>
      <w:r>
        <w:rPr>
          <w:b/>
          <w:sz w:val="24"/>
          <w:szCs w:val="24"/>
        </w:rPr>
        <w:t>Tokom pripreme Analize stanja, pregledana je i analizirana sveobuhvatna dokumentacija koja pokriva oblast digitalne transformacije. U tom smislu, dokumentacija koja je pregledana u analizi stanja i problema je obuhvatila:</w:t>
      </w:r>
    </w:p>
    <w:p w14:paraId="20C3DCEB" w14:textId="77777777" w:rsidR="005B3072" w:rsidRDefault="00A46913">
      <w:pPr>
        <w:numPr>
          <w:ilvl w:val="0"/>
          <w:numId w:val="56"/>
        </w:numPr>
        <w:pBdr>
          <w:top w:val="nil"/>
          <w:left w:val="nil"/>
          <w:bottom w:val="nil"/>
          <w:right w:val="nil"/>
          <w:between w:val="nil"/>
        </w:pBdr>
        <w:spacing w:before="240" w:after="0" w:line="276" w:lineRule="auto"/>
        <w:rPr>
          <w:b/>
          <w:color w:val="000000"/>
          <w:sz w:val="24"/>
          <w:szCs w:val="24"/>
        </w:rPr>
      </w:pPr>
      <w:r>
        <w:rPr>
          <w:b/>
          <w:color w:val="000000"/>
          <w:sz w:val="24"/>
          <w:szCs w:val="24"/>
        </w:rPr>
        <w:t>Zakonodavni okvir:</w:t>
      </w:r>
    </w:p>
    <w:p w14:paraId="14FEE77C"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elektronskoj upravi (“Službeni list Crne Gore”, br</w:t>
      </w:r>
      <w:r>
        <w:rPr>
          <w:sz w:val="24"/>
          <w:szCs w:val="24"/>
        </w:rPr>
        <w:t>.</w:t>
      </w:r>
      <w:r>
        <w:rPr>
          <w:color w:val="000000"/>
          <w:sz w:val="24"/>
          <w:szCs w:val="24"/>
        </w:rPr>
        <w:t xml:space="preserve"> 72/19);</w:t>
      </w:r>
    </w:p>
    <w:p w14:paraId="120337CC"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elektronskoj identifikaciji i elektronskom potpisu (“Službeni list Crne Gore”, br</w:t>
      </w:r>
      <w:r>
        <w:rPr>
          <w:sz w:val="24"/>
          <w:szCs w:val="24"/>
        </w:rPr>
        <w:t>.</w:t>
      </w:r>
      <w:r>
        <w:rPr>
          <w:color w:val="000000"/>
          <w:sz w:val="24"/>
          <w:szCs w:val="24"/>
        </w:rPr>
        <w:t xml:space="preserve"> 31/17 i 72/19);</w:t>
      </w:r>
    </w:p>
    <w:p w14:paraId="208045FB"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elektronskom dokumentu (“Službeni list Crne Gore”, br</w:t>
      </w:r>
      <w:r>
        <w:rPr>
          <w:sz w:val="24"/>
          <w:szCs w:val="24"/>
        </w:rPr>
        <w:t>.</w:t>
      </w:r>
      <w:r>
        <w:rPr>
          <w:color w:val="000000"/>
          <w:sz w:val="24"/>
          <w:szCs w:val="24"/>
        </w:rPr>
        <w:t xml:space="preserve"> </w:t>
      </w:r>
      <w:r>
        <w:rPr>
          <w:sz w:val="24"/>
          <w:szCs w:val="24"/>
        </w:rPr>
        <w:t xml:space="preserve">5/08 i </w:t>
      </w:r>
      <w:r>
        <w:rPr>
          <w:color w:val="000000"/>
          <w:sz w:val="24"/>
          <w:szCs w:val="24"/>
        </w:rPr>
        <w:t>40/11), Nacrt zakona o izmjenama i dopunama Zakona o elektronskom dokumentu koji je u pripremi;</w:t>
      </w:r>
    </w:p>
    <w:p w14:paraId="740982DA"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uslugama (“Službeni list Crne Gore”, br</w:t>
      </w:r>
      <w:r>
        <w:rPr>
          <w:sz w:val="24"/>
          <w:szCs w:val="24"/>
        </w:rPr>
        <w:t>.</w:t>
      </w:r>
      <w:r>
        <w:rPr>
          <w:color w:val="000000"/>
          <w:sz w:val="24"/>
          <w:szCs w:val="24"/>
        </w:rPr>
        <w:t xml:space="preserve"> 71/17 i 67/19);</w:t>
      </w:r>
    </w:p>
    <w:p w14:paraId="2BEDC8C7"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informacionoj bezbjednosti (“Službeni list Crne Gore”, br</w:t>
      </w:r>
      <w:r>
        <w:rPr>
          <w:sz w:val="24"/>
          <w:szCs w:val="24"/>
        </w:rPr>
        <w:t>.</w:t>
      </w:r>
      <w:r>
        <w:rPr>
          <w:color w:val="000000"/>
          <w:sz w:val="24"/>
          <w:szCs w:val="24"/>
        </w:rPr>
        <w:t xml:space="preserve"> 14/10, 40/16, 74/20 i 67/21);</w:t>
      </w:r>
    </w:p>
    <w:p w14:paraId="5C3C3D34"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slobodnom pristupu informacijama (“Službeni list Crne Gore”, br</w:t>
      </w:r>
      <w:r>
        <w:rPr>
          <w:sz w:val="24"/>
          <w:szCs w:val="24"/>
        </w:rPr>
        <w:t>.</w:t>
      </w:r>
      <w:r>
        <w:rPr>
          <w:color w:val="000000"/>
          <w:sz w:val="24"/>
          <w:szCs w:val="24"/>
        </w:rPr>
        <w:t xml:space="preserve"> 44/12</w:t>
      </w:r>
      <w:r>
        <w:rPr>
          <w:sz w:val="24"/>
          <w:szCs w:val="24"/>
        </w:rPr>
        <w:t xml:space="preserve"> i</w:t>
      </w:r>
      <w:r>
        <w:rPr>
          <w:color w:val="000000"/>
          <w:sz w:val="24"/>
          <w:szCs w:val="24"/>
        </w:rPr>
        <w:t xml:space="preserve"> 30/17);</w:t>
      </w:r>
    </w:p>
    <w:p w14:paraId="0E04D59A"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zaštiti ličnih podataka (“Službeni list Crne Gore”, 79/08, 70/09, 44/12</w:t>
      </w:r>
      <w:r>
        <w:rPr>
          <w:sz w:val="24"/>
          <w:szCs w:val="24"/>
        </w:rPr>
        <w:t xml:space="preserve"> i</w:t>
      </w:r>
      <w:r>
        <w:rPr>
          <w:color w:val="000000"/>
          <w:sz w:val="24"/>
          <w:szCs w:val="24"/>
        </w:rPr>
        <w:t xml:space="preserve"> 22/17);</w:t>
      </w:r>
    </w:p>
    <w:p w14:paraId="6A832306"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u upravnom postupku (“Službeni list Crne Gore”, br. 56/14, 20/15, 40/16 i 37/17);</w:t>
      </w:r>
    </w:p>
    <w:p w14:paraId="43E39238"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elektronskim komunikacijama (“Službeni list Crne Gore”, br</w:t>
      </w:r>
      <w:r>
        <w:rPr>
          <w:sz w:val="24"/>
          <w:szCs w:val="24"/>
        </w:rPr>
        <w:t>.</w:t>
      </w:r>
      <w:r>
        <w:rPr>
          <w:color w:val="000000"/>
          <w:sz w:val="24"/>
          <w:szCs w:val="24"/>
        </w:rPr>
        <w:t xml:space="preserve"> 40/13, 56/13, 02/17 i 49/19);</w:t>
      </w:r>
    </w:p>
    <w:p w14:paraId="0C6D3D8C"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zdravstvenoj zaštiti (“Službeni list Crne Gore”, br</w:t>
      </w:r>
      <w:r>
        <w:rPr>
          <w:sz w:val="24"/>
          <w:szCs w:val="24"/>
        </w:rPr>
        <w:t>.</w:t>
      </w:r>
      <w:r>
        <w:rPr>
          <w:color w:val="000000"/>
          <w:sz w:val="24"/>
          <w:szCs w:val="24"/>
        </w:rPr>
        <w:t xml:space="preserve"> 3/16, 39/16, 2/17, 44/18, 24/19, 82/20</w:t>
      </w:r>
      <w:r>
        <w:rPr>
          <w:sz w:val="24"/>
          <w:szCs w:val="24"/>
        </w:rPr>
        <w:t xml:space="preserve"> i 8/21</w:t>
      </w:r>
      <w:r>
        <w:rPr>
          <w:color w:val="000000"/>
          <w:sz w:val="24"/>
          <w:szCs w:val="24"/>
        </w:rPr>
        <w:t>);</w:t>
      </w:r>
    </w:p>
    <w:p w14:paraId="55DED71C"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određivanju i zaštiti kritične infrastrukture (“Službeni list Crne Gore”, br. 72/19);</w:t>
      </w:r>
    </w:p>
    <w:p w14:paraId="60EF304D"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Zakon o ličnoj karti (“Službeni list Crne Gore”, br. 12/07, 73/10, 28/11, 50/12, 10/14 i 18/19).</w:t>
      </w:r>
    </w:p>
    <w:p w14:paraId="531CDFB9" w14:textId="77777777" w:rsidR="005B3072" w:rsidRDefault="005B3072">
      <w:pPr>
        <w:pBdr>
          <w:top w:val="nil"/>
          <w:left w:val="nil"/>
          <w:bottom w:val="nil"/>
          <w:right w:val="nil"/>
          <w:between w:val="nil"/>
        </w:pBdr>
        <w:spacing w:after="0" w:line="276" w:lineRule="auto"/>
        <w:ind w:left="1440"/>
        <w:jc w:val="both"/>
        <w:rPr>
          <w:color w:val="000000"/>
          <w:sz w:val="24"/>
          <w:szCs w:val="24"/>
        </w:rPr>
      </w:pPr>
    </w:p>
    <w:p w14:paraId="15BFAFAD" w14:textId="77777777" w:rsidR="005B3072" w:rsidRDefault="00A46913">
      <w:pPr>
        <w:numPr>
          <w:ilvl w:val="0"/>
          <w:numId w:val="56"/>
        </w:numPr>
        <w:pBdr>
          <w:top w:val="nil"/>
          <w:left w:val="nil"/>
          <w:bottom w:val="nil"/>
          <w:right w:val="nil"/>
          <w:between w:val="nil"/>
        </w:pBdr>
        <w:spacing w:after="0" w:line="276" w:lineRule="auto"/>
        <w:rPr>
          <w:b/>
          <w:color w:val="000000"/>
          <w:sz w:val="24"/>
          <w:szCs w:val="24"/>
        </w:rPr>
      </w:pPr>
      <w:r>
        <w:rPr>
          <w:b/>
          <w:color w:val="000000"/>
          <w:sz w:val="24"/>
          <w:szCs w:val="24"/>
        </w:rPr>
        <w:t>Strateške dokumente, analize i drugu dokumentaciju:</w:t>
      </w:r>
    </w:p>
    <w:p w14:paraId="75C32FCC"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Strategija razvoja informacionog društva 2016-2020;</w:t>
      </w:r>
    </w:p>
    <w:p w14:paraId="5C0DAEE7"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lastRenderedPageBreak/>
        <w:t>Završni izvještaj o implementaciji Strategije razvoja informacionog društva 2016 –2020;</w:t>
      </w:r>
    </w:p>
    <w:p w14:paraId="13FBAF42"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Strategija reforme javne uprave 2016-2020;</w:t>
      </w:r>
    </w:p>
    <w:p w14:paraId="397F3A90"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Akcioni plan 2018-2020 za sprovođenje Strategije reforme javne uprave u Crnoj Gori 2016-2020;</w:t>
      </w:r>
    </w:p>
    <w:p w14:paraId="60F67A01" w14:textId="77777777" w:rsidR="005B3072" w:rsidRDefault="00A46913">
      <w:pPr>
        <w:numPr>
          <w:ilvl w:val="1"/>
          <w:numId w:val="56"/>
        </w:numPr>
        <w:pBdr>
          <w:top w:val="nil"/>
          <w:left w:val="nil"/>
          <w:bottom w:val="nil"/>
          <w:right w:val="nil"/>
          <w:between w:val="nil"/>
        </w:pBdr>
        <w:spacing w:after="0" w:line="276" w:lineRule="auto"/>
        <w:jc w:val="both"/>
        <w:rPr>
          <w:color w:val="000000"/>
          <w:sz w:val="24"/>
          <w:szCs w:val="24"/>
        </w:rPr>
      </w:pPr>
      <w:r>
        <w:rPr>
          <w:color w:val="000000"/>
          <w:sz w:val="24"/>
          <w:szCs w:val="24"/>
        </w:rPr>
        <w:t>Nacrt koncepta Strategije reforme javne uprave 2022-2026;</w:t>
      </w:r>
    </w:p>
    <w:p w14:paraId="6AB37471"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Izvještaj o konsultovanju zainteresovane javnosti u postupku pripreme Strategije digitalne transformacije Crne Gore (maj, 2020);</w:t>
      </w:r>
    </w:p>
    <w:p w14:paraId="01870B77"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Analiza stanja elektronskih usluga sa predlogom mjera za njihovo unapređenje, Ministarstvo javne uprave, digitalnog društva i medija (jul/novembar, 2020);</w:t>
      </w:r>
    </w:p>
    <w:p w14:paraId="34CF83BC"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Kvantitativna analiza upotrebe eServisa u Crnoj Gori u periodu 01.02.2020. – 05.05.2020 (Ministarstvo zdravlja, maj 2020);</w:t>
      </w:r>
    </w:p>
    <w:p w14:paraId="17FDA349"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 xml:space="preserve">Opservatorija za digitalnu agendu Crne Gore; </w:t>
      </w:r>
    </w:p>
    <w:p w14:paraId="786DDA48"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Izvještaj o zemlji i Mapa puta za unapređenje digitalne agende u Crnoj Gori (projekat ICEDA, jun 2020);</w:t>
      </w:r>
    </w:p>
    <w:p w14:paraId="295BEB8A"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Korišćenje informaciono-komunikacionih tehnologija u Crnoj Gori u 2019. godini</w:t>
      </w:r>
      <w:r>
        <w:rPr>
          <w:color w:val="000000"/>
          <w:sz w:val="24"/>
          <w:szCs w:val="24"/>
          <w:vertAlign w:val="superscript"/>
        </w:rPr>
        <w:footnoteReference w:id="24"/>
      </w:r>
      <w:r>
        <w:rPr>
          <w:color w:val="000000"/>
          <w:sz w:val="24"/>
          <w:szCs w:val="24"/>
        </w:rPr>
        <w:t xml:space="preserve"> (MONSTAT, 2019);</w:t>
      </w:r>
    </w:p>
    <w:p w14:paraId="4667D43D"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Strategija sajber bezbjednosti Crne Gore 2018 – 2021</w:t>
      </w:r>
      <w:r>
        <w:rPr>
          <w:color w:val="000000"/>
          <w:sz w:val="24"/>
          <w:szCs w:val="24"/>
          <w:vertAlign w:val="superscript"/>
        </w:rPr>
        <w:footnoteReference w:id="25"/>
      </w:r>
      <w:r>
        <w:rPr>
          <w:color w:val="000000"/>
          <w:sz w:val="24"/>
          <w:szCs w:val="24"/>
        </w:rPr>
        <w:t>;</w:t>
      </w:r>
    </w:p>
    <w:p w14:paraId="18461077"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Nacionalni okvir interoperabilnosti 2019. godine</w:t>
      </w:r>
      <w:r>
        <w:rPr>
          <w:color w:val="000000"/>
          <w:sz w:val="24"/>
          <w:szCs w:val="24"/>
          <w:vertAlign w:val="superscript"/>
        </w:rPr>
        <w:footnoteReference w:id="26"/>
      </w:r>
      <w:r>
        <w:rPr>
          <w:color w:val="000000"/>
          <w:sz w:val="24"/>
          <w:szCs w:val="24"/>
        </w:rPr>
        <w:t>;</w:t>
      </w:r>
    </w:p>
    <w:p w14:paraId="52F252B6"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Strategija pametne specijalizacije 2019 – 2024;</w:t>
      </w:r>
    </w:p>
    <w:p w14:paraId="355BF3C6" w14:textId="77777777" w:rsidR="005B3072" w:rsidRDefault="00A46913">
      <w:pPr>
        <w:widowControl w:val="0"/>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Digital Innovation Profile of Montenegro (International Telecommunication Union – ITU, Regional Office for Europe, and the Innovation Division of the ITU Telecommunication Development Bureau, 2020);</w:t>
      </w:r>
    </w:p>
    <w:p w14:paraId="23A3BCBC"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Competitiveness in South East Europe 2021, A Policy Outlook</w:t>
      </w:r>
      <w:r>
        <w:rPr>
          <w:color w:val="000000"/>
          <w:sz w:val="24"/>
          <w:szCs w:val="24"/>
          <w:vertAlign w:val="superscript"/>
        </w:rPr>
        <w:footnoteReference w:id="27"/>
      </w:r>
      <w:r>
        <w:rPr>
          <w:color w:val="000000"/>
          <w:sz w:val="24"/>
          <w:szCs w:val="24"/>
        </w:rPr>
        <w:t>, OECD;</w:t>
      </w:r>
    </w:p>
    <w:p w14:paraId="5B8C4EEA"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Analiza pravnog okvira digitalnog upravljanja u Crnoj Gori, UNDP, 2021 (radna verzija);</w:t>
      </w:r>
    </w:p>
    <w:p w14:paraId="30BC3FF3"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Strategija razvoja integrisanog informacionog sistema za eZdravstvo 2018 - 2023 sa Akcionim planom 2018 – 2021;</w:t>
      </w:r>
    </w:p>
    <w:p w14:paraId="40EE180E"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Praćenje razvoja Digitalne agende na Zapadnom Balkanu; Osnovno istraživanje stanja razvoja e-uprave i digitalne pismenosti u ciljanim zemljama zapadnog Balkana 2020 (izvještaj ICEDA projekta);</w:t>
      </w:r>
    </w:p>
    <w:p w14:paraId="091DB592"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Procjena digitalne zrelosti Crne Gore, izvještaj, avgust 2021 (EGA, EBRD);</w:t>
      </w:r>
    </w:p>
    <w:p w14:paraId="53CB4568"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Bijela knjiga - Investiciona klima u Crnoj Gori, Savjet za strana ulaganja 2020;</w:t>
      </w:r>
    </w:p>
    <w:p w14:paraId="3832766E"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Izvještaj o razvoju po mjeri čovjeka za Crnu Goru za 2020. godinu - Nadomak digitalne budućnosti za sve</w:t>
      </w:r>
      <w:r>
        <w:rPr>
          <w:color w:val="000000"/>
          <w:sz w:val="24"/>
          <w:szCs w:val="24"/>
          <w:vertAlign w:val="superscript"/>
        </w:rPr>
        <w:footnoteReference w:id="28"/>
      </w:r>
      <w:r>
        <w:rPr>
          <w:color w:val="000000"/>
          <w:sz w:val="24"/>
          <w:szCs w:val="24"/>
        </w:rPr>
        <w:t>, UNDP;</w:t>
      </w:r>
    </w:p>
    <w:p w14:paraId="02F63707"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Istraživanje: Uticaj IKT na razvoj Crne Gore, UNDP;</w:t>
      </w:r>
    </w:p>
    <w:p w14:paraId="3AA9AB96"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lastRenderedPageBreak/>
        <w:t>E-usluge_istraživanje sa građanima i preduzećima narativni izvještaj 2019, UNDP;</w:t>
      </w:r>
    </w:p>
    <w:p w14:paraId="1A285B22"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Katalog E-usluga – 2019, UNDP;</w:t>
      </w:r>
    </w:p>
    <w:p w14:paraId="193CF654"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Unapređenje kvaliteta javnih usluga - analiza pravnog okvira, UNDP;</w:t>
      </w:r>
    </w:p>
    <w:p w14:paraId="52C2B939"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Open Source Software Country Intelligence Report Montenegro</w:t>
      </w:r>
      <w:r>
        <w:rPr>
          <w:color w:val="000000"/>
          <w:sz w:val="24"/>
          <w:szCs w:val="24"/>
          <w:vertAlign w:val="superscript"/>
        </w:rPr>
        <w:footnoteReference w:id="29"/>
      </w:r>
      <w:r>
        <w:rPr>
          <w:color w:val="000000"/>
          <w:sz w:val="24"/>
          <w:szCs w:val="24"/>
        </w:rPr>
        <w:t>, EC, DIGIT, 2021;</w:t>
      </w:r>
    </w:p>
    <w:p w14:paraId="1348AF34"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Metodologija projektovanja eGovernment sistema, 2005-2006, IPMIT, d.o.o., Ljubljana;</w:t>
      </w:r>
    </w:p>
    <w:p w14:paraId="66761C27"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Metodologija za upravljanje eGovernment projektima, 2005-2006, IPMIT, d.o.o., Ljubljana;</w:t>
      </w:r>
    </w:p>
    <w:p w14:paraId="5C230232"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 xml:space="preserve">Metodologija za mjerenje uspješnosti razvoja informacionog društva u Crnoj Gori, 2005-2006, IPMIT, d.o.o. Ljubljana; </w:t>
      </w:r>
    </w:p>
    <w:p w14:paraId="461825EF" w14:textId="77777777" w:rsidR="005B3072" w:rsidRDefault="00A46913">
      <w:pPr>
        <w:numPr>
          <w:ilvl w:val="1"/>
          <w:numId w:val="56"/>
        </w:numPr>
        <w:pBdr>
          <w:top w:val="nil"/>
          <w:left w:val="nil"/>
          <w:bottom w:val="nil"/>
          <w:right w:val="nil"/>
          <w:between w:val="nil"/>
        </w:pBdr>
        <w:spacing w:after="0" w:line="276" w:lineRule="auto"/>
        <w:ind w:right="308"/>
        <w:jc w:val="both"/>
        <w:rPr>
          <w:color w:val="000000"/>
          <w:sz w:val="24"/>
          <w:szCs w:val="24"/>
        </w:rPr>
      </w:pPr>
      <w:r>
        <w:rPr>
          <w:color w:val="000000"/>
          <w:sz w:val="24"/>
          <w:szCs w:val="24"/>
        </w:rPr>
        <w:t>Digital Skills Insights, ITU 2019</w:t>
      </w:r>
      <w:r>
        <w:rPr>
          <w:color w:val="000000"/>
          <w:sz w:val="24"/>
          <w:szCs w:val="24"/>
          <w:vertAlign w:val="superscript"/>
        </w:rPr>
        <w:footnoteReference w:id="30"/>
      </w:r>
      <w:r>
        <w:rPr>
          <w:sz w:val="24"/>
          <w:szCs w:val="24"/>
        </w:rPr>
        <w:t>;</w:t>
      </w:r>
    </w:p>
    <w:p w14:paraId="27741FA3" w14:textId="77777777" w:rsidR="005B3072" w:rsidRDefault="00A46913">
      <w:pPr>
        <w:numPr>
          <w:ilvl w:val="1"/>
          <w:numId w:val="56"/>
        </w:numPr>
        <w:pBdr>
          <w:top w:val="nil"/>
          <w:left w:val="nil"/>
          <w:bottom w:val="nil"/>
          <w:right w:val="nil"/>
          <w:between w:val="nil"/>
        </w:pBdr>
        <w:spacing w:after="0" w:line="276" w:lineRule="auto"/>
        <w:ind w:right="308"/>
        <w:jc w:val="both"/>
        <w:rPr>
          <w:sz w:val="24"/>
          <w:szCs w:val="24"/>
        </w:rPr>
      </w:pPr>
      <w:r>
        <w:rPr>
          <w:sz w:val="24"/>
          <w:szCs w:val="24"/>
        </w:rPr>
        <w:t>Procjena institucionalnog okvira digitalnog upravljanja u Crnoj Gori, UNDP, 2021 (radna verzija);</w:t>
      </w:r>
    </w:p>
    <w:p w14:paraId="2CEE7394" w14:textId="77777777" w:rsidR="005B3072" w:rsidRDefault="00A46913">
      <w:pPr>
        <w:numPr>
          <w:ilvl w:val="1"/>
          <w:numId w:val="56"/>
        </w:numPr>
        <w:pBdr>
          <w:top w:val="nil"/>
          <w:left w:val="nil"/>
          <w:bottom w:val="nil"/>
          <w:right w:val="nil"/>
          <w:between w:val="nil"/>
        </w:pBdr>
        <w:spacing w:after="0" w:line="276" w:lineRule="auto"/>
        <w:ind w:right="308"/>
        <w:jc w:val="both"/>
        <w:rPr>
          <w:sz w:val="24"/>
          <w:szCs w:val="24"/>
        </w:rPr>
      </w:pPr>
      <w:r>
        <w:rPr>
          <w:sz w:val="24"/>
          <w:szCs w:val="24"/>
        </w:rPr>
        <w:t>Analiza internih IT sistema, UNDP, 2021 (radna verzija);</w:t>
      </w:r>
    </w:p>
    <w:p w14:paraId="52D4B38E" w14:textId="77777777" w:rsidR="005B3072" w:rsidRDefault="00A46913">
      <w:pPr>
        <w:numPr>
          <w:ilvl w:val="1"/>
          <w:numId w:val="56"/>
        </w:numPr>
        <w:pBdr>
          <w:top w:val="nil"/>
          <w:left w:val="nil"/>
          <w:bottom w:val="nil"/>
          <w:right w:val="nil"/>
          <w:between w:val="nil"/>
        </w:pBdr>
        <w:spacing w:after="0" w:line="276" w:lineRule="auto"/>
        <w:ind w:right="308"/>
        <w:jc w:val="both"/>
        <w:rPr>
          <w:sz w:val="24"/>
          <w:szCs w:val="24"/>
        </w:rPr>
      </w:pPr>
      <w:r>
        <w:rPr>
          <w:sz w:val="24"/>
          <w:szCs w:val="24"/>
        </w:rPr>
        <w:t>Izvještaj “Procjena potreba za obukom zaposlenih u javnoj upravi”, jul 2021. godine, DAMAR, UNDP;</w:t>
      </w:r>
    </w:p>
    <w:p w14:paraId="44F930AB" w14:textId="77777777" w:rsidR="005B3072" w:rsidRDefault="00A46913">
      <w:pPr>
        <w:numPr>
          <w:ilvl w:val="1"/>
          <w:numId w:val="56"/>
        </w:numPr>
        <w:pBdr>
          <w:top w:val="nil"/>
          <w:left w:val="nil"/>
          <w:bottom w:val="nil"/>
          <w:right w:val="nil"/>
          <w:between w:val="nil"/>
        </w:pBdr>
        <w:spacing w:after="0" w:line="276" w:lineRule="auto"/>
        <w:ind w:right="308"/>
        <w:jc w:val="both"/>
        <w:rPr>
          <w:sz w:val="24"/>
          <w:szCs w:val="24"/>
        </w:rPr>
      </w:pPr>
      <w:r>
        <w:rPr>
          <w:sz w:val="24"/>
          <w:szCs w:val="24"/>
        </w:rPr>
        <w:t>Studija o implementaciji koncepta otvorenih podataka u crnogorskim institucijama, mart 2021. godine, PKCG.</w:t>
      </w:r>
    </w:p>
    <w:p w14:paraId="26CCE10C" w14:textId="77777777" w:rsidR="005B3072" w:rsidRDefault="00A46913">
      <w:pPr>
        <w:pBdr>
          <w:top w:val="nil"/>
          <w:left w:val="nil"/>
          <w:bottom w:val="nil"/>
          <w:right w:val="nil"/>
          <w:between w:val="nil"/>
        </w:pBdr>
        <w:spacing w:after="240"/>
        <w:ind w:right="-41"/>
        <w:jc w:val="both"/>
        <w:rPr>
          <w:sz w:val="24"/>
          <w:szCs w:val="24"/>
        </w:rPr>
      </w:pPr>
      <w:r>
        <w:rPr>
          <w:sz w:val="24"/>
          <w:szCs w:val="24"/>
        </w:rPr>
        <w:t>U skladu sa rezultatima ovih analiza i drugom dokumentacionom osnovom utvrđena je veza između Strategije digitalne transformacije Crne Gore 2022-2026 sa drugim relevantnim državnim strategijama i pravnim okvirom.</w:t>
      </w:r>
    </w:p>
    <w:p w14:paraId="1CE2436E" w14:textId="77777777" w:rsidR="005B3072" w:rsidRDefault="00A46913">
      <w:pPr>
        <w:spacing w:after="0" w:line="276" w:lineRule="auto"/>
        <w:jc w:val="both"/>
        <w:rPr>
          <w:sz w:val="24"/>
          <w:szCs w:val="24"/>
        </w:rPr>
      </w:pPr>
      <w:r>
        <w:rPr>
          <w:sz w:val="24"/>
          <w:szCs w:val="24"/>
        </w:rPr>
        <w:t xml:space="preserve">Strategija razvoja informacionog društva Crne Gore 2016-2020, čijim sprovođenjem su, u okviru svojih nadležnosti, koordinirali Ministarstvo javne uprave, digitalnog društva i medija i Ministarstvo ekonomskog razvoja, implementirana je kroz tri akciona plana u periodu od 2016. do 2020. godine, a u realizaciji različitih aktivnosti učestvovali su organi državne uprave, regulatori i akademska zajednica. </w:t>
      </w:r>
    </w:p>
    <w:p w14:paraId="2F41A409" w14:textId="77777777" w:rsidR="005B3072" w:rsidRDefault="005B3072">
      <w:pPr>
        <w:spacing w:after="0" w:line="276" w:lineRule="auto"/>
        <w:jc w:val="both"/>
        <w:rPr>
          <w:sz w:val="24"/>
          <w:szCs w:val="24"/>
        </w:rPr>
      </w:pPr>
    </w:p>
    <w:p w14:paraId="043EB548" w14:textId="77777777" w:rsidR="005B3072" w:rsidRDefault="00A46913">
      <w:pPr>
        <w:spacing w:after="0" w:line="276" w:lineRule="auto"/>
        <w:jc w:val="both"/>
        <w:rPr>
          <w:sz w:val="24"/>
          <w:szCs w:val="24"/>
        </w:rPr>
      </w:pPr>
      <w:r>
        <w:rPr>
          <w:sz w:val="24"/>
          <w:szCs w:val="24"/>
        </w:rPr>
        <w:t>U cilju procjene trenutnog nivoa digitalne zrelosti Crne Gore, cijenjeni su rezultati prikazani u Završnom izvještaju o implementaciji Strategije razvoja informacionog društva 2016–2020</w:t>
      </w:r>
      <w:r>
        <w:rPr>
          <w:sz w:val="24"/>
          <w:szCs w:val="24"/>
          <w:vertAlign w:val="superscript"/>
        </w:rPr>
        <w:footnoteReference w:id="31"/>
      </w:r>
      <w:r>
        <w:rPr>
          <w:sz w:val="24"/>
          <w:szCs w:val="24"/>
        </w:rPr>
        <w:t xml:space="preserve">. Nakon isteka četvorogodišnjeg perioda važenja Strategije razvoja informacionog društva 2016-2020 u kojoj su prepoznati strateški pravci razvoja sa ciljem dostizanja standarda EU postavljenih u Digitalnoj agendi 2020 i Strategiji za jedinstveno digitalno tržište, može se konstatovati da, iako je prepoznatljiv određeni napredak u implementaciji kada su u pitanju pojedini strateški ciljevi, realizacija samih aktivnosti nije bila na zadovoljavajućem nivou. </w:t>
      </w:r>
    </w:p>
    <w:p w14:paraId="74BD2D9F" w14:textId="77777777" w:rsidR="005B3072" w:rsidRDefault="00A46913">
      <w:pPr>
        <w:pBdr>
          <w:top w:val="nil"/>
          <w:left w:val="nil"/>
          <w:bottom w:val="nil"/>
          <w:right w:val="nil"/>
          <w:between w:val="nil"/>
        </w:pBdr>
        <w:spacing w:after="0" w:line="276" w:lineRule="auto"/>
        <w:jc w:val="both"/>
        <w:rPr>
          <w:sz w:val="24"/>
          <w:szCs w:val="24"/>
        </w:rPr>
      </w:pPr>
      <w:r>
        <w:rPr>
          <w:sz w:val="24"/>
          <w:szCs w:val="24"/>
        </w:rPr>
        <w:t xml:space="preserve"> </w:t>
      </w:r>
    </w:p>
    <w:p w14:paraId="188C1BE2" w14:textId="77777777" w:rsidR="005B3072" w:rsidRDefault="00A46913">
      <w:pPr>
        <w:pBdr>
          <w:top w:val="nil"/>
          <w:left w:val="nil"/>
          <w:bottom w:val="nil"/>
          <w:right w:val="nil"/>
          <w:between w:val="nil"/>
        </w:pBdr>
        <w:spacing w:after="0" w:line="276" w:lineRule="auto"/>
        <w:jc w:val="both"/>
        <w:rPr>
          <w:sz w:val="24"/>
          <w:szCs w:val="24"/>
        </w:rPr>
      </w:pPr>
      <w:r>
        <w:rPr>
          <w:sz w:val="24"/>
          <w:szCs w:val="24"/>
        </w:rPr>
        <w:t xml:space="preserve">Naime u potpunosti je realizovano 50% svih aktivnosti, 31% aktivnosti je djelimično realizovano, a 20% predviđenih aktivnosti je ostalo nerealizovano. Kada je u pitanju cjelokupni efekat tokom četiri godine, </w:t>
      </w:r>
      <w:r>
        <w:rPr>
          <w:sz w:val="24"/>
          <w:szCs w:val="24"/>
        </w:rPr>
        <w:lastRenderedPageBreak/>
        <w:t>odnosno indikatori učinka, zabilježen je napredak kod 23 od ukupno 35 indikatora, dok za 5 indikatora nisu pronađeni mjerljivi podaci ili je relevantnost njihovog praćenja istekla.</w:t>
      </w:r>
    </w:p>
    <w:p w14:paraId="52166EF6" w14:textId="77777777" w:rsidR="005B3072" w:rsidRDefault="00A46913">
      <w:pPr>
        <w:pBdr>
          <w:top w:val="nil"/>
          <w:left w:val="nil"/>
          <w:bottom w:val="nil"/>
          <w:right w:val="nil"/>
          <w:between w:val="nil"/>
        </w:pBdr>
        <w:spacing w:after="0" w:line="276" w:lineRule="auto"/>
        <w:jc w:val="both"/>
        <w:rPr>
          <w:sz w:val="24"/>
          <w:szCs w:val="24"/>
        </w:rPr>
      </w:pPr>
      <w:r>
        <w:rPr>
          <w:sz w:val="24"/>
          <w:szCs w:val="24"/>
        </w:rPr>
        <w:t xml:space="preserve"> </w:t>
      </w:r>
    </w:p>
    <w:p w14:paraId="41ABC69B" w14:textId="77777777" w:rsidR="005B3072" w:rsidRDefault="00A46913">
      <w:pPr>
        <w:pBdr>
          <w:top w:val="nil"/>
          <w:left w:val="nil"/>
          <w:bottom w:val="nil"/>
          <w:right w:val="nil"/>
          <w:between w:val="nil"/>
        </w:pBdr>
        <w:spacing w:after="0" w:line="276" w:lineRule="auto"/>
        <w:jc w:val="both"/>
        <w:rPr>
          <w:sz w:val="24"/>
          <w:szCs w:val="24"/>
        </w:rPr>
      </w:pPr>
      <w:r>
        <w:rPr>
          <w:sz w:val="24"/>
          <w:szCs w:val="24"/>
        </w:rPr>
        <w:t>Kao razlog za kašnjenje ili izostanak realizacije velikog broja aktivnosti, institucije su osim nedostatka sredstava i kapaciteta, naročito prepoznale specifičnost situacije koja je nastala usled pandemije COVID-19. Iako su nove okolnosti uticale na način na koji građani komuniciraju sa svojom administracijom i generalno podstakle pozitivne promjene u nekoliko strateških oblasti, svi resursi su uglavnom bili okrenuti ka odgovoru na novonastalu situaciju, te su usled toga mnoge ranije planirane redovne aktivnosti zanemarene. Takođe, kao ključni izazovi prepoznati su i nedostatak konsenzusa relevantnih institucija u definisanju prioriteta i rokova, nedostatak finansijskih sredstava i ambiciozno postavljeni rokovi.</w:t>
      </w:r>
    </w:p>
    <w:p w14:paraId="75EF1015" w14:textId="77777777" w:rsidR="005B3072" w:rsidRDefault="00A46913">
      <w:pPr>
        <w:pBdr>
          <w:top w:val="nil"/>
          <w:left w:val="nil"/>
          <w:bottom w:val="nil"/>
          <w:right w:val="nil"/>
          <w:between w:val="nil"/>
        </w:pBdr>
        <w:spacing w:after="0" w:line="276" w:lineRule="auto"/>
        <w:jc w:val="center"/>
        <w:rPr>
          <w:sz w:val="24"/>
          <w:szCs w:val="24"/>
        </w:rPr>
      </w:pPr>
      <w:r>
        <w:rPr>
          <w:sz w:val="24"/>
          <w:szCs w:val="24"/>
        </w:rPr>
        <w:t xml:space="preserve"> </w:t>
      </w:r>
      <w:r>
        <w:rPr>
          <w:noProof/>
          <w:sz w:val="24"/>
          <w:szCs w:val="24"/>
        </w:rPr>
        <w:drawing>
          <wp:inline distT="114300" distB="114300" distL="114300" distR="114300" wp14:anchorId="1A5F0D2E" wp14:editId="4B895C47">
            <wp:extent cx="3552825" cy="1838325"/>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552825" cy="1838325"/>
                    </a:xfrm>
                    <a:prstGeom prst="rect">
                      <a:avLst/>
                    </a:prstGeom>
                    <a:ln/>
                  </pic:spPr>
                </pic:pic>
              </a:graphicData>
            </a:graphic>
          </wp:inline>
        </w:drawing>
      </w:r>
    </w:p>
    <w:p w14:paraId="6F48E56B" w14:textId="77777777" w:rsidR="005B3072" w:rsidRDefault="00A46913">
      <w:pPr>
        <w:pBdr>
          <w:top w:val="nil"/>
          <w:left w:val="nil"/>
          <w:bottom w:val="nil"/>
          <w:right w:val="nil"/>
          <w:between w:val="nil"/>
        </w:pBdr>
        <w:spacing w:after="0" w:line="276" w:lineRule="auto"/>
        <w:jc w:val="both"/>
        <w:rPr>
          <w:sz w:val="24"/>
          <w:szCs w:val="24"/>
        </w:rPr>
      </w:pPr>
      <w:r>
        <w:rPr>
          <w:i/>
          <w:sz w:val="24"/>
          <w:szCs w:val="24"/>
        </w:rPr>
        <w:t>Grafik</w:t>
      </w:r>
      <w:r>
        <w:rPr>
          <w:sz w:val="24"/>
          <w:szCs w:val="24"/>
        </w:rPr>
        <w:t>: Prikaz realizacije specifičnih aktivnosti po sledećim ciljevima (oblastima): 1) infrastruktura za širokopojasni pristup; 3) e-poslovanje; 4) e-obrazovanje; 5) e-zdravstvo; 6) e-uključivanje; 7) e-uprava; 8) istraživanje, inovacije.</w:t>
      </w:r>
    </w:p>
    <w:p w14:paraId="5A963A5F" w14:textId="77777777" w:rsidR="005B3072" w:rsidRDefault="005B3072">
      <w:pPr>
        <w:pBdr>
          <w:top w:val="nil"/>
          <w:left w:val="nil"/>
          <w:bottom w:val="nil"/>
          <w:right w:val="nil"/>
          <w:between w:val="nil"/>
        </w:pBdr>
        <w:spacing w:after="0" w:line="276" w:lineRule="auto"/>
        <w:jc w:val="both"/>
        <w:rPr>
          <w:sz w:val="24"/>
          <w:szCs w:val="24"/>
        </w:rPr>
      </w:pPr>
    </w:p>
    <w:p w14:paraId="504A3C22" w14:textId="77777777" w:rsidR="005B3072" w:rsidRDefault="00A46913">
      <w:pPr>
        <w:pBdr>
          <w:top w:val="nil"/>
          <w:left w:val="nil"/>
          <w:bottom w:val="nil"/>
          <w:right w:val="nil"/>
          <w:between w:val="nil"/>
        </w:pBdr>
        <w:spacing w:after="0" w:line="276" w:lineRule="auto"/>
        <w:jc w:val="both"/>
        <w:rPr>
          <w:sz w:val="24"/>
          <w:szCs w:val="24"/>
        </w:rPr>
      </w:pPr>
      <w:r>
        <w:rPr>
          <w:sz w:val="24"/>
          <w:szCs w:val="24"/>
        </w:rPr>
        <w:t>Nova Strategija digitalne transformacije Crne Gore 2022-2026 ima za cilj prepoznavanje principa na kojima treba graditi dalju transformaciju društva kroz približavanje i usvajanje načela kojima se rukovodi, ne samo Evropska unija, već i druge razvijene zemlje svijeta, a uzimajući u obzir specifičnosti crnogorskog društva. Pored navedenog, tim strateškim dokumentom će, ukoliko nalazi Analize stanja tako ukažu prilikom tumačenja učinaka i nedostataka prethodne Strategije razvoja informacionog društva 2016-2020, biti obuhvaćene i pojedine aktivnosti iz navedene Strategije, ali će akcenat, imajući u vidu brzinu promjena u tehnološkim preduslovima i nastajanje novih potreba i mogućnosti, biti na nekim sasvim drugačijim aktivnostima bez obzira na moguće slične strateške stubove i pravce razvoja. Dakle pitanja ostaju ista, ali su odgovori drugačiji.</w:t>
      </w:r>
    </w:p>
    <w:p w14:paraId="4AF1B43A" w14:textId="77777777" w:rsidR="005B3072" w:rsidRDefault="005B3072">
      <w:pPr>
        <w:pBdr>
          <w:top w:val="nil"/>
          <w:left w:val="nil"/>
          <w:bottom w:val="nil"/>
          <w:right w:val="nil"/>
          <w:between w:val="nil"/>
        </w:pBdr>
        <w:spacing w:after="0" w:line="276" w:lineRule="auto"/>
        <w:jc w:val="both"/>
        <w:rPr>
          <w:color w:val="FF00FF"/>
          <w:sz w:val="24"/>
          <w:szCs w:val="24"/>
        </w:rPr>
      </w:pPr>
    </w:p>
    <w:p w14:paraId="359BE0AD" w14:textId="77777777" w:rsidR="005B3072" w:rsidRDefault="00A46913">
      <w:pPr>
        <w:pStyle w:val="Heading2"/>
        <w:spacing w:after="240"/>
        <w:rPr>
          <w:b/>
          <w:color w:val="0070C0"/>
          <w:sz w:val="28"/>
          <w:szCs w:val="28"/>
        </w:rPr>
      </w:pPr>
      <w:bookmarkStart w:id="10" w:name="_2s8eyo1" w:colFirst="0" w:colLast="0"/>
      <w:bookmarkEnd w:id="10"/>
      <w:r>
        <w:rPr>
          <w:b/>
          <w:color w:val="0070C0"/>
          <w:sz w:val="28"/>
          <w:szCs w:val="28"/>
        </w:rPr>
        <w:t>Organizacija i koordinacija</w:t>
      </w:r>
    </w:p>
    <w:p w14:paraId="38070AE4"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Na osnovu analize prikupljene dokumentacije, informacija dobijenih tokom javnih konsultacija za pripremu Strategije, kao i ključnih izazova koji su istaknuti od strane Operativne radne grupe, prepoznat je značaj uspostavljanja </w:t>
      </w:r>
      <w:r>
        <w:rPr>
          <w:b/>
          <w:color w:val="000000"/>
          <w:sz w:val="24"/>
          <w:szCs w:val="24"/>
        </w:rPr>
        <w:t>centralnog koordinacionog tijela za upravljanje i usmjeravanje aktivnosti za uspješnu digitalnu transformaciju</w:t>
      </w:r>
      <w:r>
        <w:rPr>
          <w:color w:val="000000"/>
          <w:sz w:val="24"/>
          <w:szCs w:val="24"/>
        </w:rPr>
        <w:t xml:space="preserve">. Značaj uspostavljanja ovakvog tijela ogleda se u činjenici da trenutno </w:t>
      </w:r>
      <w:r>
        <w:rPr>
          <w:color w:val="000000"/>
          <w:sz w:val="24"/>
          <w:szCs w:val="24"/>
        </w:rPr>
        <w:lastRenderedPageBreak/>
        <w:t xml:space="preserve">postoji veoma visoka fragmentacija ciljeva, odgovornosti, radnih tijela i strateških dokumenata u ovoj oblasti. Pored toga, primjetna su i određena preklapanja odgovornosti kod postojećih savjetodavnih tijela kao i potreba za preciznim pozicioniranjem njihove uloge i oblastima djelovanja na određenom nivou – društvenom ili sektorskom. </w:t>
      </w:r>
    </w:p>
    <w:p w14:paraId="01398F98" w14:textId="77777777" w:rsidR="005B3072" w:rsidRDefault="00A46913">
      <w:pPr>
        <w:pBdr>
          <w:top w:val="nil"/>
          <w:left w:val="nil"/>
          <w:bottom w:val="nil"/>
          <w:right w:val="nil"/>
          <w:between w:val="nil"/>
        </w:pBdr>
        <w:spacing w:after="240" w:line="276" w:lineRule="auto"/>
        <w:jc w:val="both"/>
        <w:rPr>
          <w:color w:val="000000"/>
          <w:sz w:val="24"/>
          <w:szCs w:val="24"/>
        </w:rPr>
      </w:pPr>
      <w:r>
        <w:rPr>
          <w:b/>
          <w:color w:val="000000"/>
          <w:sz w:val="24"/>
          <w:szCs w:val="24"/>
        </w:rPr>
        <w:t>Programom rada Vlade Crne Gore za 2021</w:t>
      </w:r>
      <w:r>
        <w:rPr>
          <w:color w:val="000000"/>
          <w:sz w:val="24"/>
          <w:szCs w:val="24"/>
          <w:vertAlign w:val="superscript"/>
        </w:rPr>
        <w:footnoteReference w:id="32"/>
      </w:r>
      <w:r>
        <w:rPr>
          <w:color w:val="000000"/>
          <w:sz w:val="24"/>
          <w:szCs w:val="24"/>
        </w:rPr>
        <w:t>, prepoznat je cilj 5.5 koji je izričito u nadležnosti Ministarstva javne uprave, digitalnog društva i medija (MJUDDM) i koji se fokusira na razvoj digitalnog društva kao i poboljšanje stepena digitalne transformacije proizvoda i usluga namijenjenih građanima i privredi. Pored navedenog, a u cilju regulisanja e-uprave u Crnoj Gori, 2019. godine je usvojen Zakon o elektronskoj upravi</w:t>
      </w:r>
      <w:r>
        <w:rPr>
          <w:color w:val="000000"/>
          <w:sz w:val="24"/>
          <w:szCs w:val="24"/>
          <w:vertAlign w:val="superscript"/>
        </w:rPr>
        <w:footnoteReference w:id="33"/>
      </w:r>
      <w:r>
        <w:rPr>
          <w:color w:val="000000"/>
          <w:sz w:val="24"/>
          <w:szCs w:val="24"/>
        </w:rPr>
        <w:t>.</w:t>
      </w:r>
    </w:p>
    <w:p w14:paraId="184667A1"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Postojeća radna tijela sa koordinacionim zadacima i njihovim odgovornostima, a koje ulaze i u domen digitalne transformacije, predstavljena su u Tabeli 1.</w:t>
      </w:r>
    </w:p>
    <w:tbl>
      <w:tblPr>
        <w:tblStyle w:val="a"/>
        <w:tblW w:w="10188" w:type="dxa"/>
        <w:tblBorders>
          <w:top w:val="single" w:sz="4" w:space="0" w:color="5B9BD5"/>
          <w:left w:val="single" w:sz="4" w:space="0" w:color="FFFFFF"/>
          <w:bottom w:val="single" w:sz="4" w:space="0" w:color="5B9BD5"/>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695"/>
        <w:gridCol w:w="5115"/>
        <w:gridCol w:w="1575"/>
        <w:gridCol w:w="1803"/>
      </w:tblGrid>
      <w:tr w:rsidR="005B3072" w14:paraId="149C16C5" w14:textId="77777777" w:rsidTr="005B3072">
        <w:trPr>
          <w:cnfStyle w:val="000000100000" w:firstRow="0" w:lastRow="0" w:firstColumn="0" w:lastColumn="0" w:oddVBand="0" w:evenVBand="0" w:oddHBand="1" w:evenHBand="0" w:firstRowFirstColumn="0" w:firstRowLastColumn="0" w:lastRowFirstColumn="0" w:lastRowLastColumn="0"/>
          <w:trHeight w:val="618"/>
        </w:trPr>
        <w:tc>
          <w:tcPr>
            <w:tcW w:w="1695" w:type="dxa"/>
            <w:shd w:val="clear" w:color="auto" w:fill="9CC3E5"/>
            <w:vAlign w:val="center"/>
          </w:tcPr>
          <w:p w14:paraId="600241D0" w14:textId="77777777" w:rsidR="005B3072" w:rsidRDefault="00A46913">
            <w:pPr>
              <w:jc w:val="center"/>
              <w:rPr>
                <w:sz w:val="24"/>
                <w:szCs w:val="24"/>
              </w:rPr>
            </w:pPr>
            <w:r>
              <w:rPr>
                <w:b/>
                <w:sz w:val="24"/>
                <w:szCs w:val="24"/>
              </w:rPr>
              <w:t>Naziv Savjeta</w:t>
            </w:r>
          </w:p>
        </w:tc>
        <w:tc>
          <w:tcPr>
            <w:tcW w:w="5115" w:type="dxa"/>
            <w:shd w:val="clear" w:color="auto" w:fill="9CC3E5"/>
            <w:vAlign w:val="center"/>
          </w:tcPr>
          <w:p w14:paraId="51A3A1FD" w14:textId="77777777" w:rsidR="005B3072" w:rsidRDefault="00A46913">
            <w:pPr>
              <w:jc w:val="center"/>
              <w:rPr>
                <w:b/>
                <w:sz w:val="24"/>
                <w:szCs w:val="24"/>
              </w:rPr>
            </w:pPr>
            <w:r>
              <w:rPr>
                <w:b/>
                <w:sz w:val="24"/>
                <w:szCs w:val="24"/>
              </w:rPr>
              <w:t>Opis</w:t>
            </w:r>
          </w:p>
        </w:tc>
        <w:tc>
          <w:tcPr>
            <w:tcW w:w="1575" w:type="dxa"/>
            <w:shd w:val="clear" w:color="auto" w:fill="9CC3E5"/>
            <w:vAlign w:val="center"/>
          </w:tcPr>
          <w:p w14:paraId="0D8A4BC4" w14:textId="77777777" w:rsidR="005B3072" w:rsidRDefault="00A46913">
            <w:pPr>
              <w:jc w:val="center"/>
              <w:rPr>
                <w:b/>
                <w:sz w:val="24"/>
                <w:szCs w:val="24"/>
              </w:rPr>
            </w:pPr>
            <w:r>
              <w:rPr>
                <w:b/>
                <w:sz w:val="24"/>
                <w:szCs w:val="24"/>
              </w:rPr>
              <w:t>Administrativno-stručne poslove obavlja u ime Savjeta</w:t>
            </w:r>
          </w:p>
        </w:tc>
        <w:tc>
          <w:tcPr>
            <w:tcW w:w="1803" w:type="dxa"/>
            <w:shd w:val="clear" w:color="auto" w:fill="9CC3E5"/>
            <w:vAlign w:val="center"/>
          </w:tcPr>
          <w:p w14:paraId="0D89646A" w14:textId="77777777" w:rsidR="005B3072" w:rsidRDefault="00A46913">
            <w:pPr>
              <w:jc w:val="center"/>
              <w:rPr>
                <w:b/>
                <w:sz w:val="24"/>
                <w:szCs w:val="24"/>
              </w:rPr>
            </w:pPr>
            <w:r>
              <w:rPr>
                <w:b/>
                <w:sz w:val="24"/>
                <w:szCs w:val="24"/>
              </w:rPr>
              <w:t>Javno-društveni/</w:t>
            </w:r>
          </w:p>
          <w:p w14:paraId="6ADDF18D" w14:textId="77777777" w:rsidR="005B3072" w:rsidRDefault="00A46913">
            <w:pPr>
              <w:jc w:val="center"/>
              <w:rPr>
                <w:b/>
                <w:sz w:val="24"/>
                <w:szCs w:val="24"/>
              </w:rPr>
            </w:pPr>
            <w:r>
              <w:rPr>
                <w:b/>
                <w:sz w:val="24"/>
                <w:szCs w:val="24"/>
              </w:rPr>
              <w:t>Sektorski/</w:t>
            </w:r>
          </w:p>
          <w:p w14:paraId="5F888D28" w14:textId="77777777" w:rsidR="005B3072" w:rsidRDefault="00A46913">
            <w:pPr>
              <w:jc w:val="center"/>
              <w:rPr>
                <w:b/>
                <w:sz w:val="24"/>
                <w:szCs w:val="24"/>
              </w:rPr>
            </w:pPr>
            <w:r>
              <w:rPr>
                <w:b/>
                <w:sz w:val="24"/>
                <w:szCs w:val="24"/>
              </w:rPr>
              <w:t>organizacioni nivo</w:t>
            </w:r>
          </w:p>
        </w:tc>
      </w:tr>
      <w:tr w:rsidR="005B3072" w14:paraId="4ACCED0F" w14:textId="77777777" w:rsidTr="005B3072">
        <w:trPr>
          <w:trHeight w:val="2135"/>
        </w:trPr>
        <w:tc>
          <w:tcPr>
            <w:tcW w:w="1695" w:type="dxa"/>
            <w:shd w:val="clear" w:color="auto" w:fill="9CC3E5"/>
          </w:tcPr>
          <w:p w14:paraId="432231DF" w14:textId="77777777" w:rsidR="005B3072" w:rsidRDefault="00A46913">
            <w:pPr>
              <w:rPr>
                <w:sz w:val="24"/>
                <w:szCs w:val="24"/>
              </w:rPr>
            </w:pPr>
            <w:r>
              <w:rPr>
                <w:b/>
                <w:sz w:val="24"/>
                <w:szCs w:val="24"/>
              </w:rPr>
              <w:t>Savjet za inovacije i pametnu specijalizaciju</w:t>
            </w:r>
          </w:p>
        </w:tc>
        <w:tc>
          <w:tcPr>
            <w:tcW w:w="5115" w:type="dxa"/>
          </w:tcPr>
          <w:p w14:paraId="11E01B98" w14:textId="77777777" w:rsidR="005B3072" w:rsidRDefault="00A46913">
            <w:pPr>
              <w:jc w:val="both"/>
              <w:rPr>
                <w:color w:val="000000"/>
                <w:sz w:val="24"/>
                <w:szCs w:val="24"/>
              </w:rPr>
            </w:pPr>
            <w:r>
              <w:rPr>
                <w:color w:val="000000"/>
                <w:sz w:val="24"/>
                <w:szCs w:val="24"/>
              </w:rPr>
              <w:t>Nadležnosti ovog ključnog savjetodavnog tijela u oblasti politike inovacija i pametne specijalizacije kao krovne strategije koja umrežava više sektorskih politika, odnose se na:</w:t>
            </w:r>
          </w:p>
          <w:p w14:paraId="5D8F590E"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predlaganje Vladi politika i strategija kojima se uređuje oblast inovacija i tehnološkog razvoja u Crnoj Gori;</w:t>
            </w:r>
          </w:p>
          <w:p w14:paraId="5F5848D3"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davanje mišljenja na predloge zakona i drugih propisa iz oblasti inovacione djelatnosti i drugih oblasti, koji obezbjeđuju opšte uslove za podsticaj inovacione djelatnosti i korišćenje njenih rezultata;</w:t>
            </w:r>
          </w:p>
          <w:p w14:paraId="58EE9F37"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praćenje ostvarivanja strategija kojima se uređuje oblast inovacija i tehnološkog razvoja u Crnoj Gori;</w:t>
            </w:r>
          </w:p>
          <w:p w14:paraId="555EF5A5"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utvrđivanje programa od opšteg interesa u oblasti inovacija i pametne specijalizacije;</w:t>
            </w:r>
          </w:p>
          <w:p w14:paraId="37028DAA"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lastRenderedPageBreak/>
              <w:t>saradnju sa drugim savjetima i subjektima nacionalnog inovacionog sistema;</w:t>
            </w:r>
          </w:p>
          <w:p w14:paraId="78017A9C"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praćenje aktivnosti organa državne uprave i drugih nadležnih organa i institucija na planu utvrđivanja investicionih prioriteta i sprovođenja mjera definisanih strateškim razvojnim dokumentima u domenu inovacija, davanje mišljenja i predlaganje koordinacije instrumenata;</w:t>
            </w:r>
          </w:p>
          <w:p w14:paraId="6BC9BA4A"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predlaganje nacionalne strukture za implementaciju Strategije pametne specijalizacije Crne Gore (2019-2024);</w:t>
            </w:r>
          </w:p>
          <w:p w14:paraId="34FCA065" w14:textId="77777777" w:rsidR="005B3072" w:rsidRDefault="00A46913">
            <w:pPr>
              <w:numPr>
                <w:ilvl w:val="0"/>
                <w:numId w:val="32"/>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razmatranje godišnjih izvještaja o realizovanim aktivnostima Strategije pametne specijalizacije Crne Gore (2019-2024) i dostavljanje komentara organu uprave, odnosno tijelu nadležnom za koordinaciju pripreme izvještaja, i</w:t>
            </w:r>
          </w:p>
          <w:p w14:paraId="5AA211BD" w14:textId="77777777" w:rsidR="005B3072" w:rsidRDefault="00A46913">
            <w:pPr>
              <w:numPr>
                <w:ilvl w:val="0"/>
                <w:numId w:val="32"/>
              </w:numPr>
              <w:pBdr>
                <w:top w:val="nil"/>
                <w:left w:val="nil"/>
                <w:bottom w:val="nil"/>
                <w:right w:val="nil"/>
                <w:between w:val="nil"/>
              </w:pBdr>
              <w:spacing w:after="160" w:line="276" w:lineRule="auto"/>
              <w:ind w:left="362" w:hanging="141"/>
              <w:jc w:val="both"/>
              <w:rPr>
                <w:color w:val="000000"/>
                <w:sz w:val="24"/>
                <w:szCs w:val="24"/>
              </w:rPr>
            </w:pPr>
            <w:r>
              <w:rPr>
                <w:color w:val="000000"/>
                <w:sz w:val="24"/>
                <w:szCs w:val="24"/>
              </w:rPr>
              <w:t>javno promovisanje značaja inovacija i pametne specijalizacije za ukupan društveno-ekonomski razvoj Crne Gore i poboljšanje kvaliteta života građana.</w:t>
            </w:r>
          </w:p>
        </w:tc>
        <w:tc>
          <w:tcPr>
            <w:tcW w:w="1575" w:type="dxa"/>
          </w:tcPr>
          <w:p w14:paraId="168F71B4" w14:textId="77777777" w:rsidR="005B3072" w:rsidRDefault="00A46913">
            <w:pPr>
              <w:rPr>
                <w:color w:val="000000"/>
                <w:sz w:val="24"/>
                <w:szCs w:val="24"/>
              </w:rPr>
            </w:pPr>
            <w:r>
              <w:rPr>
                <w:color w:val="000000"/>
                <w:sz w:val="24"/>
                <w:szCs w:val="24"/>
              </w:rPr>
              <w:lastRenderedPageBreak/>
              <w:t>Ministarstvo ekonomskog razvoja</w:t>
            </w:r>
          </w:p>
        </w:tc>
        <w:tc>
          <w:tcPr>
            <w:tcW w:w="1803" w:type="dxa"/>
          </w:tcPr>
          <w:p w14:paraId="1809CB67" w14:textId="77777777" w:rsidR="005B3072" w:rsidRDefault="00A46913">
            <w:pPr>
              <w:rPr>
                <w:color w:val="000000"/>
                <w:sz w:val="24"/>
                <w:szCs w:val="24"/>
              </w:rPr>
            </w:pPr>
            <w:r>
              <w:rPr>
                <w:color w:val="000000"/>
                <w:sz w:val="24"/>
                <w:szCs w:val="24"/>
              </w:rPr>
              <w:t>Javno-društveni</w:t>
            </w:r>
          </w:p>
        </w:tc>
      </w:tr>
      <w:tr w:rsidR="005B3072" w14:paraId="6C6BFE9F" w14:textId="77777777" w:rsidTr="005B3072">
        <w:trPr>
          <w:cnfStyle w:val="000000100000" w:firstRow="0" w:lastRow="0" w:firstColumn="0" w:lastColumn="0" w:oddVBand="0" w:evenVBand="0" w:oddHBand="1" w:evenHBand="0" w:firstRowFirstColumn="0" w:firstRowLastColumn="0" w:lastRowFirstColumn="0" w:lastRowLastColumn="0"/>
          <w:trHeight w:val="964"/>
        </w:trPr>
        <w:tc>
          <w:tcPr>
            <w:tcW w:w="1695" w:type="dxa"/>
            <w:shd w:val="clear" w:color="auto" w:fill="9CC3E5"/>
          </w:tcPr>
          <w:p w14:paraId="32AF2C98" w14:textId="77777777" w:rsidR="005B3072" w:rsidRDefault="00A46913">
            <w:pPr>
              <w:rPr>
                <w:sz w:val="24"/>
                <w:szCs w:val="24"/>
              </w:rPr>
            </w:pPr>
            <w:r>
              <w:rPr>
                <w:b/>
                <w:sz w:val="24"/>
                <w:szCs w:val="24"/>
              </w:rPr>
              <w:lastRenderedPageBreak/>
              <w:t>Savjet za konkurentnost</w:t>
            </w:r>
          </w:p>
        </w:tc>
        <w:tc>
          <w:tcPr>
            <w:tcW w:w="5115" w:type="dxa"/>
          </w:tcPr>
          <w:p w14:paraId="054E9C63" w14:textId="77777777" w:rsidR="005B3072" w:rsidRDefault="00A46913">
            <w:pPr>
              <w:jc w:val="both"/>
              <w:rPr>
                <w:color w:val="000000"/>
                <w:sz w:val="24"/>
                <w:szCs w:val="24"/>
              </w:rPr>
            </w:pPr>
            <w:r>
              <w:rPr>
                <w:color w:val="000000"/>
                <w:sz w:val="24"/>
                <w:szCs w:val="24"/>
              </w:rPr>
              <w:t>Koordinira aktivnosti na planu sprovođenja prioritetnih reformskih mjera definisanih strateškim razvojnim dokumentima, koje su u funkciji otklanjanja ključnih prepreka za veću konkurentnost ekonomije i brži privredni rast Crne Gore. Cilj je da svojim djelovanjem doprinese većoj konkurentnosti ekonomije i bržem privrednom rastu zemlje. To podrazumijeva ne samo rad na unapređenju procesa i procedura, već i predlaganje strukturnih reformi za unapređenje konkurentnosti, izradu plana za suzbijanje sive ekonomije, unapređenje tržišta rada i zapošljavanja. Jedan od važnih zadataka Savjeta je da javno promoviše značaj dijaloga između privatnog i javnog sektora sa ciljem unapređenja konkurentnosti, stvaranja stimulativnog poslovnog ambijenta i poboljšanje kvaliteta života građana.</w:t>
            </w:r>
          </w:p>
        </w:tc>
        <w:tc>
          <w:tcPr>
            <w:tcW w:w="1575" w:type="dxa"/>
          </w:tcPr>
          <w:p w14:paraId="33D23B49" w14:textId="77777777" w:rsidR="005B3072" w:rsidRDefault="00A46913">
            <w:pPr>
              <w:jc w:val="both"/>
              <w:rPr>
                <w:color w:val="000000"/>
                <w:sz w:val="24"/>
                <w:szCs w:val="24"/>
              </w:rPr>
            </w:pPr>
            <w:r>
              <w:rPr>
                <w:color w:val="000000"/>
                <w:sz w:val="24"/>
                <w:szCs w:val="24"/>
              </w:rPr>
              <w:t>Sekretarijat Savjeta za konkurentnost koji je formiran na osnovu Memoranduma o sporazumu između Vlade Crne Gore i Evropske banke za obnovu i razvoj</w:t>
            </w:r>
          </w:p>
          <w:p w14:paraId="233937A3" w14:textId="77777777" w:rsidR="005B3072" w:rsidRDefault="00A46913">
            <w:pPr>
              <w:rPr>
                <w:color w:val="000000"/>
                <w:sz w:val="24"/>
                <w:szCs w:val="24"/>
              </w:rPr>
            </w:pPr>
            <w:r>
              <w:rPr>
                <w:color w:val="000000"/>
                <w:sz w:val="24"/>
                <w:szCs w:val="24"/>
              </w:rPr>
              <w:t> </w:t>
            </w:r>
          </w:p>
        </w:tc>
        <w:tc>
          <w:tcPr>
            <w:tcW w:w="1803" w:type="dxa"/>
          </w:tcPr>
          <w:p w14:paraId="65183311" w14:textId="77777777" w:rsidR="005B3072" w:rsidRDefault="00A46913">
            <w:pPr>
              <w:rPr>
                <w:color w:val="000000"/>
                <w:sz w:val="24"/>
                <w:szCs w:val="24"/>
              </w:rPr>
            </w:pPr>
            <w:r>
              <w:rPr>
                <w:color w:val="000000"/>
                <w:sz w:val="24"/>
                <w:szCs w:val="24"/>
              </w:rPr>
              <w:t>Javno-društveni</w:t>
            </w:r>
          </w:p>
        </w:tc>
      </w:tr>
      <w:tr w:rsidR="005B3072" w14:paraId="49F28E65" w14:textId="77777777" w:rsidTr="005B3072">
        <w:trPr>
          <w:trHeight w:val="1296"/>
        </w:trPr>
        <w:tc>
          <w:tcPr>
            <w:tcW w:w="1695" w:type="dxa"/>
            <w:shd w:val="clear" w:color="auto" w:fill="9CC3E5"/>
          </w:tcPr>
          <w:p w14:paraId="061405BD" w14:textId="77777777" w:rsidR="005B3072" w:rsidRDefault="00A46913">
            <w:pPr>
              <w:rPr>
                <w:sz w:val="24"/>
                <w:szCs w:val="24"/>
              </w:rPr>
            </w:pPr>
            <w:r>
              <w:rPr>
                <w:b/>
                <w:sz w:val="24"/>
                <w:szCs w:val="24"/>
              </w:rPr>
              <w:lastRenderedPageBreak/>
              <w:t>Savjet za elektronsku upravu</w:t>
            </w:r>
          </w:p>
        </w:tc>
        <w:tc>
          <w:tcPr>
            <w:tcW w:w="5115" w:type="dxa"/>
          </w:tcPr>
          <w:p w14:paraId="492CCD65" w14:textId="77777777" w:rsidR="005B3072" w:rsidRDefault="00A46913">
            <w:pPr>
              <w:jc w:val="both"/>
              <w:rPr>
                <w:color w:val="000000"/>
                <w:sz w:val="24"/>
                <w:szCs w:val="24"/>
              </w:rPr>
            </w:pPr>
            <w:r>
              <w:rPr>
                <w:color w:val="000000"/>
                <w:sz w:val="24"/>
                <w:szCs w:val="24"/>
              </w:rPr>
              <w:t>Zadaci Savjeta su da:</w:t>
            </w:r>
          </w:p>
          <w:p w14:paraId="56D07C33" w14:textId="77777777" w:rsidR="005B3072" w:rsidRDefault="00A46913">
            <w:pPr>
              <w:numPr>
                <w:ilvl w:val="0"/>
                <w:numId w:val="44"/>
              </w:numPr>
              <w:pBdr>
                <w:top w:val="nil"/>
                <w:left w:val="nil"/>
                <w:bottom w:val="nil"/>
                <w:right w:val="nil"/>
                <w:between w:val="nil"/>
              </w:pBdr>
              <w:spacing w:before="240" w:line="276" w:lineRule="auto"/>
              <w:ind w:left="362" w:hanging="141"/>
              <w:jc w:val="both"/>
              <w:rPr>
                <w:color w:val="000000"/>
                <w:sz w:val="24"/>
                <w:szCs w:val="24"/>
              </w:rPr>
            </w:pPr>
            <w:r>
              <w:rPr>
                <w:color w:val="000000"/>
                <w:sz w:val="24"/>
                <w:szCs w:val="24"/>
              </w:rPr>
              <w:t>informiše Vladu Crne Gore o svim bitnim pitanjima koja se odnose na razvoj elektronske uprave i informaciono-komunikacionih tehnologija;</w:t>
            </w:r>
          </w:p>
          <w:p w14:paraId="17398892" w14:textId="77777777" w:rsidR="005B3072" w:rsidRDefault="00A46913">
            <w:pPr>
              <w:numPr>
                <w:ilvl w:val="0"/>
                <w:numId w:val="44"/>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usmjerava, koordinira i prati aktivnosti vezane za razvoj elektronske uprave, između državnih organa, organa državne uprave, organa lokalne samouprave, organa lokalne uprave i drugih organa, u skladu sa čl. 1 i 2 Zakona o elektronskoj upravi;</w:t>
            </w:r>
          </w:p>
          <w:p w14:paraId="15390CED" w14:textId="77777777" w:rsidR="005B3072" w:rsidRDefault="00A46913">
            <w:pPr>
              <w:numPr>
                <w:ilvl w:val="0"/>
                <w:numId w:val="44"/>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razmatra stručna pitanja u oblasti informaciono-komunikacionih tehnologija, koja se odnose na razvoj elektronske uprave;</w:t>
            </w:r>
          </w:p>
          <w:p w14:paraId="48B1A94D" w14:textId="77777777" w:rsidR="005B3072" w:rsidRDefault="00A46913">
            <w:pPr>
              <w:numPr>
                <w:ilvl w:val="0"/>
                <w:numId w:val="44"/>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razmatra nacrte propisa, podzakonskih akata, strateških, planskih i drugih dokumenata iz oblasti elektronske uprave i informaciono-komunikacionih tehnologija, u cilju digitalne transformacije Crne Gore;</w:t>
            </w:r>
          </w:p>
          <w:p w14:paraId="62B8DA91" w14:textId="77777777" w:rsidR="005B3072" w:rsidRDefault="00A46913">
            <w:pPr>
              <w:numPr>
                <w:ilvl w:val="0"/>
                <w:numId w:val="44"/>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inicira izmjenu postojeće zakonske regulative iz oblasti digitalizacije i elektronske uprave; - predlaže mjere za usklađivanje zakonodavnog i administrativnog okvira u cilju unapređenja razvoja elektronske uprave;</w:t>
            </w:r>
          </w:p>
          <w:p w14:paraId="68A5E695" w14:textId="77777777" w:rsidR="005B3072" w:rsidRDefault="00A46913">
            <w:pPr>
              <w:numPr>
                <w:ilvl w:val="0"/>
                <w:numId w:val="44"/>
              </w:numPr>
              <w:pBdr>
                <w:top w:val="nil"/>
                <w:left w:val="nil"/>
                <w:bottom w:val="nil"/>
                <w:right w:val="nil"/>
                <w:between w:val="nil"/>
              </w:pBdr>
              <w:spacing w:line="276" w:lineRule="auto"/>
              <w:ind w:left="362" w:hanging="141"/>
              <w:jc w:val="both"/>
              <w:rPr>
                <w:color w:val="000000"/>
                <w:sz w:val="24"/>
                <w:szCs w:val="24"/>
              </w:rPr>
            </w:pPr>
            <w:r>
              <w:rPr>
                <w:color w:val="000000"/>
                <w:sz w:val="24"/>
                <w:szCs w:val="24"/>
              </w:rPr>
              <w:t>radi na unapređenju saradnje u oblasti elektronske uprave i informaciono-komunikacionih tehnologija između državnih organa, organa državne uprave, organa lokalne samouprave, organa lokalne uprave i drugih organa, u skladu sa čl. 1 i 2 Zakona o elektronskoj upravi;</w:t>
            </w:r>
          </w:p>
          <w:p w14:paraId="3F8BD046" w14:textId="77777777" w:rsidR="005B3072" w:rsidRDefault="00A46913">
            <w:pPr>
              <w:numPr>
                <w:ilvl w:val="0"/>
                <w:numId w:val="44"/>
              </w:numPr>
              <w:pBdr>
                <w:top w:val="nil"/>
                <w:left w:val="nil"/>
                <w:bottom w:val="nil"/>
                <w:right w:val="nil"/>
                <w:between w:val="nil"/>
              </w:pBdr>
              <w:spacing w:after="160" w:line="276" w:lineRule="auto"/>
              <w:ind w:left="362" w:hanging="141"/>
              <w:jc w:val="both"/>
              <w:rPr>
                <w:color w:val="000000"/>
                <w:sz w:val="24"/>
                <w:szCs w:val="24"/>
              </w:rPr>
            </w:pPr>
            <w:r>
              <w:rPr>
                <w:color w:val="000000"/>
                <w:sz w:val="24"/>
                <w:szCs w:val="24"/>
              </w:rPr>
              <w:t>radi na unapređenju međunarodne saradnje u oblasti elektronske uprave i informaciono komunikacionih tehnologija;</w:t>
            </w:r>
          </w:p>
        </w:tc>
        <w:tc>
          <w:tcPr>
            <w:tcW w:w="1575" w:type="dxa"/>
          </w:tcPr>
          <w:p w14:paraId="71C1E7B7" w14:textId="77777777" w:rsidR="005B3072" w:rsidRDefault="00A46913">
            <w:pPr>
              <w:rPr>
                <w:color w:val="000000"/>
                <w:sz w:val="24"/>
                <w:szCs w:val="24"/>
              </w:rPr>
            </w:pPr>
            <w:r>
              <w:rPr>
                <w:color w:val="000000"/>
                <w:sz w:val="24"/>
                <w:szCs w:val="24"/>
              </w:rPr>
              <w:t>Ministarstvo javne uprave, digitalnog društva i medija</w:t>
            </w:r>
          </w:p>
        </w:tc>
        <w:tc>
          <w:tcPr>
            <w:tcW w:w="1803" w:type="dxa"/>
          </w:tcPr>
          <w:p w14:paraId="36E352F7" w14:textId="77777777" w:rsidR="005B3072" w:rsidRDefault="00A46913">
            <w:pPr>
              <w:rPr>
                <w:color w:val="000000"/>
                <w:sz w:val="24"/>
                <w:szCs w:val="24"/>
              </w:rPr>
            </w:pPr>
            <w:r>
              <w:rPr>
                <w:color w:val="000000"/>
                <w:sz w:val="24"/>
                <w:szCs w:val="24"/>
              </w:rPr>
              <w:t>Sektorski</w:t>
            </w:r>
          </w:p>
        </w:tc>
      </w:tr>
      <w:tr w:rsidR="005B3072" w14:paraId="6B9621CE" w14:textId="77777777" w:rsidTr="005B3072">
        <w:trPr>
          <w:cnfStyle w:val="000000100000" w:firstRow="0" w:lastRow="0" w:firstColumn="0" w:lastColumn="0" w:oddVBand="0" w:evenVBand="0" w:oddHBand="1" w:evenHBand="0" w:firstRowFirstColumn="0" w:firstRowLastColumn="0" w:lastRowFirstColumn="0" w:lastRowLastColumn="0"/>
          <w:trHeight w:val="4850"/>
        </w:trPr>
        <w:tc>
          <w:tcPr>
            <w:tcW w:w="1695" w:type="dxa"/>
            <w:shd w:val="clear" w:color="auto" w:fill="9CC3E5"/>
          </w:tcPr>
          <w:p w14:paraId="794D8929" w14:textId="77777777" w:rsidR="005B3072" w:rsidRDefault="00A46913">
            <w:pPr>
              <w:rPr>
                <w:sz w:val="24"/>
                <w:szCs w:val="24"/>
              </w:rPr>
            </w:pPr>
            <w:r>
              <w:rPr>
                <w:b/>
                <w:sz w:val="24"/>
                <w:szCs w:val="24"/>
              </w:rPr>
              <w:lastRenderedPageBreak/>
              <w:t>Savjet za reformu javne uprave</w:t>
            </w:r>
          </w:p>
        </w:tc>
        <w:tc>
          <w:tcPr>
            <w:tcW w:w="5115" w:type="dxa"/>
          </w:tcPr>
          <w:p w14:paraId="2E93ED3F" w14:textId="77777777" w:rsidR="005B3072" w:rsidRDefault="00A46913">
            <w:pPr>
              <w:jc w:val="both"/>
              <w:rPr>
                <w:color w:val="000000"/>
                <w:sz w:val="24"/>
                <w:szCs w:val="24"/>
              </w:rPr>
            </w:pPr>
            <w:r>
              <w:rPr>
                <w:color w:val="000000"/>
                <w:sz w:val="24"/>
                <w:szCs w:val="24"/>
              </w:rPr>
              <w:t>Zadaci Savjeta su, između ostalog, da prati sprovođenje Strategije reforme javne uprave sa pratećim akcionim planovima i programom upravljanja javnim finansijama, obezbjeđuje javnost i transparetnost procesa reforme javne uprave, prati prioritete, dinamiku i rokove realizacije mjera i aktivnosti čiji su nosioci državni organi, organi državne uprave i lokalne samouprave i ocjenjuje postignute rezultate u ostvarenju ciljeva reforme.</w:t>
            </w:r>
          </w:p>
          <w:p w14:paraId="7C014D65" w14:textId="77777777" w:rsidR="005B3072" w:rsidRDefault="00A46913">
            <w:pPr>
              <w:spacing w:before="240"/>
              <w:jc w:val="both"/>
              <w:rPr>
                <w:color w:val="000000"/>
                <w:sz w:val="24"/>
                <w:szCs w:val="24"/>
              </w:rPr>
            </w:pPr>
            <w:r>
              <w:rPr>
                <w:color w:val="000000"/>
                <w:sz w:val="24"/>
                <w:szCs w:val="24"/>
              </w:rPr>
              <w:t>Krajnji cilj reforme je da se obezbijedi visoki kvalitet usluge građanima, stvaranje javne uprave koja će doprinijeti ekonomskoj stabilnosti, povećanju kvaliteta života i konkuretnosti privredne, a ujedno i ispunjavanje uslova za članstvo u EU. </w:t>
            </w:r>
          </w:p>
        </w:tc>
        <w:tc>
          <w:tcPr>
            <w:tcW w:w="1575" w:type="dxa"/>
          </w:tcPr>
          <w:p w14:paraId="59030EC8" w14:textId="77777777" w:rsidR="005B3072" w:rsidRDefault="00A46913">
            <w:pPr>
              <w:rPr>
                <w:color w:val="000000"/>
                <w:sz w:val="24"/>
                <w:szCs w:val="24"/>
              </w:rPr>
            </w:pPr>
            <w:r>
              <w:rPr>
                <w:color w:val="000000"/>
                <w:sz w:val="24"/>
                <w:szCs w:val="24"/>
              </w:rPr>
              <w:t>Ministarstvo javne uprave, digitalnog društva i medija</w:t>
            </w:r>
          </w:p>
        </w:tc>
        <w:tc>
          <w:tcPr>
            <w:tcW w:w="1803" w:type="dxa"/>
          </w:tcPr>
          <w:p w14:paraId="655AE87E" w14:textId="77777777" w:rsidR="005B3072" w:rsidRDefault="00A46913">
            <w:pPr>
              <w:rPr>
                <w:color w:val="000000"/>
                <w:sz w:val="24"/>
                <w:szCs w:val="24"/>
              </w:rPr>
            </w:pPr>
            <w:r>
              <w:rPr>
                <w:color w:val="000000"/>
                <w:sz w:val="24"/>
                <w:szCs w:val="24"/>
              </w:rPr>
              <w:t>Sektorski</w:t>
            </w:r>
          </w:p>
        </w:tc>
      </w:tr>
      <w:tr w:rsidR="005B3072" w14:paraId="1772521A" w14:textId="77777777" w:rsidTr="005B3072">
        <w:trPr>
          <w:trHeight w:val="1871"/>
        </w:trPr>
        <w:tc>
          <w:tcPr>
            <w:tcW w:w="1695" w:type="dxa"/>
            <w:shd w:val="clear" w:color="auto" w:fill="9CC3E5"/>
          </w:tcPr>
          <w:p w14:paraId="799BDB96" w14:textId="77777777" w:rsidR="005B3072" w:rsidRDefault="00A46913">
            <w:pPr>
              <w:rPr>
                <w:sz w:val="24"/>
                <w:szCs w:val="24"/>
              </w:rPr>
            </w:pPr>
            <w:r>
              <w:rPr>
                <w:b/>
                <w:sz w:val="24"/>
                <w:szCs w:val="24"/>
              </w:rPr>
              <w:t>Savjet za upravljanje portalom otvorenih podataka</w:t>
            </w:r>
          </w:p>
        </w:tc>
        <w:tc>
          <w:tcPr>
            <w:tcW w:w="5115" w:type="dxa"/>
          </w:tcPr>
          <w:p w14:paraId="6B43FE27" w14:textId="77777777" w:rsidR="005B3072" w:rsidRDefault="00A46913">
            <w:pPr>
              <w:jc w:val="both"/>
              <w:rPr>
                <w:color w:val="000000"/>
                <w:sz w:val="24"/>
                <w:szCs w:val="24"/>
              </w:rPr>
            </w:pPr>
            <w:r>
              <w:rPr>
                <w:color w:val="000000"/>
                <w:sz w:val="24"/>
                <w:szCs w:val="24"/>
              </w:rPr>
              <w:t>Obrazovanjem tijela za upravljanje portalom otvorenih podataka obezbjeđuje se proaktivna komunikacija sa organima u cilju objavljivanja što većeg broja skupova podataka čime se dodatno osnažuje kapacitet za podizanje nivoa transparentnosti rada javne uprave i cjelokupne Vlade.</w:t>
            </w:r>
          </w:p>
          <w:p w14:paraId="2A7A1754" w14:textId="77777777" w:rsidR="005B3072" w:rsidRDefault="00A46913">
            <w:pPr>
              <w:spacing w:before="240" w:after="240"/>
              <w:jc w:val="both"/>
              <w:rPr>
                <w:color w:val="000000"/>
                <w:sz w:val="24"/>
                <w:szCs w:val="24"/>
              </w:rPr>
            </w:pPr>
            <w:r>
              <w:rPr>
                <w:color w:val="000000"/>
                <w:sz w:val="24"/>
                <w:szCs w:val="24"/>
              </w:rPr>
              <w:t>Zadaci Savjeta su:</w:t>
            </w:r>
          </w:p>
          <w:p w14:paraId="28DDC06B" w14:textId="77777777" w:rsidR="005B3072" w:rsidRDefault="00A46913">
            <w:pPr>
              <w:numPr>
                <w:ilvl w:val="0"/>
                <w:numId w:val="39"/>
              </w:numPr>
              <w:pBdr>
                <w:top w:val="nil"/>
                <w:left w:val="nil"/>
                <w:bottom w:val="nil"/>
                <w:right w:val="nil"/>
                <w:between w:val="nil"/>
              </w:pBdr>
              <w:spacing w:before="240" w:line="276" w:lineRule="auto"/>
              <w:ind w:left="362" w:hanging="220"/>
              <w:jc w:val="both"/>
              <w:rPr>
                <w:color w:val="000000"/>
                <w:sz w:val="24"/>
                <w:szCs w:val="24"/>
              </w:rPr>
            </w:pPr>
            <w:r>
              <w:rPr>
                <w:color w:val="000000"/>
                <w:sz w:val="24"/>
                <w:szCs w:val="24"/>
              </w:rPr>
              <w:t>proaktivna komunikacija sa organima u cilju objavljivanja što većeg broja skupova podataka;</w:t>
            </w:r>
          </w:p>
          <w:p w14:paraId="5E2B869C" w14:textId="77777777" w:rsidR="005B3072" w:rsidRDefault="00A46913">
            <w:pPr>
              <w:numPr>
                <w:ilvl w:val="0"/>
                <w:numId w:val="39"/>
              </w:numPr>
              <w:pBdr>
                <w:top w:val="nil"/>
                <w:left w:val="nil"/>
                <w:bottom w:val="nil"/>
                <w:right w:val="nil"/>
                <w:between w:val="nil"/>
              </w:pBdr>
              <w:spacing w:line="276" w:lineRule="auto"/>
              <w:ind w:left="362" w:hanging="220"/>
              <w:jc w:val="both"/>
              <w:rPr>
                <w:color w:val="000000"/>
                <w:sz w:val="24"/>
                <w:szCs w:val="24"/>
              </w:rPr>
            </w:pPr>
            <w:r>
              <w:rPr>
                <w:color w:val="000000"/>
                <w:sz w:val="24"/>
                <w:szCs w:val="24"/>
              </w:rPr>
              <w:t>upravljanje i promocija portala;</w:t>
            </w:r>
          </w:p>
          <w:p w14:paraId="46D80249" w14:textId="77777777" w:rsidR="005B3072" w:rsidRDefault="00A46913">
            <w:pPr>
              <w:numPr>
                <w:ilvl w:val="0"/>
                <w:numId w:val="39"/>
              </w:numPr>
              <w:pBdr>
                <w:top w:val="nil"/>
                <w:left w:val="nil"/>
                <w:bottom w:val="nil"/>
                <w:right w:val="nil"/>
                <w:between w:val="nil"/>
              </w:pBdr>
              <w:spacing w:line="276" w:lineRule="auto"/>
              <w:ind w:left="362" w:hanging="220"/>
              <w:jc w:val="both"/>
              <w:rPr>
                <w:color w:val="000000"/>
                <w:sz w:val="24"/>
                <w:szCs w:val="24"/>
              </w:rPr>
            </w:pPr>
            <w:r>
              <w:rPr>
                <w:color w:val="000000"/>
                <w:sz w:val="24"/>
                <w:szCs w:val="24"/>
              </w:rPr>
              <w:t>mapiranje izazova u oblasti otvorenih podataka i pronalaženje rješenja za iste;</w:t>
            </w:r>
          </w:p>
          <w:p w14:paraId="67DC8EC5" w14:textId="77777777" w:rsidR="005B3072" w:rsidRDefault="00A46913">
            <w:pPr>
              <w:numPr>
                <w:ilvl w:val="0"/>
                <w:numId w:val="39"/>
              </w:numPr>
              <w:pBdr>
                <w:top w:val="nil"/>
                <w:left w:val="nil"/>
                <w:bottom w:val="nil"/>
                <w:right w:val="nil"/>
                <w:between w:val="nil"/>
              </w:pBdr>
              <w:spacing w:after="240" w:line="276" w:lineRule="auto"/>
              <w:ind w:left="362" w:hanging="220"/>
              <w:jc w:val="both"/>
              <w:rPr>
                <w:color w:val="000000"/>
                <w:sz w:val="24"/>
                <w:szCs w:val="24"/>
              </w:rPr>
            </w:pPr>
            <w:r>
              <w:rPr>
                <w:color w:val="000000"/>
                <w:sz w:val="24"/>
                <w:szCs w:val="24"/>
              </w:rPr>
              <w:t>aktivnosti na unapređivanju transparentnosti rada javne uprave.</w:t>
            </w:r>
          </w:p>
          <w:p w14:paraId="135E1D1F" w14:textId="77777777" w:rsidR="005B3072" w:rsidRDefault="00A46913">
            <w:pPr>
              <w:spacing w:before="240"/>
              <w:jc w:val="both"/>
              <w:rPr>
                <w:color w:val="000000"/>
                <w:sz w:val="24"/>
                <w:szCs w:val="24"/>
              </w:rPr>
            </w:pPr>
            <w:r>
              <w:rPr>
                <w:color w:val="000000"/>
                <w:sz w:val="24"/>
                <w:szCs w:val="24"/>
              </w:rPr>
              <w:t> </w:t>
            </w:r>
          </w:p>
        </w:tc>
        <w:tc>
          <w:tcPr>
            <w:tcW w:w="1575" w:type="dxa"/>
          </w:tcPr>
          <w:p w14:paraId="1C8FE3EA" w14:textId="77777777" w:rsidR="005B3072" w:rsidRDefault="00A46913">
            <w:pPr>
              <w:rPr>
                <w:color w:val="000000"/>
                <w:sz w:val="24"/>
                <w:szCs w:val="24"/>
              </w:rPr>
            </w:pPr>
            <w:r>
              <w:rPr>
                <w:color w:val="000000"/>
                <w:sz w:val="24"/>
                <w:szCs w:val="24"/>
              </w:rPr>
              <w:t>Ministarstvo javne uprave, digitalnog društva i medija</w:t>
            </w:r>
          </w:p>
        </w:tc>
        <w:tc>
          <w:tcPr>
            <w:tcW w:w="1803" w:type="dxa"/>
          </w:tcPr>
          <w:p w14:paraId="57273D95" w14:textId="77777777" w:rsidR="005B3072" w:rsidRDefault="00A46913">
            <w:pPr>
              <w:rPr>
                <w:color w:val="000000"/>
                <w:sz w:val="24"/>
                <w:szCs w:val="24"/>
              </w:rPr>
            </w:pPr>
            <w:r>
              <w:rPr>
                <w:color w:val="000000"/>
                <w:sz w:val="24"/>
                <w:szCs w:val="24"/>
              </w:rPr>
              <w:t>Sektorski</w:t>
            </w:r>
          </w:p>
        </w:tc>
      </w:tr>
      <w:tr w:rsidR="005B3072" w14:paraId="3CAD9BAE" w14:textId="77777777" w:rsidTr="005B3072">
        <w:trPr>
          <w:cnfStyle w:val="000000100000" w:firstRow="0" w:lastRow="0" w:firstColumn="0" w:lastColumn="0" w:oddVBand="0" w:evenVBand="0" w:oddHBand="1" w:evenHBand="0" w:firstRowFirstColumn="0" w:firstRowLastColumn="0" w:lastRowFirstColumn="0" w:lastRowLastColumn="0"/>
          <w:trHeight w:val="2960"/>
        </w:trPr>
        <w:tc>
          <w:tcPr>
            <w:tcW w:w="1695" w:type="dxa"/>
            <w:shd w:val="clear" w:color="auto" w:fill="9CC3E5"/>
          </w:tcPr>
          <w:p w14:paraId="17C4622D" w14:textId="77777777" w:rsidR="005B3072" w:rsidRDefault="00A46913">
            <w:pPr>
              <w:rPr>
                <w:sz w:val="24"/>
                <w:szCs w:val="24"/>
              </w:rPr>
            </w:pPr>
            <w:r>
              <w:rPr>
                <w:b/>
                <w:sz w:val="24"/>
                <w:szCs w:val="24"/>
              </w:rPr>
              <w:lastRenderedPageBreak/>
              <w:t xml:space="preserve">Formirana platforma za razmjenu ideja </w:t>
            </w:r>
          </w:p>
        </w:tc>
        <w:tc>
          <w:tcPr>
            <w:tcW w:w="5115" w:type="dxa"/>
          </w:tcPr>
          <w:p w14:paraId="63F70AB3" w14:textId="77777777" w:rsidR="005B3072" w:rsidRDefault="00A46913">
            <w:pPr>
              <w:jc w:val="both"/>
              <w:rPr>
                <w:color w:val="000000"/>
                <w:sz w:val="24"/>
                <w:szCs w:val="24"/>
              </w:rPr>
            </w:pPr>
            <w:r>
              <w:rPr>
                <w:color w:val="000000"/>
                <w:sz w:val="24"/>
                <w:szCs w:val="24"/>
              </w:rPr>
              <w:t>Formiranjem ovog klastera stvara se veća mogućnost da se sinergijskim djelovanjem doprinese uspješnom procesu kreiranja ali i implementaciji Strategije digitalne transformacije Crne Gore.</w:t>
            </w:r>
          </w:p>
        </w:tc>
        <w:tc>
          <w:tcPr>
            <w:tcW w:w="1575" w:type="dxa"/>
          </w:tcPr>
          <w:p w14:paraId="17625144" w14:textId="77777777" w:rsidR="005B3072" w:rsidRDefault="00A46913">
            <w:pPr>
              <w:rPr>
                <w:color w:val="000000"/>
                <w:sz w:val="24"/>
                <w:szCs w:val="24"/>
              </w:rPr>
            </w:pPr>
            <w:r>
              <w:rPr>
                <w:color w:val="000000"/>
                <w:sz w:val="24"/>
                <w:szCs w:val="24"/>
              </w:rPr>
              <w:t>Učestvuju: Privredna komora CG, Asocijacija menadžera Crne Gore, Unija poslodavaca CG, Savjet stranih investitora CG, AmCham Montenegro, Crnogorski Telekom, Telenor Crna Gora, Digitalizuj.me, DevClub i ICT Cortex</w:t>
            </w:r>
          </w:p>
        </w:tc>
        <w:tc>
          <w:tcPr>
            <w:tcW w:w="1803" w:type="dxa"/>
          </w:tcPr>
          <w:p w14:paraId="31D4682F" w14:textId="77777777" w:rsidR="005B3072" w:rsidRDefault="00A46913">
            <w:pPr>
              <w:rPr>
                <w:color w:val="000000"/>
                <w:sz w:val="24"/>
                <w:szCs w:val="24"/>
              </w:rPr>
            </w:pPr>
            <w:r>
              <w:rPr>
                <w:color w:val="000000"/>
                <w:sz w:val="24"/>
                <w:szCs w:val="24"/>
              </w:rPr>
              <w:t>Javno-društveni nivo</w:t>
            </w:r>
          </w:p>
        </w:tc>
      </w:tr>
    </w:tbl>
    <w:p w14:paraId="6B3A3C6C" w14:textId="77777777" w:rsidR="005B3072" w:rsidRDefault="00A46913">
      <w:pPr>
        <w:pBdr>
          <w:top w:val="nil"/>
          <w:left w:val="nil"/>
          <w:bottom w:val="nil"/>
          <w:right w:val="nil"/>
          <w:between w:val="nil"/>
        </w:pBdr>
        <w:rPr>
          <w:b/>
          <w:i/>
          <w:sz w:val="24"/>
          <w:szCs w:val="24"/>
        </w:rPr>
      </w:pPr>
      <w:r>
        <w:rPr>
          <w:b/>
          <w:smallCaps/>
          <w:color w:val="44546A"/>
          <w:sz w:val="24"/>
          <w:szCs w:val="24"/>
        </w:rPr>
        <w:t>Tabela 1. Pregled glavnih radnih tijela sa ciljem koordinacije iz oblasti digitalnog društva</w:t>
      </w:r>
    </w:p>
    <w:p w14:paraId="342CEFC0"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Inicijativu za formiranje </w:t>
      </w:r>
      <w:r>
        <w:rPr>
          <w:b/>
          <w:color w:val="000000"/>
          <w:sz w:val="24"/>
          <w:szCs w:val="24"/>
        </w:rPr>
        <w:t>koordinacionog i savjetodavnog tijela za digitalnu transformaciju</w:t>
      </w:r>
      <w:r>
        <w:rPr>
          <w:color w:val="000000"/>
          <w:sz w:val="24"/>
          <w:szCs w:val="24"/>
        </w:rPr>
        <w:t xml:space="preserve"> koje bi rukovodilo i upravljalo procesom digitalnih transformacija u Crnoj Gori pokrenuo je poslovni sektor i, u skladu sa idejom, kao primjer uspješne implementacije ovakvog rješenja, pripremljen je pregled postojećih koordinacionih tijela u drugim evropskim zemljama. Kroz ovu inicijativu je predloženo da koordinaciono tijelo uključi sve relevantne zainteresovane strane (privredu, javni sektor i akademsku zajednicu) </w:t>
      </w:r>
      <w:r>
        <w:rPr>
          <w:sz w:val="24"/>
          <w:szCs w:val="24"/>
        </w:rPr>
        <w:t>i</w:t>
      </w:r>
      <w:r>
        <w:rPr>
          <w:color w:val="000000"/>
          <w:sz w:val="24"/>
          <w:szCs w:val="24"/>
        </w:rPr>
        <w:t xml:space="preserve"> da zajedno, kroz dijalog, definišu mjere za uspješnu digitalnu transformaciju.</w:t>
      </w:r>
    </w:p>
    <w:p w14:paraId="3AF65D9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Ključna pitanja u vezi sa centralnim koordinacionim tijelom, njegovim odgovornostima, sastavom i vezama sa drugim (postojećim) tijelima definisana su u dokumentu </w:t>
      </w:r>
      <w:r>
        <w:rPr>
          <w:i/>
          <w:color w:val="000000"/>
          <w:sz w:val="24"/>
          <w:szCs w:val="24"/>
        </w:rPr>
        <w:t>Procjena digitalne zrelosti (2021)</w:t>
      </w:r>
      <w:r>
        <w:rPr>
          <w:i/>
          <w:color w:val="000000"/>
          <w:sz w:val="24"/>
          <w:szCs w:val="24"/>
          <w:vertAlign w:val="superscript"/>
        </w:rPr>
        <w:footnoteReference w:id="34"/>
      </w:r>
      <w:r>
        <w:rPr>
          <w:color w:val="000000"/>
          <w:sz w:val="24"/>
          <w:szCs w:val="24"/>
        </w:rPr>
        <w:t xml:space="preserve">. Ovim dokumentom je prepoznata potreba da ministarstva i zainteresovane strane povećaju svoje napore na koordinaciji na svim nivoima, a direktori direktorata kojima je u nadležnosti implementacija digitalnih rješenja ili pojedinci odgovorni za IKT različitih ministarstava i entiteta treba da kroz zajedničku saradnju, na konkretnijem nivou, osiguraju viši nivo usklađenosti i koordinacije. Prijedlozi za rješenje ovih izazova će biti sastavni dio Strategije digitalne transformacije Crne </w:t>
      </w:r>
      <w:r>
        <w:rPr>
          <w:sz w:val="24"/>
          <w:szCs w:val="24"/>
        </w:rPr>
        <w:t>G</w:t>
      </w:r>
      <w:r>
        <w:rPr>
          <w:color w:val="000000"/>
          <w:sz w:val="24"/>
          <w:szCs w:val="24"/>
        </w:rPr>
        <w:t>ore 2022-2026. Pored toga, nekoliko važnih tijela takođe je angažovano na primjeni PAR-a (Reforma javne uprave).</w:t>
      </w:r>
    </w:p>
    <w:p w14:paraId="187200BE"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Pored navedenih tijela opisanih u Tabeli 1, važnu ulogu u procesu digitalizacije obavljaju i kvalifikovani davaoci elektronskih usluga od povjerenja. Shodno Registru kvalifikovanih davalaca elektronskih usluga povjerenja koje u okviru Ministarstva vodi Direkcija za normativu i standardizaciju, upisana su četiri kvalifikovana davaoca elektronskih usluga povjerenja (Tabela 2).</w:t>
      </w:r>
    </w:p>
    <w:tbl>
      <w:tblPr>
        <w:tblStyle w:val="a0"/>
        <w:tblW w:w="10183" w:type="dxa"/>
        <w:tblBorders>
          <w:top w:val="single" w:sz="4" w:space="0" w:color="5B9BD5"/>
          <w:left w:val="single" w:sz="4" w:space="0" w:color="FFFFFF"/>
          <w:bottom w:val="single" w:sz="4" w:space="0" w:color="5B9BD5"/>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106"/>
        <w:gridCol w:w="6077"/>
      </w:tblGrid>
      <w:tr w:rsidR="005B3072" w14:paraId="72170DA7" w14:textId="77777777" w:rsidTr="005B3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bottom w:val="single" w:sz="4" w:space="0" w:color="FFFFFF"/>
              <w:right w:val="single" w:sz="4" w:space="0" w:color="FFFFFF"/>
            </w:tcBorders>
          </w:tcPr>
          <w:p w14:paraId="68932F0B" w14:textId="77777777" w:rsidR="005B3072" w:rsidRDefault="00A46913">
            <w:pPr>
              <w:spacing w:before="240" w:after="240" w:line="276" w:lineRule="auto"/>
              <w:jc w:val="both"/>
              <w:rPr>
                <w:sz w:val="24"/>
                <w:szCs w:val="24"/>
              </w:rPr>
            </w:pPr>
            <w:r>
              <w:rPr>
                <w:sz w:val="24"/>
                <w:szCs w:val="24"/>
              </w:rPr>
              <w:t>Davaoci elektronskih usluga povjerenja</w:t>
            </w:r>
          </w:p>
        </w:tc>
        <w:tc>
          <w:tcPr>
            <w:tcW w:w="6077" w:type="dxa"/>
            <w:tcBorders>
              <w:left w:val="single" w:sz="4" w:space="0" w:color="FFFFFF"/>
              <w:bottom w:val="single" w:sz="4" w:space="0" w:color="FFFFFF"/>
            </w:tcBorders>
          </w:tcPr>
          <w:p w14:paraId="7180B7C6" w14:textId="77777777" w:rsidR="005B3072" w:rsidRDefault="00A46913">
            <w:pPr>
              <w:spacing w:before="240" w:after="240" w:line="276" w:lineRule="auto"/>
              <w:jc w:val="both"/>
              <w:cnfStyle w:val="100000000000" w:firstRow="1" w:lastRow="0" w:firstColumn="0" w:lastColumn="0" w:oddVBand="0" w:evenVBand="0" w:oddHBand="0" w:evenHBand="0" w:firstRowFirstColumn="0" w:firstRowLastColumn="0" w:lastRowFirstColumn="0" w:lastRowLastColumn="0"/>
              <w:rPr>
                <w:color w:val="000000"/>
                <w:sz w:val="24"/>
                <w:szCs w:val="24"/>
              </w:rPr>
            </w:pPr>
            <w:r>
              <w:rPr>
                <w:sz w:val="24"/>
                <w:szCs w:val="24"/>
              </w:rPr>
              <w:t>Vrsta usluge koju pružaju</w:t>
            </w:r>
          </w:p>
        </w:tc>
      </w:tr>
      <w:tr w:rsidR="005B3072" w14:paraId="773411C4"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FFFFFF"/>
            </w:tcBorders>
          </w:tcPr>
          <w:p w14:paraId="7973C111" w14:textId="77777777" w:rsidR="005B3072" w:rsidRDefault="00A46913">
            <w:pPr>
              <w:rPr>
                <w:sz w:val="24"/>
                <w:szCs w:val="24"/>
              </w:rPr>
            </w:pPr>
            <w:r>
              <w:rPr>
                <w:b w:val="0"/>
                <w:sz w:val="24"/>
                <w:szCs w:val="24"/>
              </w:rPr>
              <w:t>Pošta Crne Gore AD Podgorica</w:t>
            </w:r>
          </w:p>
        </w:tc>
        <w:tc>
          <w:tcPr>
            <w:tcW w:w="6077" w:type="dxa"/>
            <w:tcBorders>
              <w:top w:val="single" w:sz="4" w:space="0" w:color="FFFFFF"/>
            </w:tcBorders>
          </w:tcPr>
          <w:p w14:paraId="68C29DB0" w14:textId="77777777" w:rsidR="005B3072" w:rsidRDefault="00A46913">
            <w:pPr>
              <w:numPr>
                <w:ilvl w:val="0"/>
                <w:numId w:val="12"/>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Izrada kvalifikovanog sertifikata za elektronski potpis;</w:t>
            </w:r>
          </w:p>
          <w:p w14:paraId="0D28542A" w14:textId="77777777" w:rsidR="005B3072" w:rsidRDefault="00A46913">
            <w:pPr>
              <w:numPr>
                <w:ilvl w:val="0"/>
                <w:numId w:val="12"/>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Izrada kvalifikovanog sertifikata za elektronski pečat;</w:t>
            </w:r>
          </w:p>
          <w:p w14:paraId="5F317FF6" w14:textId="77777777" w:rsidR="005B3072" w:rsidRDefault="00A46913">
            <w:pPr>
              <w:numPr>
                <w:ilvl w:val="0"/>
                <w:numId w:val="12"/>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Izrada kvalifikovanog vremenskog pečata;</w:t>
            </w:r>
          </w:p>
          <w:p w14:paraId="0906DCC2" w14:textId="77777777" w:rsidR="005B3072" w:rsidRDefault="00A46913">
            <w:pPr>
              <w:numPr>
                <w:ilvl w:val="0"/>
                <w:numId w:val="12"/>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Izrada kvalifikovanog sertifikata za autentifikaciju internet stranice;</w:t>
            </w:r>
          </w:p>
          <w:p w14:paraId="674FB087" w14:textId="77777777" w:rsidR="005B3072" w:rsidRDefault="00A46913">
            <w:pPr>
              <w:numPr>
                <w:ilvl w:val="0"/>
                <w:numId w:val="12"/>
              </w:num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Kvalifikovana usluga elektronske preporučene dostave.</w:t>
            </w:r>
          </w:p>
        </w:tc>
      </w:tr>
      <w:tr w:rsidR="005B3072" w14:paraId="4B09C649" w14:textId="77777777" w:rsidTr="005B3072">
        <w:tc>
          <w:tcPr>
            <w:cnfStyle w:val="001000000000" w:firstRow="0" w:lastRow="0" w:firstColumn="1" w:lastColumn="0" w:oddVBand="0" w:evenVBand="0" w:oddHBand="0" w:evenHBand="0" w:firstRowFirstColumn="0" w:firstRowLastColumn="0" w:lastRowFirstColumn="0" w:lastRowLastColumn="0"/>
            <w:tcW w:w="4106" w:type="dxa"/>
          </w:tcPr>
          <w:p w14:paraId="239A8D88" w14:textId="77777777" w:rsidR="005B3072" w:rsidRDefault="00A46913">
            <w:pPr>
              <w:rPr>
                <w:color w:val="000000"/>
                <w:sz w:val="24"/>
                <w:szCs w:val="24"/>
              </w:rPr>
            </w:pPr>
            <w:r>
              <w:rPr>
                <w:b w:val="0"/>
                <w:sz w:val="24"/>
                <w:szCs w:val="24"/>
              </w:rPr>
              <w:t>CORE IT DOO</w:t>
            </w:r>
          </w:p>
        </w:tc>
        <w:tc>
          <w:tcPr>
            <w:tcW w:w="6077" w:type="dxa"/>
          </w:tcPr>
          <w:p w14:paraId="7B3461A9"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Izrada kvalifikovanog sertifikata za elektronski potpis;</w:t>
            </w:r>
          </w:p>
          <w:p w14:paraId="239386A2"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Izrada kvalifikovanog sertifikata za elektronski pečat</w:t>
            </w:r>
          </w:p>
          <w:p w14:paraId="6DA0C09A"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Izrada kvalifikovanog elektronskog vremenskog pečata.</w:t>
            </w:r>
          </w:p>
        </w:tc>
      </w:tr>
      <w:tr w:rsidR="005B3072" w14:paraId="18D4EE9D"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108BF8D" w14:textId="77777777" w:rsidR="005B3072" w:rsidRDefault="00A46913">
            <w:pPr>
              <w:rPr>
                <w:sz w:val="24"/>
                <w:szCs w:val="24"/>
              </w:rPr>
            </w:pPr>
            <w:r>
              <w:rPr>
                <w:b w:val="0"/>
                <w:sz w:val="24"/>
                <w:szCs w:val="24"/>
              </w:rPr>
              <w:t>Ministarstvo unutrašnjih poslova</w:t>
            </w:r>
          </w:p>
        </w:tc>
        <w:tc>
          <w:tcPr>
            <w:tcW w:w="6077" w:type="dxa"/>
          </w:tcPr>
          <w:p w14:paraId="57A966AD" w14:textId="77777777" w:rsidR="005B3072" w:rsidRDefault="00A46913">
            <w:pPr>
              <w:numPr>
                <w:ilvl w:val="0"/>
                <w:numId w:val="12"/>
              </w:numPr>
              <w:spacing w:before="240" w:after="240" w:line="276" w:lineRule="auto"/>
              <w:jc w:val="both"/>
              <w:cnfStyle w:val="000000100000" w:firstRow="0" w:lastRow="0" w:firstColumn="0" w:lastColumn="0" w:oddVBand="0" w:evenVBand="0" w:oddHBand="1" w:evenHBand="0" w:firstRowFirstColumn="0" w:firstRowLastColumn="0" w:lastRowFirstColumn="0" w:lastRowLastColumn="0"/>
              <w:rPr>
                <w:color w:val="000000"/>
                <w:sz w:val="24"/>
                <w:szCs w:val="24"/>
              </w:rPr>
            </w:pPr>
            <w:r>
              <w:rPr>
                <w:color w:val="000000"/>
                <w:sz w:val="24"/>
                <w:szCs w:val="24"/>
              </w:rPr>
              <w:t>Kvalifikovani sertifikat za kvalifikovani elektronski potpis i sertifikat za elektronsku identifikaciju, u okviru lične karte.</w:t>
            </w:r>
          </w:p>
        </w:tc>
      </w:tr>
      <w:tr w:rsidR="005B3072" w14:paraId="0C37A73E" w14:textId="77777777" w:rsidTr="005B3072">
        <w:tc>
          <w:tcPr>
            <w:cnfStyle w:val="001000000000" w:firstRow="0" w:lastRow="0" w:firstColumn="1" w:lastColumn="0" w:oddVBand="0" w:evenVBand="0" w:oddHBand="0" w:evenHBand="0" w:firstRowFirstColumn="0" w:firstRowLastColumn="0" w:lastRowFirstColumn="0" w:lastRowLastColumn="0"/>
            <w:tcW w:w="4106" w:type="dxa"/>
          </w:tcPr>
          <w:p w14:paraId="3BD2C8DD" w14:textId="77777777" w:rsidR="005B3072" w:rsidRDefault="00A46913">
            <w:pPr>
              <w:rPr>
                <w:sz w:val="24"/>
                <w:szCs w:val="24"/>
              </w:rPr>
            </w:pPr>
            <w:r>
              <w:rPr>
                <w:b w:val="0"/>
                <w:sz w:val="24"/>
                <w:szCs w:val="24"/>
              </w:rPr>
              <w:t>Crnogorski Telekom A.D. Podgorica</w:t>
            </w:r>
          </w:p>
        </w:tc>
        <w:tc>
          <w:tcPr>
            <w:tcW w:w="6077" w:type="dxa"/>
          </w:tcPr>
          <w:p w14:paraId="2070993C"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Izrada kvalifikovanog sertifikata za napredni elektronski potpis;</w:t>
            </w:r>
          </w:p>
          <w:p w14:paraId="1AB34933"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Izrada kvalifikovanog sertifikata za napredni elektronski pečat;</w:t>
            </w:r>
          </w:p>
          <w:p w14:paraId="6B0BD80E"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Izrada kvalifikovanog elektronskog vremenskog pečata;</w:t>
            </w:r>
          </w:p>
          <w:p w14:paraId="406C8992"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 xml:space="preserve">Izrade kvalifikovanih sertifikata za: kvalifikovani elektronski pečat i kvalifikovani elektronski potpis; </w:t>
            </w:r>
          </w:p>
          <w:p w14:paraId="1EE682E1" w14:textId="77777777" w:rsidR="005B3072" w:rsidRDefault="00A46913">
            <w:pPr>
              <w:numPr>
                <w:ilvl w:val="0"/>
                <w:numId w:val="12"/>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Pružanje kvalifikovanih usluga verifikacije (kvalifikovanih elektronskih potpisa i kvalifikovanih elektronskih pečata).</w:t>
            </w:r>
          </w:p>
        </w:tc>
      </w:tr>
    </w:tbl>
    <w:p w14:paraId="4E179D29" w14:textId="77777777" w:rsidR="005B3072" w:rsidRDefault="00A46913">
      <w:pPr>
        <w:pBdr>
          <w:top w:val="nil"/>
          <w:left w:val="nil"/>
          <w:bottom w:val="nil"/>
          <w:right w:val="nil"/>
          <w:between w:val="nil"/>
        </w:pBdr>
        <w:spacing w:line="240" w:lineRule="auto"/>
        <w:rPr>
          <w:b/>
          <w:smallCaps/>
          <w:color w:val="44546A"/>
          <w:sz w:val="24"/>
          <w:szCs w:val="24"/>
        </w:rPr>
      </w:pPr>
      <w:r>
        <w:rPr>
          <w:b/>
          <w:smallCaps/>
          <w:color w:val="44546A"/>
          <w:sz w:val="24"/>
          <w:szCs w:val="24"/>
        </w:rPr>
        <w:t>Tabela 2. Kvalifikovani davaoci elektronskih usluga povjerenja</w:t>
      </w:r>
    </w:p>
    <w:p w14:paraId="7AF50B1A" w14:textId="77777777" w:rsidR="005B3072" w:rsidRDefault="00A46913">
      <w:pPr>
        <w:pBdr>
          <w:top w:val="nil"/>
          <w:left w:val="nil"/>
          <w:bottom w:val="nil"/>
          <w:right w:val="nil"/>
          <w:between w:val="nil"/>
        </w:pBdr>
        <w:spacing w:before="280" w:after="280"/>
        <w:jc w:val="both"/>
        <w:rPr>
          <w:sz w:val="24"/>
          <w:szCs w:val="24"/>
        </w:rPr>
      </w:pPr>
      <w:r>
        <w:rPr>
          <w:sz w:val="24"/>
          <w:szCs w:val="24"/>
        </w:rPr>
        <w:t>Imajući u vidu da oblast digitalne transformacije obuhvata mnogo širi aspekt promjena, kao što su i pitanja obezbjeđenja informacione bezbjednosti, pouzdane informacione infrastrukture, zaštite ličnih podataka i sl., formirana su tijela ali i definisane nadležnosti u institucijama koja se bave ovim temama, kao što su:</w:t>
      </w:r>
    </w:p>
    <w:p w14:paraId="25B7E327" w14:textId="77777777" w:rsidR="005B3072" w:rsidRDefault="00A46913">
      <w:pPr>
        <w:numPr>
          <w:ilvl w:val="0"/>
          <w:numId w:val="8"/>
        </w:numPr>
        <w:pBdr>
          <w:top w:val="nil"/>
          <w:left w:val="nil"/>
          <w:bottom w:val="nil"/>
          <w:right w:val="nil"/>
          <w:between w:val="nil"/>
        </w:pBdr>
        <w:spacing w:before="280" w:after="0" w:line="276" w:lineRule="auto"/>
        <w:jc w:val="both"/>
        <w:rPr>
          <w:color w:val="000000"/>
          <w:sz w:val="24"/>
          <w:szCs w:val="24"/>
        </w:rPr>
      </w:pPr>
      <w:r>
        <w:rPr>
          <w:b/>
          <w:color w:val="000000"/>
          <w:sz w:val="24"/>
          <w:szCs w:val="24"/>
          <w:highlight w:val="white"/>
        </w:rPr>
        <w:lastRenderedPageBreak/>
        <w:t xml:space="preserve">Savjet za informacionu bezbjednost - </w:t>
      </w:r>
      <w:r>
        <w:rPr>
          <w:color w:val="000000"/>
          <w:sz w:val="24"/>
          <w:szCs w:val="24"/>
          <w:highlight w:val="white"/>
        </w:rPr>
        <w:t xml:space="preserve">Na osnovu člana 13a Zakona o informacionoj bezbjednosti (“Službeni list Crne Gore”, br. 14/10 i 40/16, </w:t>
      </w:r>
      <w:hyperlink r:id="rId23">
        <w:r>
          <w:rPr>
            <w:color w:val="000000"/>
            <w:sz w:val="24"/>
            <w:szCs w:val="24"/>
          </w:rPr>
          <w:t>74/20</w:t>
        </w:r>
      </w:hyperlink>
      <w:r>
        <w:rPr>
          <w:color w:val="000000"/>
          <w:sz w:val="24"/>
          <w:szCs w:val="24"/>
        </w:rPr>
        <w:t> </w:t>
      </w:r>
      <w:r>
        <w:rPr>
          <w:sz w:val="24"/>
          <w:szCs w:val="24"/>
        </w:rPr>
        <w:t xml:space="preserve">i </w:t>
      </w:r>
      <w:hyperlink r:id="rId24">
        <w:r>
          <w:rPr>
            <w:color w:val="000000"/>
            <w:sz w:val="24"/>
            <w:szCs w:val="24"/>
          </w:rPr>
          <w:t>67/21</w:t>
        </w:r>
      </w:hyperlink>
      <w:r>
        <w:rPr>
          <w:color w:val="000000"/>
          <w:sz w:val="24"/>
          <w:szCs w:val="24"/>
        </w:rPr>
        <w:t>.),</w:t>
      </w:r>
      <w:r>
        <w:rPr>
          <w:color w:val="000000"/>
          <w:sz w:val="24"/>
          <w:szCs w:val="24"/>
          <w:highlight w:val="white"/>
        </w:rPr>
        <w:t xml:space="preserve"> Vlada Crne Gore je osnovala Savjet za informacionu bezbjednost.  Zadaci Savjeta su da: informiše Vladu Crne Gore o važnim pitanjima vezanim za informacije i sajber bezbjednost; inicira i predlaže mjere za poboljšanje informacione i sajber bezbjednosti u javnom i privatnom sektoru; nadgleda sprovođenje crnogorske Strategije sajber bezbjednosti 2018-2021 i akcionih planova za njenu primjenu; nadgleda i koordinira aktivnosti u oblasti informacione i sajber bezbjednosti; predlaže mjere za usklađivanje zakonodavnog i administrativnog okvira u cilju poboljšanja informacione i sajber bezbjednosti Crne Gore; poboljša saradnju u oblasti informacione i sajber bezbjednosti između državnih organa, organa državne uprave, jedinica lokalne samouprave, pravnih lica koja vrše javna ovlašćenja i drugih pravnih i fizičkih lica koja dobijaju pristup ili obrađuju podatke u skladu sa zakonom o informacionoj bezbjednosti. Osim koordinacije gore navedenih aktivnosti i uloge u poboljšanju saradnje sa privatnim sektorom u oblasti informacione i sajber bezbjednosti kao i međunarodne saradnje u oblasti informacione i sajber bezbjednosti, Savjet takođe u slučaju velikih prijetnji i sajber incidenata obaviještava Savjet za nacionalnu bezbjednost i podnosi izvještaj o svemu navedenom, </w:t>
      </w:r>
      <w:r>
        <w:rPr>
          <w:color w:val="000000"/>
          <w:sz w:val="24"/>
          <w:szCs w:val="24"/>
        </w:rPr>
        <w:t>najmanje jednom godišnje, Vladi Crne Gore.</w:t>
      </w:r>
    </w:p>
    <w:p w14:paraId="1A9208A4" w14:textId="77777777" w:rsidR="005B3072" w:rsidRDefault="00A46913">
      <w:pPr>
        <w:numPr>
          <w:ilvl w:val="0"/>
          <w:numId w:val="8"/>
        </w:numPr>
        <w:pBdr>
          <w:top w:val="nil"/>
          <w:left w:val="nil"/>
          <w:bottom w:val="nil"/>
          <w:right w:val="nil"/>
          <w:between w:val="nil"/>
        </w:pBdr>
        <w:spacing w:before="120" w:after="0" w:line="276" w:lineRule="auto"/>
        <w:ind w:left="414" w:hanging="357"/>
        <w:jc w:val="both"/>
        <w:rPr>
          <w:color w:val="000000"/>
          <w:sz w:val="24"/>
          <w:szCs w:val="24"/>
          <w:highlight w:val="white"/>
        </w:rPr>
      </w:pPr>
      <w:bookmarkStart w:id="11" w:name="_17dp8vu" w:colFirst="0" w:colLast="0"/>
      <w:bookmarkEnd w:id="11"/>
      <w:r>
        <w:rPr>
          <w:b/>
          <w:color w:val="000000"/>
          <w:sz w:val="24"/>
          <w:szCs w:val="24"/>
          <w:highlight w:val="white"/>
        </w:rPr>
        <w:t xml:space="preserve">Odjeljenje za informatičku bezbjednost i odgovor na računarske incidente (CIRT) - </w:t>
      </w:r>
      <w:r>
        <w:rPr>
          <w:color w:val="000000"/>
          <w:sz w:val="24"/>
          <w:szCs w:val="24"/>
          <w:highlight w:val="white"/>
        </w:rPr>
        <w:t xml:space="preserve">U skladu sa Zakonom o informacionoj bezbjednosti, Direkcija za informacionu bezbjednost i računarske incidente - CS / NCIRT (National Computer Incident Response Team) izvještava Direkciju za zaštitu tajnih podataka koja je nezavisni organ pod nadzorom Ministarstva odbrane i koordinira rad lokalnih CIRT timova. Obaveza uspostavljanja lokalnih CIRT timova u institucijama ključna je za nacionalnu CIRT infrastrukturu, što je takođe predviđeno Strategijom sajber bezbjednosti 2018-2021 i pratećim Akcionim planom. </w:t>
      </w:r>
    </w:p>
    <w:p w14:paraId="6F623B44" w14:textId="77777777" w:rsidR="005B3072" w:rsidRDefault="00A46913">
      <w:pPr>
        <w:numPr>
          <w:ilvl w:val="0"/>
          <w:numId w:val="8"/>
        </w:numPr>
        <w:pBdr>
          <w:top w:val="nil"/>
          <w:left w:val="nil"/>
          <w:bottom w:val="nil"/>
          <w:right w:val="nil"/>
          <w:between w:val="nil"/>
        </w:pBdr>
        <w:spacing w:before="120" w:after="0" w:line="276" w:lineRule="auto"/>
        <w:ind w:left="419" w:hanging="357"/>
        <w:jc w:val="both"/>
        <w:rPr>
          <w:color w:val="000000"/>
          <w:sz w:val="24"/>
          <w:szCs w:val="24"/>
          <w:highlight w:val="white"/>
        </w:rPr>
      </w:pPr>
      <w:r>
        <w:rPr>
          <w:b/>
          <w:color w:val="000000"/>
          <w:sz w:val="24"/>
          <w:szCs w:val="24"/>
        </w:rPr>
        <w:t xml:space="preserve">Agencija za zaštitu ličnih podataka - </w:t>
      </w:r>
      <w:r>
        <w:rPr>
          <w:color w:val="000000"/>
          <w:sz w:val="24"/>
          <w:szCs w:val="24"/>
          <w:highlight w:val="white"/>
        </w:rPr>
        <w:t xml:space="preserve">Agencija za zaštitu ličnih podataka djeluje kao nadzorno tijelo u skladu </w:t>
      </w:r>
      <w:r>
        <w:rPr>
          <w:color w:val="000000"/>
          <w:sz w:val="24"/>
          <w:szCs w:val="24"/>
        </w:rPr>
        <w:t xml:space="preserve">sa Zakonom o zaštiti ličnih podataka. </w:t>
      </w:r>
      <w:r>
        <w:rPr>
          <w:color w:val="000000"/>
          <w:sz w:val="24"/>
          <w:szCs w:val="24"/>
          <w:highlight w:val="white"/>
        </w:rPr>
        <w:t>U izvršavanju zadataka iz svog djelokruga, Agencija je nezavisna. Agencija ima status pravnog lica. U nadležnosti Agencije je da izvršava administrativne i profesionalne zadatke u vezi sa zaštitom ličnih podataka.</w:t>
      </w:r>
    </w:p>
    <w:p w14:paraId="268888AE" w14:textId="77777777" w:rsidR="005B3072" w:rsidRDefault="00A46913">
      <w:pPr>
        <w:numPr>
          <w:ilvl w:val="0"/>
          <w:numId w:val="8"/>
        </w:numPr>
        <w:pBdr>
          <w:top w:val="nil"/>
          <w:left w:val="nil"/>
          <w:bottom w:val="nil"/>
          <w:right w:val="nil"/>
          <w:between w:val="nil"/>
        </w:pBdr>
        <w:spacing w:before="120" w:after="120" w:line="276" w:lineRule="auto"/>
        <w:ind w:left="419" w:hanging="357"/>
        <w:jc w:val="both"/>
        <w:rPr>
          <w:color w:val="000000"/>
          <w:sz w:val="24"/>
          <w:szCs w:val="24"/>
          <w:highlight w:val="white"/>
        </w:rPr>
      </w:pPr>
      <w:r>
        <w:rPr>
          <w:b/>
          <w:color w:val="000000"/>
          <w:sz w:val="24"/>
          <w:szCs w:val="24"/>
        </w:rPr>
        <w:t>Radne grupe/timovi</w:t>
      </w:r>
      <w:r>
        <w:rPr>
          <w:color w:val="000000"/>
          <w:sz w:val="24"/>
          <w:szCs w:val="24"/>
        </w:rPr>
        <w:t xml:space="preserve"> koji prate implementaciju i razvoj određenih oblasti, kao što su: </w:t>
      </w:r>
    </w:p>
    <w:p w14:paraId="5EF0411E" w14:textId="77777777" w:rsidR="005B3072" w:rsidRDefault="00A46913">
      <w:pPr>
        <w:numPr>
          <w:ilvl w:val="1"/>
          <w:numId w:val="13"/>
        </w:numPr>
        <w:pBdr>
          <w:top w:val="nil"/>
          <w:left w:val="nil"/>
          <w:bottom w:val="nil"/>
          <w:right w:val="nil"/>
          <w:between w:val="nil"/>
        </w:pBdr>
        <w:spacing w:after="0" w:line="276" w:lineRule="auto"/>
        <w:rPr>
          <w:sz w:val="24"/>
          <w:szCs w:val="24"/>
        </w:rPr>
      </w:pPr>
      <w:r>
        <w:rPr>
          <w:color w:val="000000"/>
          <w:sz w:val="24"/>
          <w:szCs w:val="24"/>
        </w:rPr>
        <w:t>Međuresorni radni tim za praćenje razvoja elektronskih usluga;</w:t>
      </w:r>
    </w:p>
    <w:p w14:paraId="41FF07CC" w14:textId="77777777" w:rsidR="005B3072" w:rsidRDefault="00A46913">
      <w:pPr>
        <w:numPr>
          <w:ilvl w:val="1"/>
          <w:numId w:val="13"/>
        </w:numPr>
        <w:pBdr>
          <w:top w:val="nil"/>
          <w:left w:val="nil"/>
          <w:bottom w:val="nil"/>
          <w:right w:val="nil"/>
          <w:between w:val="nil"/>
        </w:pBdr>
        <w:spacing w:after="0" w:line="276" w:lineRule="auto"/>
        <w:rPr>
          <w:sz w:val="24"/>
          <w:szCs w:val="24"/>
        </w:rPr>
      </w:pPr>
      <w:r>
        <w:rPr>
          <w:color w:val="000000"/>
          <w:sz w:val="24"/>
          <w:szCs w:val="24"/>
        </w:rPr>
        <w:t>Radni tim za open data;</w:t>
      </w:r>
    </w:p>
    <w:p w14:paraId="6FDAE629" w14:textId="77777777" w:rsidR="005B3072" w:rsidRDefault="00A46913">
      <w:pPr>
        <w:numPr>
          <w:ilvl w:val="1"/>
          <w:numId w:val="13"/>
        </w:numPr>
        <w:pBdr>
          <w:top w:val="nil"/>
          <w:left w:val="nil"/>
          <w:bottom w:val="nil"/>
          <w:right w:val="nil"/>
          <w:between w:val="nil"/>
        </w:pBdr>
        <w:spacing w:after="0" w:line="276" w:lineRule="auto"/>
        <w:rPr>
          <w:sz w:val="24"/>
          <w:szCs w:val="24"/>
        </w:rPr>
      </w:pPr>
      <w:r>
        <w:rPr>
          <w:color w:val="000000"/>
          <w:sz w:val="24"/>
          <w:szCs w:val="24"/>
        </w:rPr>
        <w:t>Međuresorni radni tim za praćenje implementacije za elektronsko upravljanje dokumentima i pripremu predloga za dalju implementaciju;</w:t>
      </w:r>
    </w:p>
    <w:p w14:paraId="3BBCB6EB" w14:textId="77777777" w:rsidR="005B3072" w:rsidRDefault="00A46913">
      <w:pPr>
        <w:numPr>
          <w:ilvl w:val="1"/>
          <w:numId w:val="13"/>
        </w:numPr>
        <w:pBdr>
          <w:top w:val="nil"/>
          <w:left w:val="nil"/>
          <w:bottom w:val="nil"/>
          <w:right w:val="nil"/>
          <w:between w:val="nil"/>
        </w:pBdr>
        <w:spacing w:after="240" w:line="276" w:lineRule="auto"/>
        <w:rPr>
          <w:sz w:val="24"/>
          <w:szCs w:val="24"/>
        </w:rPr>
      </w:pPr>
      <w:r>
        <w:rPr>
          <w:color w:val="000000"/>
          <w:sz w:val="24"/>
          <w:szCs w:val="24"/>
        </w:rPr>
        <w:t>Međuresorski stručni tim za interoperabilnost registara.</w:t>
      </w:r>
    </w:p>
    <w:p w14:paraId="51C2314F" w14:textId="77777777" w:rsidR="005B3072" w:rsidRDefault="00A46913">
      <w:pPr>
        <w:pBdr>
          <w:top w:val="nil"/>
          <w:left w:val="nil"/>
          <w:bottom w:val="nil"/>
          <w:right w:val="nil"/>
          <w:between w:val="nil"/>
        </w:pBdr>
        <w:spacing w:before="240" w:after="240"/>
        <w:jc w:val="both"/>
        <w:rPr>
          <w:sz w:val="24"/>
          <w:szCs w:val="24"/>
          <w:highlight w:val="white"/>
        </w:rPr>
      </w:pPr>
      <w:r>
        <w:rPr>
          <w:sz w:val="24"/>
          <w:szCs w:val="24"/>
          <w:highlight w:val="white"/>
        </w:rPr>
        <w:t xml:space="preserve">Iako su ove radne grupe dale puno preporuka i tokom svog rada prepoznale različite izazove, institucije su rijetko preduzimale konkretne akcije na osnovu dobijenih informacija. Rad ovih radnih grupa je obustavljen u toku pandemije COVID-19, nakon čega su uslijedile organizacione promjene u Vladi Crne Gore, pa je samim tim neophodno njihovo revidiranje ili formiranje novih radnih grupa. Pored pomenutih </w:t>
      </w:r>
      <w:r>
        <w:rPr>
          <w:sz w:val="24"/>
          <w:szCs w:val="24"/>
          <w:highlight w:val="white"/>
        </w:rPr>
        <w:lastRenderedPageBreak/>
        <w:t>radnih tijela u Vladi, poslovni sektor je, prepoznajući značaj digitalne transformacije cjelokupnog društva, formirao niz radnih i konsultativnih tijela koja koordiniraju aktivnostima, identifikuju prepreke i predlažu mjere za efikasnu digitalnu transformaciju. Neka od tih radnih tijela koja aktivno učestvuju u procesu digitalne transformacije su:</w:t>
      </w:r>
    </w:p>
    <w:p w14:paraId="21EA78AC"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bookmarkStart w:id="12" w:name="_3rdcrjn" w:colFirst="0" w:colLast="0"/>
      <w:bookmarkEnd w:id="12"/>
      <w:r>
        <w:rPr>
          <w:color w:val="000000"/>
          <w:sz w:val="24"/>
          <w:szCs w:val="24"/>
        </w:rPr>
        <w:t>Odbor za informaciono-komunikacione tehnologije PKCG;</w:t>
      </w:r>
    </w:p>
    <w:p w14:paraId="3B241136"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Odbor za digitalnu transformaciju - Asocijacija menadžera Crne Gore;</w:t>
      </w:r>
    </w:p>
    <w:p w14:paraId="71B51D54"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Komitet za digitalnu transformaciju - Američka privredna komora u Crnoj Gori;</w:t>
      </w:r>
    </w:p>
    <w:p w14:paraId="4C33221D"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Odbor za digitalnu transformaciju - Unija poslodavaca CG;</w:t>
      </w:r>
    </w:p>
    <w:p w14:paraId="60B0A373"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Komitet za informaciono-komunikacione tehnologije - Savjet stranih investitora u CG;</w:t>
      </w:r>
    </w:p>
    <w:p w14:paraId="737B68B6"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Društvo informatičara Crne Gore;</w:t>
      </w:r>
    </w:p>
    <w:p w14:paraId="606D0A92"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Klaster ICT Cortex;</w:t>
      </w:r>
    </w:p>
    <w:p w14:paraId="523B7800"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r>
        <w:rPr>
          <w:color w:val="000000"/>
          <w:sz w:val="24"/>
          <w:szCs w:val="24"/>
        </w:rPr>
        <w:t>Crnogorski IT klaster;</w:t>
      </w:r>
    </w:p>
    <w:p w14:paraId="4E778698" w14:textId="77777777" w:rsidR="005B3072" w:rsidRDefault="00A46913">
      <w:pPr>
        <w:numPr>
          <w:ilvl w:val="1"/>
          <w:numId w:val="13"/>
        </w:numPr>
        <w:pBdr>
          <w:top w:val="nil"/>
          <w:left w:val="nil"/>
          <w:bottom w:val="nil"/>
          <w:right w:val="nil"/>
          <w:between w:val="nil"/>
        </w:pBdr>
        <w:spacing w:after="0" w:line="276" w:lineRule="auto"/>
        <w:rPr>
          <w:color w:val="000000"/>
          <w:sz w:val="24"/>
          <w:szCs w:val="24"/>
        </w:rPr>
      </w:pPr>
      <w:bookmarkStart w:id="13" w:name="_26in1rg" w:colFirst="0" w:colLast="0"/>
      <w:bookmarkEnd w:id="13"/>
      <w:r>
        <w:rPr>
          <w:color w:val="000000"/>
          <w:sz w:val="24"/>
          <w:szCs w:val="24"/>
        </w:rPr>
        <w:t xml:space="preserve">CANU. </w:t>
      </w:r>
    </w:p>
    <w:p w14:paraId="5A7352F4" w14:textId="77777777" w:rsidR="005B3072" w:rsidRDefault="005B3072">
      <w:pPr>
        <w:ind w:left="1800"/>
        <w:jc w:val="both"/>
        <w:rPr>
          <w:sz w:val="24"/>
          <w:szCs w:val="24"/>
        </w:rPr>
      </w:pPr>
    </w:p>
    <w:p w14:paraId="15423D66" w14:textId="77777777" w:rsidR="005B3072" w:rsidRDefault="00A46913">
      <w:pPr>
        <w:pStyle w:val="Heading3"/>
        <w:spacing w:after="240"/>
        <w:rPr>
          <w:b/>
          <w:color w:val="2E75B5"/>
          <w:u w:val="single"/>
        </w:rPr>
      </w:pPr>
      <w:bookmarkStart w:id="14" w:name="_lnxbz9" w:colFirst="0" w:colLast="0"/>
      <w:bookmarkEnd w:id="14"/>
      <w:r>
        <w:rPr>
          <w:b/>
          <w:color w:val="2E75B5"/>
          <w:u w:val="single"/>
        </w:rPr>
        <w:t>Ključni izazovi, problemi i nalazi</w:t>
      </w:r>
    </w:p>
    <w:p w14:paraId="293A34F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Kako bi se kreirali jasni ciljevi i aktivnosti koje će pomoći u realizaciji tih ciljeva, u procesu sprovođenja digitalne transformacije, neophodno je uspostaviti kvalitetnu i efikasnu koordinaciju aktivnosti na različitim međusobno povezanim i hijerarhijskim nivoima, i to na:</w:t>
      </w:r>
    </w:p>
    <w:p w14:paraId="390EC970" w14:textId="77777777" w:rsidR="005B3072" w:rsidRDefault="00A46913">
      <w:pPr>
        <w:numPr>
          <w:ilvl w:val="0"/>
          <w:numId w:val="60"/>
        </w:numPr>
        <w:spacing w:after="0" w:line="276" w:lineRule="auto"/>
        <w:jc w:val="both"/>
        <w:rPr>
          <w:sz w:val="24"/>
          <w:szCs w:val="24"/>
        </w:rPr>
      </w:pPr>
      <w:r>
        <w:rPr>
          <w:b/>
          <w:sz w:val="24"/>
          <w:szCs w:val="24"/>
        </w:rPr>
        <w:t xml:space="preserve">Javno-društvenom nivou </w:t>
      </w:r>
      <w:r>
        <w:rPr>
          <w:sz w:val="24"/>
          <w:szCs w:val="24"/>
        </w:rPr>
        <w:t>na kojem se prikupljaju i razmatraju interesi i sugestije iz svih ključnih sektora društva - poslovnog sektora, nevladinih organizacija, akademske zajednice i javne uprave (tzv. Digitalna koalicija). Na ovom nivou se u okviru koordinacionog tijela usklađuju i prihvataju zajednička rješenja i preporuke za sve sektore, koji učestvuju u ovom procesu.</w:t>
      </w:r>
      <w:r>
        <w:rPr>
          <w:color w:val="9900FF"/>
          <w:sz w:val="24"/>
          <w:szCs w:val="24"/>
        </w:rPr>
        <w:t xml:space="preserve"> </w:t>
      </w:r>
    </w:p>
    <w:p w14:paraId="0752A223" w14:textId="77777777" w:rsidR="005B3072" w:rsidRDefault="00A46913">
      <w:pPr>
        <w:numPr>
          <w:ilvl w:val="0"/>
          <w:numId w:val="60"/>
        </w:numPr>
        <w:spacing w:after="0" w:line="276" w:lineRule="auto"/>
        <w:jc w:val="both"/>
        <w:rPr>
          <w:sz w:val="24"/>
          <w:szCs w:val="24"/>
        </w:rPr>
      </w:pPr>
      <w:r>
        <w:rPr>
          <w:b/>
          <w:sz w:val="24"/>
          <w:szCs w:val="24"/>
        </w:rPr>
        <w:t xml:space="preserve">Sektorski nivo </w:t>
      </w:r>
      <w:r>
        <w:rPr>
          <w:sz w:val="24"/>
          <w:szCs w:val="24"/>
        </w:rPr>
        <w:t xml:space="preserve">koji je odgovoran za vođenje i koordinaciju digitalnog razvoja i dizajniranje rješenja u pojedinačnim sektorima (državna uprava i lokalna samouprava, poslovni sektor, NVO i akademska zajednica). Na nivou sektora, rješenja koordinacionog tijela mogu biti i obavezujuća, odnosno dio formalnog procesa odlučivanja (npr. pribavljanje saglasnosti od strane pomenutog tijela za sve odluke o investicijama Vlade). </w:t>
      </w:r>
    </w:p>
    <w:p w14:paraId="0822C108" w14:textId="77777777" w:rsidR="005B3072" w:rsidRDefault="00A46913">
      <w:pPr>
        <w:numPr>
          <w:ilvl w:val="0"/>
          <w:numId w:val="60"/>
        </w:numPr>
        <w:spacing w:after="0" w:line="276" w:lineRule="auto"/>
        <w:jc w:val="both"/>
        <w:rPr>
          <w:sz w:val="24"/>
          <w:szCs w:val="24"/>
        </w:rPr>
      </w:pPr>
      <w:r>
        <w:rPr>
          <w:b/>
          <w:sz w:val="24"/>
          <w:szCs w:val="24"/>
        </w:rPr>
        <w:t>Organizacioni nivo</w:t>
      </w:r>
      <w:r>
        <w:rPr>
          <w:sz w:val="24"/>
          <w:szCs w:val="24"/>
        </w:rPr>
        <w:t>, posebno za veće i složenije organizacije koje imaju kompleksnu unutrašnju strukturu (tzv. silose). Koordinacija na ovom nivou ima za cilj postizanje unutrašnje koherentnosti u procesima transformacije u pojedinačnim (velikim) organizacijama, definisanje uloga učesnika koji su odgovorni za digitalnu transformaciju unutar organizacije i povećanje njihovog strateškog značaja.</w:t>
      </w:r>
    </w:p>
    <w:p w14:paraId="3853F8BE" w14:textId="77777777" w:rsidR="005B3072" w:rsidRDefault="00A46913">
      <w:pPr>
        <w:pStyle w:val="Heading2"/>
        <w:rPr>
          <w:b/>
          <w:color w:val="2E75B5"/>
          <w:sz w:val="28"/>
          <w:szCs w:val="28"/>
        </w:rPr>
      </w:pPr>
      <w:bookmarkStart w:id="15" w:name="_35nkun2" w:colFirst="0" w:colLast="0"/>
      <w:bookmarkEnd w:id="15"/>
      <w:r>
        <w:rPr>
          <w:b/>
          <w:color w:val="2E75B5"/>
          <w:sz w:val="28"/>
          <w:szCs w:val="28"/>
        </w:rPr>
        <w:lastRenderedPageBreak/>
        <w:t>Dizajn usluga i elektronskih usluga</w:t>
      </w:r>
    </w:p>
    <w:p w14:paraId="087A6AA4" w14:textId="77777777" w:rsidR="005B3072" w:rsidRDefault="005B3072">
      <w:pPr>
        <w:keepNext/>
        <w:keepLines/>
        <w:ind w:left="720"/>
        <w:rPr>
          <w:b/>
          <w:color w:val="980000"/>
          <w:sz w:val="24"/>
          <w:szCs w:val="24"/>
        </w:rPr>
      </w:pPr>
    </w:p>
    <w:p w14:paraId="5B59D25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Strateški ciljevi Crne Gore u oblasti informaciono-komunikacionih tehnologija (IKT) istovjetni su ciljevima koji su utvrđeni Digitalnom agendom 2020 za Evropu</w:t>
      </w:r>
      <w:r>
        <w:rPr>
          <w:color w:val="000000"/>
          <w:sz w:val="24"/>
          <w:szCs w:val="24"/>
          <w:vertAlign w:val="superscript"/>
        </w:rPr>
        <w:footnoteReference w:id="35"/>
      </w:r>
      <w:r>
        <w:rPr>
          <w:color w:val="000000"/>
          <w:sz w:val="24"/>
          <w:szCs w:val="24"/>
        </w:rPr>
        <w:t xml:space="preserve"> i vizijom Gigabitnog društva do 2025. godine</w:t>
      </w:r>
      <w:r>
        <w:rPr>
          <w:color w:val="000000"/>
          <w:sz w:val="24"/>
          <w:szCs w:val="24"/>
          <w:vertAlign w:val="superscript"/>
        </w:rPr>
        <w:footnoteReference w:id="36"/>
      </w:r>
      <w:r>
        <w:rPr>
          <w:color w:val="000000"/>
          <w:sz w:val="24"/>
          <w:szCs w:val="24"/>
        </w:rPr>
        <w:t>.</w:t>
      </w:r>
    </w:p>
    <w:p w14:paraId="1FE75FB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Jedan od najznačajnijih preduslova za razvoj digitalnog društva predstavlja postojanje političke volje kao pokretača promjena. U tom smislu, uz postojanje jasne političke volje i tzv. eLidera na najvišem nivou upravljanja, Vlada je (uz saradnju svih aktera u društvu) prepoznata kao glavni pokretač i regulator razvoja digitalnog društva. Prepoznajući značaj razvoja digitalnog društva na najvišem nivou u jednom sistemu, sa svim prednostima koje će donijeti jednom društvu, njen razvoj će zavisiti od konkretnih aktivnosti pretočenih u zakone, uredbe ali i strategije sa jasnim ciljevima i zadacima koje će podržati ove inicijative. </w:t>
      </w:r>
    </w:p>
    <w:p w14:paraId="0A500950" w14:textId="77777777" w:rsidR="005B3072" w:rsidRDefault="00A46913">
      <w:pPr>
        <w:pBdr>
          <w:top w:val="nil"/>
          <w:left w:val="nil"/>
          <w:bottom w:val="nil"/>
          <w:right w:val="nil"/>
          <w:between w:val="nil"/>
        </w:pBdr>
        <w:spacing w:after="240" w:line="276" w:lineRule="auto"/>
        <w:jc w:val="both"/>
        <w:rPr>
          <w:color w:val="000000"/>
          <w:sz w:val="24"/>
          <w:szCs w:val="24"/>
        </w:rPr>
      </w:pPr>
      <w:r>
        <w:rPr>
          <w:sz w:val="24"/>
          <w:szCs w:val="24"/>
        </w:rPr>
        <w:t>R</w:t>
      </w:r>
      <w:r>
        <w:rPr>
          <w:color w:val="000000"/>
          <w:sz w:val="24"/>
          <w:szCs w:val="24"/>
        </w:rPr>
        <w:t>azvoj elektronske uprave i digitalnog društva u velikoj mjeri zavise od normativne infrastrukture. Posebni ciljevi zakonskog uređivanja sastoje se u tome da se pravnim uređenjem ove materije otvori prostor za intenzivniju primjenu elektronskog poslovanja, da se izgradi povjerenje najšire javnosti kada je riječ o upotrebi i razmjeni elektronskih dokumenata, upotrebi usluga od povjerenja u elektronskom poslovanju ali i da se postigne konkurentnost na svjetskim tržištima. Ovi zakoni su podjednako značajni za građane, privredu, državnu upravu, lokalnu samoupravu i ostale subjekte, a njihova primjena omogućava napredak i u međunarodnom položaju i djelovanju.</w:t>
      </w:r>
    </w:p>
    <w:p w14:paraId="3B81F204"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Upravo shvatajući potrebu da se i normativno stvore preduslovi za efikasno sprovođenje procesa digitalne transformacije, do sada su usvojeni sljedeći zakoni koji uređuju ova pitanja:</w:t>
      </w:r>
    </w:p>
    <w:p w14:paraId="032E66E3" w14:textId="77777777" w:rsidR="005B3072" w:rsidRDefault="00A46913">
      <w:pPr>
        <w:numPr>
          <w:ilvl w:val="0"/>
          <w:numId w:val="48"/>
        </w:numPr>
        <w:pBdr>
          <w:top w:val="nil"/>
          <w:left w:val="nil"/>
          <w:bottom w:val="nil"/>
          <w:right w:val="nil"/>
          <w:between w:val="nil"/>
        </w:pBdr>
        <w:spacing w:after="0" w:line="276" w:lineRule="auto"/>
        <w:jc w:val="both"/>
        <w:rPr>
          <w:color w:val="000000"/>
          <w:sz w:val="24"/>
          <w:szCs w:val="24"/>
        </w:rPr>
      </w:pPr>
      <w:r>
        <w:rPr>
          <w:b/>
          <w:color w:val="000000"/>
          <w:sz w:val="24"/>
          <w:szCs w:val="24"/>
        </w:rPr>
        <w:t xml:space="preserve">Zakon o elektronskoj upravi </w:t>
      </w:r>
      <w:r>
        <w:rPr>
          <w:color w:val="000000"/>
          <w:sz w:val="24"/>
          <w:szCs w:val="24"/>
        </w:rPr>
        <w:t>(“Službeni list Crne Gore”, br. 72/19) -</w:t>
      </w:r>
      <w:r>
        <w:rPr>
          <w:b/>
          <w:color w:val="000000"/>
          <w:sz w:val="24"/>
          <w:szCs w:val="24"/>
        </w:rPr>
        <w:t xml:space="preserve"> </w:t>
      </w:r>
      <w:r>
        <w:rPr>
          <w:color w:val="000000"/>
          <w:sz w:val="24"/>
          <w:szCs w:val="24"/>
        </w:rPr>
        <w:t>Jedan od osnovnih razloga za donošenje Zakona o elektronskoj upravi je da se dodatno uredi oblast elektronske uprave u Crnoj Gori u skladu sa njenim stvarnim i projektovanim potrebama, kako sa aspekta razvojnih potreba, tako i u skladu sa zahtjevima međunarodnih integracionih procesa. Ovaj Zakon</w:t>
      </w:r>
      <w:r>
        <w:rPr>
          <w:b/>
          <w:color w:val="000000"/>
          <w:sz w:val="24"/>
          <w:szCs w:val="24"/>
        </w:rPr>
        <w:t xml:space="preserve"> </w:t>
      </w:r>
      <w:r>
        <w:rPr>
          <w:color w:val="000000"/>
          <w:sz w:val="24"/>
          <w:szCs w:val="24"/>
        </w:rPr>
        <w:t xml:space="preserve">pruža mogućnost komunikacije sa Vladom u elektronskom formatu, obavezuje državne organe da pružaju usluge e-uprave putem jedinstvenog informacionog sistema te da koriste jedinstveni sistem za elektronsku razmjenu podataka, takođe predviđa postojanje meta-registra za održavanje pregleda elektronskih registara. Zakonom je predviđeno i formiranje koordinacinog tijela tj. Savjeta za elektronsku upravu koji ima zadatak da koordinira, sinhronizuje i usmjerava aktivnosti razvoja elektronskih usluga “po horizontali” u organima državne uprave. Takođe, Zakonom o elektronskoj upravi je propisana i obaveza izrade </w:t>
      </w:r>
      <w:r>
        <w:rPr>
          <w:b/>
          <w:color w:val="000000"/>
          <w:sz w:val="24"/>
          <w:szCs w:val="24"/>
        </w:rPr>
        <w:t>kataloga elektronskih usluga</w:t>
      </w:r>
      <w:r>
        <w:rPr>
          <w:color w:val="000000"/>
          <w:sz w:val="24"/>
          <w:szCs w:val="24"/>
        </w:rPr>
        <w:t xml:space="preserve"> i njihovog objavljivanja na veb lokacijama određenih javnih institucija.  U nedostatku kataloga, prepoznat je jaz kada je u pitanju obaviještenost i digitalna osviješćenost o dostupnim e-uslugama. Građani nijesu na jednom mestu obaviješteni o uslugama koje pruža administracija, uslovima i postupcima za ostvarivanje svojih </w:t>
      </w:r>
      <w:r>
        <w:rPr>
          <w:color w:val="000000"/>
          <w:sz w:val="24"/>
          <w:szCs w:val="24"/>
        </w:rPr>
        <w:lastRenderedPageBreak/>
        <w:t>prava i ispunjavanju obaveza. MJUDDM je već započelo aktivnosti na stvaranju sveobuhvatnog kataloga usluga u konsultacijama sa Evropskom komisijom u okviru programa ISA2.</w:t>
      </w:r>
    </w:p>
    <w:p w14:paraId="262DC75E" w14:textId="77777777" w:rsidR="005B3072" w:rsidRDefault="00A46913">
      <w:pPr>
        <w:numPr>
          <w:ilvl w:val="0"/>
          <w:numId w:val="48"/>
        </w:numPr>
        <w:pBdr>
          <w:top w:val="nil"/>
          <w:left w:val="nil"/>
          <w:bottom w:val="nil"/>
          <w:right w:val="nil"/>
          <w:between w:val="nil"/>
        </w:pBdr>
        <w:spacing w:before="120" w:after="120" w:line="276" w:lineRule="auto"/>
        <w:ind w:left="714" w:hanging="357"/>
        <w:jc w:val="both"/>
        <w:rPr>
          <w:color w:val="000000"/>
          <w:sz w:val="24"/>
          <w:szCs w:val="24"/>
        </w:rPr>
      </w:pPr>
      <w:r>
        <w:rPr>
          <w:b/>
          <w:color w:val="000000"/>
          <w:sz w:val="24"/>
          <w:szCs w:val="24"/>
        </w:rPr>
        <w:t>Zakon o upravnom postupku</w:t>
      </w:r>
      <w:r>
        <w:rPr>
          <w:color w:val="000000"/>
          <w:sz w:val="24"/>
          <w:szCs w:val="24"/>
        </w:rPr>
        <w:t xml:space="preserve"> (</w:t>
      </w:r>
      <w:r>
        <w:rPr>
          <w:sz w:val="24"/>
          <w:szCs w:val="24"/>
        </w:rPr>
        <w:t>“</w:t>
      </w:r>
      <w:r>
        <w:rPr>
          <w:color w:val="000000"/>
          <w:sz w:val="24"/>
          <w:szCs w:val="24"/>
        </w:rPr>
        <w:t xml:space="preserve">Službeni list </w:t>
      </w:r>
      <w:r>
        <w:rPr>
          <w:sz w:val="24"/>
          <w:szCs w:val="24"/>
        </w:rPr>
        <w:t>Crne Gore”</w:t>
      </w:r>
      <w:r>
        <w:rPr>
          <w:color w:val="000000"/>
          <w:sz w:val="24"/>
          <w:szCs w:val="24"/>
        </w:rPr>
        <w:t>, br. 56/14, 20/15, 40/16 i 37/17) naglasio je potrebu da se javna uprava prilagodi promjenama u društvu, uključujući upotrebu IKT. Zakon o</w:t>
      </w:r>
      <w:r>
        <w:rPr>
          <w:b/>
          <w:color w:val="000000"/>
          <w:sz w:val="24"/>
          <w:szCs w:val="24"/>
        </w:rPr>
        <w:t xml:space="preserve"> </w:t>
      </w:r>
      <w:r>
        <w:rPr>
          <w:color w:val="000000"/>
          <w:sz w:val="24"/>
          <w:szCs w:val="24"/>
        </w:rPr>
        <w:t xml:space="preserve">opštem upravnom postupku je u skladu sa principima EU o dobroj javnoj upravi i sadrži odredbe o elektronskim komunikacijama, jedinstvenom principu i principu „once and only”. Kako je ovim </w:t>
      </w:r>
      <w:r>
        <w:rPr>
          <w:sz w:val="24"/>
          <w:szCs w:val="24"/>
        </w:rPr>
        <w:t>z</w:t>
      </w:r>
      <w:r>
        <w:rPr>
          <w:color w:val="000000"/>
          <w:sz w:val="24"/>
          <w:szCs w:val="24"/>
        </w:rPr>
        <w:t>akonom uvedena službena odgovornost za razmjenu informacija, sada postoji i zakonska obaveza. Međutim, ovaj zakon ne zahtijeva upotrebu određene platforme za razmjenu ili dijeljenje informacija elektronskim putem. Infrastruktura za elektronsku razmjenu informacija još uvijek nije u potpunosti uspostavljena, iako se na tome radi. Razmjena podataka u praksi se i dalje često odvija na tradicionalan način - na papiru ili u fizičkom skladištu podataka - što uključuje rizik da se podaci ugroze ili da podaci nestanu.</w:t>
      </w:r>
    </w:p>
    <w:p w14:paraId="45461DC5" w14:textId="77777777" w:rsidR="005B3072" w:rsidRDefault="00A46913">
      <w:pPr>
        <w:spacing w:before="60" w:after="60"/>
        <w:ind w:right="-35"/>
        <w:jc w:val="both"/>
        <w:rPr>
          <w:sz w:val="24"/>
          <w:szCs w:val="24"/>
        </w:rPr>
      </w:pPr>
      <w:r>
        <w:rPr>
          <w:sz w:val="24"/>
          <w:szCs w:val="24"/>
        </w:rPr>
        <w:t>Ostali ključni pravni akti uključuju:</w:t>
      </w:r>
    </w:p>
    <w:p w14:paraId="2DF0D706" w14:textId="77777777" w:rsidR="005B3072" w:rsidRDefault="00A46913">
      <w:pPr>
        <w:numPr>
          <w:ilvl w:val="0"/>
          <w:numId w:val="2"/>
        </w:numPr>
        <w:pBdr>
          <w:top w:val="nil"/>
          <w:left w:val="nil"/>
          <w:bottom w:val="nil"/>
          <w:right w:val="nil"/>
          <w:between w:val="nil"/>
        </w:pBdr>
        <w:spacing w:before="60" w:after="0" w:line="276" w:lineRule="auto"/>
        <w:ind w:right="-35"/>
        <w:jc w:val="both"/>
        <w:rPr>
          <w:color w:val="000000"/>
          <w:sz w:val="24"/>
          <w:szCs w:val="24"/>
        </w:rPr>
      </w:pPr>
      <w:r>
        <w:rPr>
          <w:b/>
          <w:color w:val="000000"/>
          <w:sz w:val="24"/>
          <w:szCs w:val="24"/>
        </w:rPr>
        <w:t>Zakon o elektronskom dokumentu</w:t>
      </w:r>
      <w:r>
        <w:rPr>
          <w:color w:val="000000"/>
          <w:sz w:val="24"/>
          <w:szCs w:val="24"/>
        </w:rPr>
        <w:t xml:space="preserve"> (“Službeni list Crne Gore”, br. 5/08 i 40/11) koji reguliše upotrebu elektronskih dokumenata tako da se elektronskom dokumentu ne može osporiti punovažnost, dokazana snaga ili pisana forma samo zato što je u elektronskom obliku i koji uvodi digitalizaciju papirnih dokumenta, kao i ovjeru digitalizovanih dokumenta od strane subjekata propisanih zakonom kojim se uređuje ovjera potpisa, rukopisa i prepisa i nadležnih organa u smislu Zakona o elektronskom dokumentu;</w:t>
      </w:r>
    </w:p>
    <w:p w14:paraId="0B75CD76" w14:textId="77777777" w:rsidR="005B3072" w:rsidRDefault="00A46913">
      <w:pPr>
        <w:numPr>
          <w:ilvl w:val="0"/>
          <w:numId w:val="2"/>
        </w:numPr>
        <w:pBdr>
          <w:top w:val="nil"/>
          <w:left w:val="nil"/>
          <w:bottom w:val="nil"/>
          <w:right w:val="nil"/>
          <w:between w:val="nil"/>
        </w:pBdr>
        <w:spacing w:before="120" w:after="0" w:line="276" w:lineRule="auto"/>
        <w:ind w:left="777" w:right="-34" w:hanging="357"/>
        <w:jc w:val="both"/>
        <w:rPr>
          <w:color w:val="000000"/>
          <w:sz w:val="24"/>
          <w:szCs w:val="24"/>
        </w:rPr>
      </w:pPr>
      <w:r>
        <w:rPr>
          <w:b/>
          <w:color w:val="000000"/>
          <w:sz w:val="24"/>
          <w:szCs w:val="24"/>
        </w:rPr>
        <w:t>Zakon o elektronskoj identifikaciji i elektronskom potpisu</w:t>
      </w:r>
      <w:r>
        <w:rPr>
          <w:color w:val="000000"/>
          <w:sz w:val="24"/>
          <w:szCs w:val="24"/>
        </w:rPr>
        <w:t xml:space="preserve"> (“Službeni list Crne Gore”, br. 72/19), kojim je nastavljen proces razvoja pravnog okvira nephodnog za razvoj elektronskog poslovanja u Crnoj Gori</w:t>
      </w:r>
      <w:r>
        <w:rPr>
          <w:sz w:val="24"/>
          <w:szCs w:val="24"/>
        </w:rPr>
        <w:t xml:space="preserve"> kao i </w:t>
      </w:r>
      <w:r>
        <w:rPr>
          <w:color w:val="000000"/>
          <w:sz w:val="24"/>
          <w:szCs w:val="24"/>
        </w:rPr>
        <w:t xml:space="preserve">Pravilnik o otvorenim podacima (“Službeni list Crne Gore”, br. 53/18) koji predviđa način objavljivanja informacija kao otvorenih podataka; </w:t>
      </w:r>
    </w:p>
    <w:p w14:paraId="4157D7E5" w14:textId="77777777" w:rsidR="005B3072" w:rsidRDefault="00A46913">
      <w:pPr>
        <w:numPr>
          <w:ilvl w:val="0"/>
          <w:numId w:val="2"/>
        </w:numPr>
        <w:pBdr>
          <w:top w:val="nil"/>
          <w:left w:val="nil"/>
          <w:bottom w:val="nil"/>
          <w:right w:val="nil"/>
          <w:between w:val="nil"/>
        </w:pBdr>
        <w:spacing w:before="120" w:after="0" w:line="276" w:lineRule="auto"/>
        <w:ind w:left="777" w:right="-34" w:hanging="357"/>
        <w:jc w:val="both"/>
        <w:rPr>
          <w:color w:val="000000"/>
          <w:sz w:val="24"/>
          <w:szCs w:val="24"/>
        </w:rPr>
      </w:pPr>
      <w:r>
        <w:rPr>
          <w:b/>
          <w:color w:val="000000"/>
          <w:sz w:val="24"/>
          <w:szCs w:val="24"/>
        </w:rPr>
        <w:t xml:space="preserve">Pravilnik o eID; </w:t>
      </w:r>
    </w:p>
    <w:p w14:paraId="62025696" w14:textId="77777777" w:rsidR="005B3072" w:rsidRDefault="00A46913">
      <w:pPr>
        <w:numPr>
          <w:ilvl w:val="0"/>
          <w:numId w:val="2"/>
        </w:numPr>
        <w:pBdr>
          <w:top w:val="nil"/>
          <w:left w:val="nil"/>
          <w:bottom w:val="nil"/>
          <w:right w:val="nil"/>
          <w:between w:val="nil"/>
        </w:pBdr>
        <w:spacing w:before="120" w:after="0" w:line="276" w:lineRule="auto"/>
        <w:ind w:left="777" w:right="-34" w:hanging="357"/>
        <w:jc w:val="both"/>
        <w:rPr>
          <w:color w:val="000000"/>
          <w:sz w:val="24"/>
          <w:szCs w:val="24"/>
        </w:rPr>
      </w:pPr>
      <w:r>
        <w:rPr>
          <w:b/>
          <w:color w:val="000000"/>
          <w:sz w:val="24"/>
          <w:szCs w:val="24"/>
        </w:rPr>
        <w:t xml:space="preserve">Zakon o informacionoj </w:t>
      </w:r>
      <w:r>
        <w:rPr>
          <w:b/>
          <w:sz w:val="24"/>
          <w:szCs w:val="24"/>
        </w:rPr>
        <w:t xml:space="preserve">bezbjednosti </w:t>
      </w:r>
      <w:r>
        <w:rPr>
          <w:color w:val="000000"/>
          <w:sz w:val="24"/>
          <w:szCs w:val="24"/>
        </w:rPr>
        <w:t xml:space="preserve">(“Službeni list Crne Gore”, br. 14/10 i 40/16); </w:t>
      </w:r>
    </w:p>
    <w:p w14:paraId="0EC0B600" w14:textId="77777777" w:rsidR="005B3072" w:rsidRDefault="00A46913">
      <w:pPr>
        <w:numPr>
          <w:ilvl w:val="0"/>
          <w:numId w:val="2"/>
        </w:numPr>
        <w:pBdr>
          <w:top w:val="nil"/>
          <w:left w:val="nil"/>
          <w:bottom w:val="nil"/>
          <w:right w:val="nil"/>
          <w:between w:val="nil"/>
        </w:pBdr>
        <w:spacing w:before="120" w:after="0" w:line="276" w:lineRule="auto"/>
        <w:ind w:left="777" w:right="-34" w:hanging="357"/>
        <w:jc w:val="both"/>
        <w:rPr>
          <w:color w:val="000000"/>
          <w:sz w:val="24"/>
          <w:szCs w:val="24"/>
        </w:rPr>
      </w:pPr>
      <w:r>
        <w:rPr>
          <w:b/>
          <w:color w:val="000000"/>
          <w:sz w:val="24"/>
          <w:szCs w:val="24"/>
        </w:rPr>
        <w:t xml:space="preserve">Uredba o mjerama informacione </w:t>
      </w:r>
      <w:r>
        <w:rPr>
          <w:b/>
          <w:sz w:val="24"/>
          <w:szCs w:val="24"/>
        </w:rPr>
        <w:t xml:space="preserve">bezbjednosti </w:t>
      </w:r>
      <w:r>
        <w:rPr>
          <w:color w:val="000000"/>
          <w:sz w:val="24"/>
          <w:szCs w:val="24"/>
        </w:rPr>
        <w:t xml:space="preserve">(“Službeni list Crne Gore”, br. 58/10 i 55/15) i </w:t>
      </w:r>
    </w:p>
    <w:p w14:paraId="1212DAFF" w14:textId="77777777" w:rsidR="005B3072" w:rsidRDefault="00A46913">
      <w:pPr>
        <w:numPr>
          <w:ilvl w:val="0"/>
          <w:numId w:val="2"/>
        </w:numPr>
        <w:pBdr>
          <w:top w:val="nil"/>
          <w:left w:val="nil"/>
          <w:bottom w:val="nil"/>
          <w:right w:val="nil"/>
          <w:between w:val="nil"/>
        </w:pBdr>
        <w:spacing w:before="120" w:after="60" w:line="276" w:lineRule="auto"/>
        <w:ind w:left="777" w:right="-34" w:hanging="357"/>
        <w:jc w:val="both"/>
        <w:rPr>
          <w:color w:val="000000"/>
          <w:sz w:val="24"/>
          <w:szCs w:val="24"/>
        </w:rPr>
      </w:pPr>
      <w:r>
        <w:rPr>
          <w:b/>
          <w:color w:val="000000"/>
          <w:sz w:val="24"/>
          <w:szCs w:val="24"/>
        </w:rPr>
        <w:t>Zakon o zaštiti ličnih podataka</w:t>
      </w:r>
      <w:r>
        <w:rPr>
          <w:color w:val="000000"/>
          <w:sz w:val="24"/>
          <w:szCs w:val="24"/>
        </w:rPr>
        <w:t xml:space="preserve"> (“Službeni list Crne Gore”, br. 79/08, 70/09, 44/12 i 22/17). </w:t>
      </w:r>
    </w:p>
    <w:p w14:paraId="78681691" w14:textId="77777777" w:rsidR="005B3072" w:rsidRDefault="00A46913">
      <w:pPr>
        <w:pBdr>
          <w:top w:val="nil"/>
          <w:left w:val="nil"/>
          <w:bottom w:val="nil"/>
          <w:right w:val="nil"/>
          <w:between w:val="nil"/>
        </w:pBdr>
        <w:spacing w:before="120" w:after="240" w:line="276" w:lineRule="auto"/>
        <w:jc w:val="both"/>
        <w:rPr>
          <w:color w:val="000000"/>
          <w:sz w:val="24"/>
          <w:szCs w:val="24"/>
        </w:rPr>
      </w:pPr>
      <w:r>
        <w:rPr>
          <w:color w:val="000000"/>
          <w:sz w:val="24"/>
          <w:szCs w:val="24"/>
        </w:rPr>
        <w:t xml:space="preserve">Uvođenjem </w:t>
      </w:r>
      <w:r>
        <w:rPr>
          <w:b/>
          <w:color w:val="000000"/>
          <w:sz w:val="24"/>
          <w:szCs w:val="24"/>
        </w:rPr>
        <w:t>Zakona o elektronskoj identifikaciji i elektronskom potpisu</w:t>
      </w:r>
      <w:r>
        <w:rPr>
          <w:color w:val="000000"/>
          <w:sz w:val="24"/>
          <w:szCs w:val="24"/>
        </w:rPr>
        <w:t xml:space="preserve"> kao i </w:t>
      </w:r>
      <w:r>
        <w:rPr>
          <w:b/>
          <w:color w:val="000000"/>
          <w:sz w:val="24"/>
          <w:szCs w:val="24"/>
        </w:rPr>
        <w:t>Zakona o elektronskom dokumentu</w:t>
      </w:r>
      <w:r>
        <w:rPr>
          <w:color w:val="000000"/>
          <w:sz w:val="24"/>
          <w:szCs w:val="24"/>
        </w:rPr>
        <w:t>, već je napravljen veliki iskorak kada je u pitanju prilagođavanje pravnog okvira za potrebe digitalne transformacije društva. U skladu sa ta dva zakona kvalifikovani elektronski potpis i svojeručni potpis su u potpunosti izjednačeni, što omogućava da se sve transakcije u potpunosti izmjeste na digitalne kanale. Međutim, koliko će ova mogućnost biti iskorišćena zavisi prije svega od toga kolika je stvarna upotreba kvalifikovanih elektronskih potpisa.</w:t>
      </w:r>
    </w:p>
    <w:p w14:paraId="4C369FC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Dakle, četiri zakonske regulative posebnih propisa, zajedno sa pratećim podzakonskim aktima, postižu svoj osnovni cilj, a to je uspostavljanje osnovne pravne infrastrukture neophodne za digitalnu transformaciju i to:</w:t>
      </w:r>
    </w:p>
    <w:p w14:paraId="669C6CBB" w14:textId="77777777" w:rsidR="005B3072" w:rsidRDefault="00A46913">
      <w:pPr>
        <w:numPr>
          <w:ilvl w:val="0"/>
          <w:numId w:val="46"/>
        </w:numPr>
        <w:spacing w:before="60" w:after="0" w:line="276" w:lineRule="auto"/>
        <w:ind w:right="-35"/>
        <w:jc w:val="both"/>
        <w:rPr>
          <w:sz w:val="24"/>
          <w:szCs w:val="24"/>
        </w:rPr>
      </w:pPr>
      <w:r>
        <w:rPr>
          <w:sz w:val="24"/>
          <w:szCs w:val="24"/>
        </w:rPr>
        <w:t xml:space="preserve">Usvajanjem predloga </w:t>
      </w:r>
      <w:r>
        <w:rPr>
          <w:b/>
          <w:sz w:val="24"/>
          <w:szCs w:val="24"/>
        </w:rPr>
        <w:t>Zakona o elektronskom dokumentu</w:t>
      </w:r>
      <w:r>
        <w:rPr>
          <w:sz w:val="24"/>
          <w:szCs w:val="24"/>
        </w:rPr>
        <w:t xml:space="preserve">, navedeni pravni okvir biće dodatno unaprijeđen kako bi se uskladile trenutne neusaglašenosti sa </w:t>
      </w:r>
      <w:r>
        <w:rPr>
          <w:b/>
          <w:sz w:val="24"/>
          <w:szCs w:val="24"/>
        </w:rPr>
        <w:t>Zakonom o elektronskoj identifikaciji i elektronskom potpisu</w:t>
      </w:r>
      <w:r>
        <w:rPr>
          <w:sz w:val="24"/>
          <w:szCs w:val="24"/>
        </w:rPr>
        <w:t xml:space="preserve"> i pospješio razvoj digitalizacije</w:t>
      </w:r>
    </w:p>
    <w:p w14:paraId="1A04412A" w14:textId="77777777" w:rsidR="005B3072" w:rsidRDefault="00A46913">
      <w:pPr>
        <w:numPr>
          <w:ilvl w:val="0"/>
          <w:numId w:val="20"/>
        </w:numPr>
        <w:spacing w:after="0" w:line="276" w:lineRule="auto"/>
        <w:ind w:right="-35"/>
        <w:jc w:val="both"/>
        <w:rPr>
          <w:sz w:val="24"/>
          <w:szCs w:val="24"/>
        </w:rPr>
      </w:pPr>
      <w:r>
        <w:rPr>
          <w:sz w:val="24"/>
          <w:szCs w:val="24"/>
        </w:rPr>
        <w:t xml:space="preserve">Usvajanje predloga propisa kojim bi se omogućila efikasnija razmjena podataka između subjekata u okviru </w:t>
      </w:r>
      <w:r>
        <w:rPr>
          <w:b/>
          <w:sz w:val="24"/>
          <w:szCs w:val="24"/>
        </w:rPr>
        <w:t>Zakona o elektronskoj upravi</w:t>
      </w:r>
    </w:p>
    <w:p w14:paraId="3044AC12" w14:textId="77777777" w:rsidR="005B3072" w:rsidRDefault="00A46913">
      <w:pPr>
        <w:numPr>
          <w:ilvl w:val="0"/>
          <w:numId w:val="20"/>
        </w:numPr>
        <w:spacing w:after="240" w:line="276" w:lineRule="auto"/>
        <w:ind w:left="714" w:right="-34" w:hanging="357"/>
        <w:jc w:val="both"/>
        <w:rPr>
          <w:sz w:val="24"/>
          <w:szCs w:val="24"/>
        </w:rPr>
      </w:pPr>
      <w:r>
        <w:rPr>
          <w:sz w:val="24"/>
          <w:szCs w:val="24"/>
        </w:rPr>
        <w:t xml:space="preserve">Usvajanje predloga izmjena i dopuna </w:t>
      </w:r>
      <w:r>
        <w:rPr>
          <w:b/>
          <w:sz w:val="24"/>
          <w:szCs w:val="24"/>
        </w:rPr>
        <w:t>Zakona o upravnom postupku.</w:t>
      </w:r>
    </w:p>
    <w:p w14:paraId="5589F0C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Program Ujedinjenih nacija za razvoj u Crnoj Gori (UNDP) sprovodi projekat “</w:t>
      </w:r>
      <w:r>
        <w:rPr>
          <w:b/>
          <w:color w:val="000000"/>
          <w:sz w:val="24"/>
          <w:szCs w:val="24"/>
        </w:rPr>
        <w:t>Ubrzanje digitalnog upravljanja</w:t>
      </w:r>
      <w:r>
        <w:rPr>
          <w:color w:val="000000"/>
          <w:sz w:val="24"/>
          <w:szCs w:val="24"/>
        </w:rPr>
        <w:t>”. Ovaj projekat za svoj osnovni cilj ima potrebu da podrži transformaciju digitalnog upravljanja u Crnoj Gori kako bi se poboljšala institucionalna otpornost i povećalo povjerenje u institucije. Glavni cilj naveden</w:t>
      </w:r>
      <w:r>
        <w:rPr>
          <w:sz w:val="24"/>
          <w:szCs w:val="24"/>
        </w:rPr>
        <w:t>og projekta</w:t>
      </w:r>
      <w:r>
        <w:rPr>
          <w:color w:val="000000"/>
          <w:sz w:val="24"/>
          <w:szCs w:val="24"/>
        </w:rPr>
        <w:t xml:space="preserve"> predstavlja potreba da se podrži tranzicija javne uprave Crne Gore ka adaptivnom, efikasnom i otvorenom upravljanju koje ljudski razvoj stavlja u središte digitalne transformacije. </w:t>
      </w:r>
    </w:p>
    <w:p w14:paraId="27E6CBA6" w14:textId="77777777" w:rsidR="005B3072" w:rsidRDefault="00A46913">
      <w:pPr>
        <w:pBdr>
          <w:top w:val="nil"/>
          <w:left w:val="nil"/>
          <w:bottom w:val="nil"/>
          <w:right w:val="nil"/>
          <w:between w:val="nil"/>
        </w:pBdr>
        <w:spacing w:after="240" w:line="276" w:lineRule="auto"/>
        <w:jc w:val="both"/>
        <w:rPr>
          <w:sz w:val="24"/>
          <w:szCs w:val="24"/>
        </w:rPr>
      </w:pPr>
      <w:r>
        <w:rPr>
          <w:sz w:val="24"/>
          <w:szCs w:val="24"/>
        </w:rPr>
        <w:t>U procesu digitalne transformacije, važno je regulisati i pitanje rodne ravnopravnosti, odnosno, omogućiti svima korišćenje javnih usluga pod jednakim uslovima ali i stvoriti preduslove za planiranje i donošenje javnih politika uz primjenu principa rodne ravnopravnosti. U istraživanju koje je sproveo Ipsos Strategic Marketing za potrebe kancelarije Programa Ujedinjenih nacija za razvoj u Crnoj Gori (UNDP Montenegro) u vezi stavova i percepcija zaposlenih u javnoj upravi i ocjene primjene načela rodne ravnopravnosti u institucijama javne vlasti</w:t>
      </w:r>
      <w:r>
        <w:rPr>
          <w:sz w:val="24"/>
          <w:szCs w:val="24"/>
          <w:vertAlign w:val="superscript"/>
        </w:rPr>
        <w:footnoteReference w:id="37"/>
      </w:r>
      <w:r>
        <w:rPr>
          <w:sz w:val="24"/>
          <w:szCs w:val="24"/>
        </w:rPr>
        <w:t>, zaključeno je da u Crnoj Gori postoji regulatorni okvir koji uređuje oblast rodne ravnopravnosti i stvara pretpostavke za integrisanje rodnog aspekta u javne politike i kapacitete institucija, ali da nije u dovoljnoj mjeri razvijen u funkcionalno upotrebljiv. U istom izvještaju je navedeno da sami institucionalni mehanizmi nisu dovoljno jaki, te nemaju dovoljno kapaciteta za adekvatnu primjenu i praćenje politika iz ove oblasti.</w:t>
      </w:r>
    </w:p>
    <w:p w14:paraId="5C1F7279" w14:textId="77777777" w:rsidR="005B3072" w:rsidRDefault="00A46913">
      <w:pPr>
        <w:spacing w:before="240" w:after="240" w:line="276" w:lineRule="auto"/>
        <w:jc w:val="both"/>
        <w:rPr>
          <w:sz w:val="24"/>
          <w:szCs w:val="24"/>
        </w:rPr>
      </w:pPr>
      <w:r>
        <w:rPr>
          <w:sz w:val="24"/>
          <w:szCs w:val="24"/>
        </w:rPr>
        <w:t xml:space="preserve">Ove rezultate potvrđuje i istraživanje </w:t>
      </w:r>
      <w:r>
        <w:rPr>
          <w:i/>
          <w:sz w:val="24"/>
          <w:szCs w:val="24"/>
        </w:rPr>
        <w:t>Procjena potrebe za obukom zaposlenih u javnoj upravi</w:t>
      </w:r>
      <w:r>
        <w:rPr>
          <w:sz w:val="24"/>
          <w:szCs w:val="24"/>
        </w:rPr>
        <w:t xml:space="preserve"> koje je sprovela agencija Damar, uz podršku kancelarije UNDP u Crnoj Gori u junu 2021. godine. Prema tom istraživanju, </w:t>
      </w:r>
      <w:r>
        <w:rPr>
          <w:sz w:val="23"/>
          <w:szCs w:val="23"/>
        </w:rPr>
        <w:t xml:space="preserve">63,8% zaposlenih u javnoj upravi uvijek prilikom kreiranja usluga, kao i strateških akata i ostalih dokumenata primjenjuje principe rodne ravnopravnosti. Kada je riječ o e-uslugama, skoro 2/3 zaposlenih prilikom pružanja usluga ne prikuplja podatke o polu/rodu korisnika usluga, što može da upućuje na zaključak da se i prilikom planiranja važnih akata ne oslanjaju na podatke, odnosno da ne donose odluke na osnovu podataka, već iskustva i intuicije. </w:t>
      </w:r>
      <w:r>
        <w:rPr>
          <w:sz w:val="24"/>
          <w:szCs w:val="24"/>
        </w:rPr>
        <w:t xml:space="preserve">Na osnovu navedenog, jasno je da je potrebno oroditi postojeće ali i </w:t>
      </w:r>
      <w:r>
        <w:rPr>
          <w:sz w:val="24"/>
          <w:szCs w:val="24"/>
        </w:rPr>
        <w:lastRenderedPageBreak/>
        <w:t>buduće elektronske usluge, što bi naročito bilo značajno za sprovođenje rodne analize u ovim oblastima ali i dalje orodnjavanje javnih politika.</w:t>
      </w:r>
    </w:p>
    <w:p w14:paraId="3D777DA0"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Kao dio procesa pristupanja EU, Crna Gora je razvila i usvojila Strategiju reforme javne uprave 2016–2020. Ova strategija obuhvata čitav sistem javne uprave, uključujući državnu upravu i lokalne samouprave kao i organizacije sa javnim ovlašćenjima.</w:t>
      </w:r>
    </w:p>
    <w:p w14:paraId="2C1B2BA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Ova Analiza stanja uključuje sveobuhvatnu listu preporuka za normativne promjene koje će biti sastavni dio Strategije digitalne transformacije Crne Gore 2022-2026.</w:t>
      </w:r>
    </w:p>
    <w:p w14:paraId="29669F4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Srednjoročni programski ciljevi Vlade između ostalog uključuju stvaranje uslova za dinamički razvoj mreža nove generacije, kontinuirano unapređivanje e-usluga i široku primjenu informaciono-komunikacione tehnologije (IKT) u javnoj upravi, ekonomskim aktivnostima i društvu kao cjelini. Da bi definisali realno ostvarive ciljeve, potrebno je analizirati i stepen digitalnog razvoja Crne Gore. Ovakva i slična istraživanja periodično sprovode i objavljuju različite međunarodne institucije i organizacije. Tako na primjer, prema istraživanju Ujedinjenih nacija (UN eGovernment Survey 2020)</w:t>
      </w:r>
      <w:r>
        <w:rPr>
          <w:color w:val="000000"/>
          <w:sz w:val="24"/>
          <w:szCs w:val="24"/>
          <w:vertAlign w:val="superscript"/>
        </w:rPr>
        <w:footnoteReference w:id="38"/>
      </w:r>
      <w:r>
        <w:rPr>
          <w:color w:val="000000"/>
          <w:sz w:val="24"/>
          <w:szCs w:val="24"/>
        </w:rPr>
        <w:t>, Crna Gora se na listi svjetskog razvoja e</w:t>
      </w:r>
      <w:r>
        <w:rPr>
          <w:sz w:val="24"/>
          <w:szCs w:val="24"/>
        </w:rPr>
        <w:t>-u</w:t>
      </w:r>
      <w:r>
        <w:rPr>
          <w:color w:val="000000"/>
          <w:sz w:val="24"/>
          <w:szCs w:val="24"/>
        </w:rPr>
        <w:t>prave nalazi na 75. mjestu (od ukupno 193 zemlje) kada je riječ o Indeksu razvoja e-uprave</w:t>
      </w:r>
      <w:r>
        <w:rPr>
          <w:color w:val="000000"/>
          <w:sz w:val="24"/>
          <w:szCs w:val="24"/>
          <w:vertAlign w:val="superscript"/>
        </w:rPr>
        <w:footnoteReference w:id="39"/>
      </w:r>
      <w:r>
        <w:rPr>
          <w:color w:val="000000"/>
          <w:sz w:val="24"/>
          <w:szCs w:val="24"/>
        </w:rPr>
        <w:t xml:space="preserve"> UN-a za 2020. godinu i bilježi pad za 17 mjesta od prethodnog istraživanja sprovedenog 2018. godine (Tabela 3).</w:t>
      </w:r>
    </w:p>
    <w:tbl>
      <w:tblPr>
        <w:tblStyle w:val="a1"/>
        <w:tblW w:w="10173" w:type="dxa"/>
        <w:jc w:val="center"/>
        <w:tblBorders>
          <w:top w:val="single" w:sz="4" w:space="0" w:color="5B9BD5"/>
          <w:left w:val="single" w:sz="4" w:space="0" w:color="FFFFFF"/>
          <w:bottom w:val="single" w:sz="4" w:space="0" w:color="5B9BD5"/>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644"/>
        <w:gridCol w:w="921"/>
        <w:gridCol w:w="922"/>
        <w:gridCol w:w="922"/>
        <w:gridCol w:w="922"/>
        <w:gridCol w:w="922"/>
        <w:gridCol w:w="920"/>
      </w:tblGrid>
      <w:tr w:rsidR="005B3072" w14:paraId="5F253F76" w14:textId="77777777">
        <w:trPr>
          <w:trHeight w:val="315"/>
          <w:jc w:val="center"/>
        </w:trPr>
        <w:tc>
          <w:tcPr>
            <w:tcW w:w="4644"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60F93910" w14:textId="77777777" w:rsidR="005B3072" w:rsidRDefault="00A46913">
            <w:pPr>
              <w:spacing w:before="20"/>
              <w:rPr>
                <w:b/>
                <w:color w:val="FFFFFF"/>
                <w:sz w:val="24"/>
                <w:szCs w:val="24"/>
              </w:rPr>
            </w:pPr>
            <w:r>
              <w:rPr>
                <w:b/>
                <w:color w:val="FFFFFF"/>
                <w:sz w:val="24"/>
                <w:szCs w:val="24"/>
              </w:rPr>
              <w:t>Indeks razvoja eUprave</w:t>
            </w:r>
          </w:p>
        </w:tc>
        <w:tc>
          <w:tcPr>
            <w:tcW w:w="921"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540F0596" w14:textId="77777777" w:rsidR="005B3072" w:rsidRDefault="00A46913">
            <w:pPr>
              <w:spacing w:before="20"/>
              <w:jc w:val="center"/>
              <w:rPr>
                <w:b/>
                <w:color w:val="FFFFFF"/>
                <w:sz w:val="24"/>
                <w:szCs w:val="24"/>
              </w:rPr>
            </w:pPr>
            <w:r>
              <w:rPr>
                <w:b/>
                <w:color w:val="FFFFFF"/>
                <w:sz w:val="24"/>
                <w:szCs w:val="24"/>
              </w:rPr>
              <w:t>2020</w:t>
            </w:r>
          </w:p>
        </w:tc>
        <w:tc>
          <w:tcPr>
            <w:tcW w:w="922"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5F561F1C" w14:textId="77777777" w:rsidR="005B3072" w:rsidRDefault="00A46913">
            <w:pPr>
              <w:spacing w:before="20"/>
              <w:jc w:val="center"/>
              <w:rPr>
                <w:b/>
                <w:color w:val="FFFFFF"/>
                <w:sz w:val="24"/>
                <w:szCs w:val="24"/>
              </w:rPr>
            </w:pPr>
            <w:r>
              <w:rPr>
                <w:b/>
                <w:color w:val="FFFFFF"/>
                <w:sz w:val="24"/>
                <w:szCs w:val="24"/>
              </w:rPr>
              <w:t>2018</w:t>
            </w:r>
          </w:p>
        </w:tc>
        <w:tc>
          <w:tcPr>
            <w:tcW w:w="922"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05F46A4A" w14:textId="77777777" w:rsidR="005B3072" w:rsidRDefault="00A46913">
            <w:pPr>
              <w:spacing w:before="20"/>
              <w:jc w:val="center"/>
              <w:rPr>
                <w:b/>
                <w:color w:val="FFFFFF"/>
                <w:sz w:val="24"/>
                <w:szCs w:val="24"/>
              </w:rPr>
            </w:pPr>
            <w:r>
              <w:rPr>
                <w:b/>
                <w:color w:val="FFFFFF"/>
                <w:sz w:val="24"/>
                <w:szCs w:val="24"/>
              </w:rPr>
              <w:t>2016</w:t>
            </w:r>
          </w:p>
        </w:tc>
        <w:tc>
          <w:tcPr>
            <w:tcW w:w="922"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0C9E48B1" w14:textId="77777777" w:rsidR="005B3072" w:rsidRDefault="00A46913">
            <w:pPr>
              <w:spacing w:before="20"/>
              <w:jc w:val="center"/>
              <w:rPr>
                <w:b/>
                <w:color w:val="FFFFFF"/>
                <w:sz w:val="24"/>
                <w:szCs w:val="24"/>
              </w:rPr>
            </w:pPr>
            <w:r>
              <w:rPr>
                <w:b/>
                <w:color w:val="FFFFFF"/>
                <w:sz w:val="24"/>
                <w:szCs w:val="24"/>
              </w:rPr>
              <w:t>2014</w:t>
            </w:r>
          </w:p>
        </w:tc>
        <w:tc>
          <w:tcPr>
            <w:tcW w:w="922"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2F575D6F" w14:textId="77777777" w:rsidR="005B3072" w:rsidRDefault="00A46913">
            <w:pPr>
              <w:spacing w:before="20"/>
              <w:jc w:val="center"/>
              <w:rPr>
                <w:b/>
                <w:color w:val="FFFFFF"/>
                <w:sz w:val="24"/>
                <w:szCs w:val="24"/>
              </w:rPr>
            </w:pPr>
            <w:r>
              <w:rPr>
                <w:b/>
                <w:color w:val="FFFFFF"/>
                <w:sz w:val="24"/>
                <w:szCs w:val="24"/>
              </w:rPr>
              <w:t>2012</w:t>
            </w:r>
          </w:p>
        </w:tc>
        <w:tc>
          <w:tcPr>
            <w:tcW w:w="920"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5A82877" w14:textId="77777777" w:rsidR="005B3072" w:rsidRDefault="00A46913">
            <w:pPr>
              <w:spacing w:before="20"/>
              <w:jc w:val="center"/>
              <w:rPr>
                <w:b/>
                <w:color w:val="FFFFFF"/>
                <w:sz w:val="24"/>
                <w:szCs w:val="24"/>
              </w:rPr>
            </w:pPr>
            <w:r>
              <w:rPr>
                <w:b/>
                <w:color w:val="FFFFFF"/>
                <w:sz w:val="24"/>
                <w:szCs w:val="24"/>
              </w:rPr>
              <w:t>2010</w:t>
            </w:r>
          </w:p>
        </w:tc>
      </w:tr>
      <w:tr w:rsidR="005B3072" w14:paraId="2A22300C" w14:textId="77777777">
        <w:trPr>
          <w:trHeight w:val="168"/>
          <w:jc w:val="center"/>
        </w:trPr>
        <w:tc>
          <w:tcPr>
            <w:tcW w:w="46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0070BA" w14:textId="77777777" w:rsidR="005B3072" w:rsidRDefault="00A46913">
            <w:pPr>
              <w:spacing w:before="20"/>
              <w:rPr>
                <w:b/>
                <w:color w:val="000000"/>
                <w:sz w:val="24"/>
                <w:szCs w:val="24"/>
              </w:rPr>
            </w:pPr>
            <w:r>
              <w:rPr>
                <w:b/>
                <w:color w:val="000000"/>
                <w:sz w:val="24"/>
                <w:szCs w:val="24"/>
              </w:rPr>
              <w:t>Pozicija CG</w:t>
            </w:r>
          </w:p>
        </w:tc>
        <w:tc>
          <w:tcPr>
            <w:tcW w:w="92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2F167C3" w14:textId="77777777" w:rsidR="005B3072" w:rsidRDefault="00A46913">
            <w:pPr>
              <w:spacing w:before="20"/>
              <w:jc w:val="center"/>
              <w:rPr>
                <w:color w:val="000000"/>
                <w:sz w:val="24"/>
                <w:szCs w:val="24"/>
              </w:rPr>
            </w:pPr>
            <w:r>
              <w:rPr>
                <w:color w:val="000000"/>
                <w:sz w:val="24"/>
                <w:szCs w:val="24"/>
              </w:rPr>
              <w:t>75</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2675A9" w14:textId="77777777" w:rsidR="005B3072" w:rsidRDefault="00A46913">
            <w:pPr>
              <w:spacing w:before="20"/>
              <w:jc w:val="center"/>
              <w:rPr>
                <w:color w:val="000000"/>
                <w:sz w:val="24"/>
                <w:szCs w:val="24"/>
              </w:rPr>
            </w:pPr>
            <w:r>
              <w:rPr>
                <w:color w:val="000000"/>
                <w:sz w:val="24"/>
                <w:szCs w:val="24"/>
              </w:rPr>
              <w:t>58</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7CBBB8" w14:textId="77777777" w:rsidR="005B3072" w:rsidRDefault="00A46913">
            <w:pPr>
              <w:spacing w:before="20"/>
              <w:jc w:val="center"/>
              <w:rPr>
                <w:color w:val="000000"/>
                <w:sz w:val="24"/>
                <w:szCs w:val="24"/>
              </w:rPr>
            </w:pPr>
            <w:r>
              <w:rPr>
                <w:color w:val="000000"/>
                <w:sz w:val="24"/>
                <w:szCs w:val="24"/>
              </w:rPr>
              <w:t>47</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3A6E43" w14:textId="77777777" w:rsidR="005B3072" w:rsidRDefault="00A46913">
            <w:pPr>
              <w:spacing w:before="20"/>
              <w:jc w:val="center"/>
              <w:rPr>
                <w:color w:val="000000"/>
                <w:sz w:val="24"/>
                <w:szCs w:val="24"/>
              </w:rPr>
            </w:pPr>
            <w:r>
              <w:rPr>
                <w:color w:val="000000"/>
                <w:sz w:val="24"/>
                <w:szCs w:val="24"/>
              </w:rPr>
              <w:t>45</w:t>
            </w:r>
          </w:p>
        </w:tc>
        <w:tc>
          <w:tcPr>
            <w:tcW w:w="9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A4FA2D" w14:textId="77777777" w:rsidR="005B3072" w:rsidRDefault="00A46913">
            <w:pPr>
              <w:spacing w:before="20"/>
              <w:jc w:val="center"/>
              <w:rPr>
                <w:color w:val="000000"/>
                <w:sz w:val="24"/>
                <w:szCs w:val="24"/>
              </w:rPr>
            </w:pPr>
            <w:r>
              <w:rPr>
                <w:color w:val="000000"/>
                <w:sz w:val="24"/>
                <w:szCs w:val="24"/>
              </w:rPr>
              <w:t>60</w:t>
            </w:r>
          </w:p>
        </w:tc>
        <w:tc>
          <w:tcPr>
            <w:tcW w:w="92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1E514F" w14:textId="77777777" w:rsidR="005B3072" w:rsidRDefault="00A46913">
            <w:pPr>
              <w:keepNext/>
              <w:spacing w:before="20"/>
              <w:jc w:val="center"/>
              <w:rPr>
                <w:color w:val="000000"/>
                <w:sz w:val="24"/>
                <w:szCs w:val="24"/>
              </w:rPr>
            </w:pPr>
            <w:r>
              <w:rPr>
                <w:color w:val="000000"/>
                <w:sz w:val="24"/>
                <w:szCs w:val="24"/>
              </w:rPr>
              <w:t>100</w:t>
            </w:r>
          </w:p>
        </w:tc>
      </w:tr>
    </w:tbl>
    <w:p w14:paraId="7C9A1452" w14:textId="77777777" w:rsidR="005B3072" w:rsidRDefault="00A46913">
      <w:pPr>
        <w:pBdr>
          <w:top w:val="nil"/>
          <w:left w:val="nil"/>
          <w:bottom w:val="nil"/>
          <w:right w:val="nil"/>
          <w:between w:val="nil"/>
        </w:pBdr>
        <w:spacing w:line="240" w:lineRule="auto"/>
        <w:rPr>
          <w:smallCaps/>
          <w:color w:val="44546A"/>
          <w:sz w:val="24"/>
          <w:szCs w:val="24"/>
        </w:rPr>
      </w:pPr>
      <w:r>
        <w:rPr>
          <w:b/>
          <w:smallCaps/>
          <w:color w:val="44546A"/>
          <w:sz w:val="24"/>
          <w:szCs w:val="24"/>
        </w:rPr>
        <w:t xml:space="preserve">Tabela 3. Pozicija Crne Gore prema indeksu razvoja e-uprave </w:t>
      </w:r>
      <w:r>
        <w:rPr>
          <w:smallCaps/>
          <w:color w:val="44546A"/>
          <w:sz w:val="24"/>
          <w:szCs w:val="24"/>
        </w:rPr>
        <w:t>(2010-2020)</w:t>
      </w:r>
    </w:p>
    <w:p w14:paraId="3E0A976F" w14:textId="77777777" w:rsidR="005B3072" w:rsidRDefault="00A46913">
      <w:pPr>
        <w:pBdr>
          <w:top w:val="nil"/>
          <w:left w:val="nil"/>
          <w:bottom w:val="nil"/>
          <w:right w:val="nil"/>
          <w:between w:val="nil"/>
        </w:pBdr>
        <w:spacing w:after="240" w:line="276" w:lineRule="auto"/>
        <w:jc w:val="both"/>
        <w:rPr>
          <w:color w:val="000000"/>
          <w:sz w:val="24"/>
          <w:szCs w:val="24"/>
        </w:rPr>
      </w:pPr>
      <w:bookmarkStart w:id="16" w:name="_1ksv4uv" w:colFirst="0" w:colLast="0"/>
      <w:bookmarkEnd w:id="16"/>
      <w:r>
        <w:rPr>
          <w:color w:val="000000"/>
          <w:sz w:val="24"/>
          <w:szCs w:val="24"/>
        </w:rPr>
        <w:t>Za ocjenu razvoja infrastrukture e</w:t>
      </w:r>
      <w:r>
        <w:rPr>
          <w:sz w:val="24"/>
          <w:szCs w:val="24"/>
        </w:rPr>
        <w:t>-u</w:t>
      </w:r>
      <w:r>
        <w:rPr>
          <w:color w:val="000000"/>
          <w:sz w:val="24"/>
          <w:szCs w:val="24"/>
        </w:rPr>
        <w:t>prave, kroz uspostavljanje novih elektronskih usluga na portalu e</w:t>
      </w:r>
      <w:r>
        <w:rPr>
          <w:sz w:val="24"/>
          <w:szCs w:val="24"/>
        </w:rPr>
        <w:t>u</w:t>
      </w:r>
      <w:r>
        <w:rPr>
          <w:color w:val="000000"/>
          <w:sz w:val="24"/>
          <w:szCs w:val="24"/>
        </w:rPr>
        <w:t>prava.me i drugim portalima, optimalni pokazatelj učinka bi bio indeks onlajn usluga (OSI). Ovaj indeks mjeri obuhvat i kvalitet elektronskih usluga i dobija se sagledavanjem nacionalnog portala elektronske uprave, kao i svih veb sajtova najrelevantnijih ministarstava koji pružaju elektronske usluge ili informacije o istim.</w:t>
      </w:r>
    </w:p>
    <w:p w14:paraId="37604AB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Prema istom istraživanju Ujedinjenih </w:t>
      </w:r>
      <w:r>
        <w:rPr>
          <w:sz w:val="24"/>
          <w:szCs w:val="24"/>
        </w:rPr>
        <w:t>n</w:t>
      </w:r>
      <w:r>
        <w:rPr>
          <w:color w:val="000000"/>
          <w:sz w:val="24"/>
          <w:szCs w:val="24"/>
        </w:rPr>
        <w:t>acija, učinak Indeksa elektronskih usluga pokazuje da Crna Gora ima ne samo rezultate koji su značajno ispod prosjeka podregiona (</w:t>
      </w:r>
      <w:r>
        <w:rPr>
          <w:sz w:val="24"/>
          <w:szCs w:val="24"/>
        </w:rPr>
        <w:t>j</w:t>
      </w:r>
      <w:r>
        <w:rPr>
          <w:color w:val="000000"/>
          <w:sz w:val="24"/>
          <w:szCs w:val="24"/>
        </w:rPr>
        <w:t>užne Evrope), već i ispod svjetskog prosjeka (u Crnoj Gori ovaj indeks iznosi 54,12%, dok je svjetski prosjek 56,2%</w:t>
      </w:r>
      <w:r>
        <w:rPr>
          <w:color w:val="000000"/>
          <w:sz w:val="24"/>
          <w:szCs w:val="24"/>
          <w:vertAlign w:val="superscript"/>
        </w:rPr>
        <w:footnoteReference w:id="40"/>
      </w:r>
      <w:r>
        <w:rPr>
          <w:color w:val="000000"/>
          <w:sz w:val="24"/>
          <w:szCs w:val="24"/>
        </w:rPr>
        <w:t xml:space="preserve">). </w:t>
      </w:r>
    </w:p>
    <w:p w14:paraId="041F8D67" w14:textId="77777777" w:rsidR="005B3072" w:rsidRDefault="00A46913">
      <w:pPr>
        <w:pBdr>
          <w:top w:val="nil"/>
          <w:left w:val="nil"/>
          <w:bottom w:val="nil"/>
          <w:right w:val="nil"/>
          <w:between w:val="nil"/>
        </w:pBdr>
        <w:spacing w:after="240" w:line="276" w:lineRule="auto"/>
        <w:jc w:val="both"/>
        <w:rPr>
          <w:b/>
          <w:i/>
          <w:smallCaps/>
          <w:color w:val="44546A"/>
          <w:sz w:val="24"/>
          <w:szCs w:val="24"/>
        </w:rPr>
      </w:pPr>
      <w:r>
        <w:rPr>
          <w:color w:val="000000"/>
          <w:sz w:val="24"/>
          <w:szCs w:val="24"/>
        </w:rPr>
        <w:lastRenderedPageBreak/>
        <w:t>Kada je riječ o indeksu elektronske participacije</w:t>
      </w:r>
      <w:r>
        <w:rPr>
          <w:color w:val="000000"/>
          <w:sz w:val="24"/>
          <w:szCs w:val="24"/>
          <w:vertAlign w:val="superscript"/>
        </w:rPr>
        <w:footnoteReference w:id="41"/>
      </w:r>
      <w:r>
        <w:rPr>
          <w:color w:val="000000"/>
          <w:sz w:val="24"/>
          <w:szCs w:val="24"/>
        </w:rPr>
        <w:t xml:space="preserve"> (eng. e-participation Index), koji procjenjuje upotrebu elektronskih usluga kojima javna uprava pruža informacije građanima, interakciju sa stejkholderima, tj. svima koji imaju interes da onlajn pristupaju ovim uslugama i učešće subjekata u procesu donošenja odluka i kreiranju politika i propisa, status Crne Gore se takođe promijenio. U 2020. godini pozicija Crne Gore prema ovom pokazatelju značajno je opala u odnosu na 2016. godinu kada je stupila na snagu Strategija razvoja digitalnog društva 2016-2020 (Crna Gora je sa 17. mjesta u 2016. godini prešla na 100. mjesto u 2020. godini, Tabela 4). </w:t>
      </w:r>
    </w:p>
    <w:tbl>
      <w:tblPr>
        <w:tblStyle w:val="a2"/>
        <w:tblW w:w="10173" w:type="dxa"/>
        <w:jc w:val="center"/>
        <w:tblBorders>
          <w:top w:val="single" w:sz="4" w:space="0" w:color="5B9BD5"/>
          <w:left w:val="single" w:sz="4" w:space="0" w:color="FFFFFF"/>
          <w:bottom w:val="single" w:sz="4" w:space="0" w:color="5B9BD5"/>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4740"/>
        <w:gridCol w:w="906"/>
        <w:gridCol w:w="906"/>
        <w:gridCol w:w="906"/>
        <w:gridCol w:w="905"/>
        <w:gridCol w:w="905"/>
        <w:gridCol w:w="905"/>
      </w:tblGrid>
      <w:tr w:rsidR="005B3072" w14:paraId="23B13D44" w14:textId="77777777">
        <w:trPr>
          <w:trHeight w:val="525"/>
          <w:jc w:val="center"/>
        </w:trPr>
        <w:tc>
          <w:tcPr>
            <w:tcW w:w="4740"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9805500" w14:textId="77777777" w:rsidR="005B3072" w:rsidRDefault="00A46913">
            <w:pPr>
              <w:spacing w:before="20"/>
              <w:rPr>
                <w:color w:val="FFFFFF"/>
                <w:sz w:val="24"/>
                <w:szCs w:val="24"/>
              </w:rPr>
            </w:pPr>
            <w:r>
              <w:rPr>
                <w:b/>
                <w:color w:val="FFFFFF"/>
                <w:sz w:val="24"/>
                <w:szCs w:val="24"/>
              </w:rPr>
              <w:t>Indeks elektronske participacije</w:t>
            </w:r>
          </w:p>
        </w:tc>
        <w:tc>
          <w:tcPr>
            <w:tcW w:w="906"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5B49BDC3" w14:textId="77777777" w:rsidR="005B3072" w:rsidRDefault="00A46913">
            <w:pPr>
              <w:spacing w:before="20"/>
              <w:jc w:val="center"/>
              <w:rPr>
                <w:color w:val="FFFFFF"/>
                <w:sz w:val="24"/>
                <w:szCs w:val="24"/>
              </w:rPr>
            </w:pPr>
            <w:r>
              <w:rPr>
                <w:b/>
                <w:color w:val="FFFFFF"/>
                <w:sz w:val="24"/>
                <w:szCs w:val="24"/>
              </w:rPr>
              <w:t>2020</w:t>
            </w:r>
          </w:p>
        </w:tc>
        <w:tc>
          <w:tcPr>
            <w:tcW w:w="906"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3701B6BC" w14:textId="77777777" w:rsidR="005B3072" w:rsidRDefault="00A46913">
            <w:pPr>
              <w:spacing w:before="20"/>
              <w:jc w:val="center"/>
              <w:rPr>
                <w:color w:val="FFFFFF"/>
                <w:sz w:val="24"/>
                <w:szCs w:val="24"/>
              </w:rPr>
            </w:pPr>
            <w:r>
              <w:rPr>
                <w:b/>
                <w:color w:val="FFFFFF"/>
                <w:sz w:val="24"/>
                <w:szCs w:val="24"/>
              </w:rPr>
              <w:t>2018</w:t>
            </w:r>
          </w:p>
        </w:tc>
        <w:tc>
          <w:tcPr>
            <w:tcW w:w="906"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57CC1C6B" w14:textId="77777777" w:rsidR="005B3072" w:rsidRDefault="00A46913">
            <w:pPr>
              <w:spacing w:before="20"/>
              <w:jc w:val="center"/>
              <w:rPr>
                <w:color w:val="FFFFFF"/>
                <w:sz w:val="24"/>
                <w:szCs w:val="24"/>
              </w:rPr>
            </w:pPr>
            <w:r>
              <w:rPr>
                <w:b/>
                <w:color w:val="FFFFFF"/>
                <w:sz w:val="24"/>
                <w:szCs w:val="24"/>
              </w:rPr>
              <w:t>2016</w:t>
            </w:r>
          </w:p>
        </w:tc>
        <w:tc>
          <w:tcPr>
            <w:tcW w:w="90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C6B11B5" w14:textId="77777777" w:rsidR="005B3072" w:rsidRDefault="00A46913">
            <w:pPr>
              <w:spacing w:before="20"/>
              <w:jc w:val="center"/>
              <w:rPr>
                <w:color w:val="FFFFFF"/>
                <w:sz w:val="24"/>
                <w:szCs w:val="24"/>
              </w:rPr>
            </w:pPr>
            <w:r>
              <w:rPr>
                <w:b/>
                <w:color w:val="FFFFFF"/>
                <w:sz w:val="24"/>
                <w:szCs w:val="24"/>
              </w:rPr>
              <w:t>2014</w:t>
            </w:r>
          </w:p>
        </w:tc>
        <w:tc>
          <w:tcPr>
            <w:tcW w:w="90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293289E" w14:textId="77777777" w:rsidR="005B3072" w:rsidRDefault="00A46913">
            <w:pPr>
              <w:spacing w:before="20"/>
              <w:jc w:val="center"/>
              <w:rPr>
                <w:color w:val="FFFFFF"/>
                <w:sz w:val="24"/>
                <w:szCs w:val="24"/>
              </w:rPr>
            </w:pPr>
            <w:r>
              <w:rPr>
                <w:b/>
                <w:color w:val="FFFFFF"/>
                <w:sz w:val="24"/>
                <w:szCs w:val="24"/>
              </w:rPr>
              <w:t>2012</w:t>
            </w:r>
          </w:p>
        </w:tc>
        <w:tc>
          <w:tcPr>
            <w:tcW w:w="90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228A0367" w14:textId="77777777" w:rsidR="005B3072" w:rsidRDefault="00A46913">
            <w:pPr>
              <w:spacing w:before="20"/>
              <w:jc w:val="center"/>
              <w:rPr>
                <w:color w:val="FFFFFF"/>
                <w:sz w:val="24"/>
                <w:szCs w:val="24"/>
              </w:rPr>
            </w:pPr>
            <w:r>
              <w:rPr>
                <w:b/>
                <w:color w:val="FFFFFF"/>
                <w:sz w:val="24"/>
                <w:szCs w:val="24"/>
              </w:rPr>
              <w:t>2010</w:t>
            </w:r>
          </w:p>
        </w:tc>
      </w:tr>
      <w:tr w:rsidR="005B3072" w14:paraId="0D4ACA59" w14:textId="77777777">
        <w:trPr>
          <w:trHeight w:val="42"/>
          <w:jc w:val="center"/>
        </w:trPr>
        <w:tc>
          <w:tcPr>
            <w:tcW w:w="474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188320B" w14:textId="77777777" w:rsidR="005B3072" w:rsidRDefault="00A46913">
            <w:pPr>
              <w:spacing w:before="20"/>
              <w:rPr>
                <w:color w:val="000000"/>
                <w:sz w:val="24"/>
                <w:szCs w:val="24"/>
              </w:rPr>
            </w:pPr>
            <w:r>
              <w:rPr>
                <w:b/>
                <w:color w:val="000000"/>
                <w:sz w:val="24"/>
                <w:szCs w:val="24"/>
              </w:rPr>
              <w:t>Pozicija CG</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F4AFC1" w14:textId="77777777" w:rsidR="005B3072" w:rsidRDefault="00A46913">
            <w:pPr>
              <w:spacing w:before="20"/>
              <w:jc w:val="center"/>
              <w:rPr>
                <w:color w:val="000000"/>
                <w:sz w:val="24"/>
                <w:szCs w:val="24"/>
              </w:rPr>
            </w:pPr>
            <w:r>
              <w:rPr>
                <w:color w:val="000000"/>
                <w:sz w:val="24"/>
                <w:szCs w:val="24"/>
              </w:rPr>
              <w:t>100</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075E33" w14:textId="77777777" w:rsidR="005B3072" w:rsidRDefault="00A46913">
            <w:pPr>
              <w:spacing w:before="20"/>
              <w:jc w:val="center"/>
              <w:rPr>
                <w:color w:val="000000"/>
                <w:sz w:val="24"/>
                <w:szCs w:val="24"/>
              </w:rPr>
            </w:pPr>
            <w:r>
              <w:rPr>
                <w:color w:val="000000"/>
                <w:sz w:val="24"/>
                <w:szCs w:val="24"/>
              </w:rPr>
              <w:t>64</w:t>
            </w:r>
          </w:p>
        </w:tc>
        <w:tc>
          <w:tcPr>
            <w:tcW w:w="90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B59142" w14:textId="77777777" w:rsidR="005B3072" w:rsidRDefault="00A46913">
            <w:pPr>
              <w:spacing w:before="20"/>
              <w:jc w:val="center"/>
              <w:rPr>
                <w:color w:val="000000"/>
                <w:sz w:val="24"/>
                <w:szCs w:val="24"/>
              </w:rPr>
            </w:pPr>
            <w:r>
              <w:rPr>
                <w:color w:val="000000"/>
                <w:sz w:val="24"/>
                <w:szCs w:val="24"/>
              </w:rPr>
              <w:t>17</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927CCC" w14:textId="77777777" w:rsidR="005B3072" w:rsidRDefault="00A46913">
            <w:pPr>
              <w:spacing w:before="20"/>
              <w:jc w:val="center"/>
              <w:rPr>
                <w:color w:val="000000"/>
                <w:sz w:val="24"/>
                <w:szCs w:val="24"/>
              </w:rPr>
            </w:pPr>
            <w:r>
              <w:rPr>
                <w:color w:val="000000"/>
                <w:sz w:val="24"/>
                <w:szCs w:val="24"/>
              </w:rPr>
              <w:t>49</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CA868F" w14:textId="77777777" w:rsidR="005B3072" w:rsidRDefault="00A46913">
            <w:pPr>
              <w:spacing w:before="20"/>
              <w:jc w:val="center"/>
              <w:rPr>
                <w:color w:val="000000"/>
                <w:sz w:val="24"/>
                <w:szCs w:val="24"/>
              </w:rPr>
            </w:pPr>
            <w:r>
              <w:rPr>
                <w:color w:val="000000"/>
                <w:sz w:val="24"/>
                <w:szCs w:val="24"/>
              </w:rPr>
              <w:t>60</w:t>
            </w:r>
          </w:p>
        </w:tc>
        <w:tc>
          <w:tcPr>
            <w:tcW w:w="9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98FDBB" w14:textId="77777777" w:rsidR="005B3072" w:rsidRDefault="00A46913">
            <w:pPr>
              <w:spacing w:before="20"/>
              <w:jc w:val="center"/>
              <w:rPr>
                <w:color w:val="000000"/>
                <w:sz w:val="24"/>
                <w:szCs w:val="24"/>
              </w:rPr>
            </w:pPr>
            <w:r>
              <w:rPr>
                <w:color w:val="000000"/>
                <w:sz w:val="24"/>
                <w:szCs w:val="24"/>
              </w:rPr>
              <w:t>100</w:t>
            </w:r>
          </w:p>
        </w:tc>
      </w:tr>
    </w:tbl>
    <w:p w14:paraId="094182E4" w14:textId="77777777" w:rsidR="005B3072" w:rsidRDefault="00A46913">
      <w:pPr>
        <w:spacing w:line="240" w:lineRule="auto"/>
        <w:rPr>
          <w:sz w:val="24"/>
          <w:szCs w:val="24"/>
        </w:rPr>
      </w:pPr>
      <w:r>
        <w:rPr>
          <w:b/>
          <w:smallCaps/>
          <w:color w:val="44546A"/>
          <w:sz w:val="24"/>
          <w:szCs w:val="24"/>
        </w:rPr>
        <w:t>Tabela 4.  Pozicija Crne Gore prema Indeksu elektornske participacije</w:t>
      </w:r>
      <w:r>
        <w:rPr>
          <w:smallCaps/>
          <w:color w:val="44546A"/>
          <w:sz w:val="24"/>
          <w:szCs w:val="24"/>
        </w:rPr>
        <w:t xml:space="preserve"> (2010-2020)</w:t>
      </w:r>
    </w:p>
    <w:p w14:paraId="31470E0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Slična istraživanja digitalnog razvoja provodi i OECD. Izvještaj “Konkurentnost u jugoistočnoj Evropi 2021</w:t>
      </w:r>
      <w:r>
        <w:rPr>
          <w:sz w:val="24"/>
          <w:szCs w:val="24"/>
        </w:rPr>
        <w:t>”</w:t>
      </w:r>
      <w:r>
        <w:rPr>
          <w:color w:val="000000"/>
          <w:sz w:val="24"/>
          <w:szCs w:val="24"/>
          <w:vertAlign w:val="superscript"/>
        </w:rPr>
        <w:footnoteReference w:id="42"/>
      </w:r>
      <w:r>
        <w:rPr>
          <w:color w:val="000000"/>
          <w:sz w:val="24"/>
          <w:szCs w:val="24"/>
        </w:rPr>
        <w:t xml:space="preserve"> pokazuje da Crna Gora u 2018. godini nije imala listu sa potpuno digitalnim uslugama koje se pružaju u javnom sektoru (zajedno sa 50% svih ekonomija zapadnog Balkana). Ovaj izvještaj pokazuje relativni napredak Crne Gore od 2018. godine u oblasti digitalne vlade i naglašava važnost nastavka reformi za stvaranje visokokvalitetnih potpuno transakcionih e-usluga kao i osiguravanje dovoljnih sredstava za sprovođenje akcionih planova.</w:t>
      </w:r>
    </w:p>
    <w:p w14:paraId="0DF26BBB"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Važno je naglasiti da navedena istraživanja zapravo mjere relativan napredak država u procesu unapređenja e</w:t>
      </w:r>
      <w:r>
        <w:rPr>
          <w:sz w:val="24"/>
          <w:szCs w:val="24"/>
        </w:rPr>
        <w:t>-u</w:t>
      </w:r>
      <w:r>
        <w:rPr>
          <w:color w:val="000000"/>
          <w:sz w:val="24"/>
          <w:szCs w:val="24"/>
        </w:rPr>
        <w:t>prave, tako da je pad pozicije Crne Gore na UN međunarodnoj listi rezultat reformi koje sprovode ili su sprovele druge države. Dakle uprkos postojećim reformskim procesima u Crnoj Gori, veći broj drugih država je ipak ostvario bolje rezultate i napredak, a samim tim i rejting na ovoj listi, pa je neophodno budućom Strategijom planirati mjere kojima će se ova tendencija promijeniti u suprotnom smjeru.</w:t>
      </w:r>
    </w:p>
    <w:p w14:paraId="281B8D1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U prilog prethodno navedenim rezultatima govore i podaci da, iako u Crnoj Gori na portalu e</w:t>
      </w:r>
      <w:r>
        <w:rPr>
          <w:sz w:val="24"/>
          <w:szCs w:val="24"/>
        </w:rPr>
        <w:t>-uprave</w:t>
      </w:r>
      <w:r>
        <w:rPr>
          <w:color w:val="000000"/>
          <w:sz w:val="24"/>
          <w:szCs w:val="24"/>
        </w:rPr>
        <w:t xml:space="preserve"> postoji 523 e-</w:t>
      </w:r>
      <w:r>
        <w:rPr>
          <w:sz w:val="24"/>
          <w:szCs w:val="24"/>
        </w:rPr>
        <w:t>usluga</w:t>
      </w:r>
      <w:r>
        <w:rPr>
          <w:color w:val="000000"/>
          <w:sz w:val="24"/>
          <w:szCs w:val="24"/>
        </w:rPr>
        <w:t>, samo je 157 e-</w:t>
      </w:r>
      <w:r>
        <w:rPr>
          <w:sz w:val="24"/>
          <w:szCs w:val="24"/>
        </w:rPr>
        <w:t>usluga</w:t>
      </w:r>
      <w:r>
        <w:rPr>
          <w:color w:val="000000"/>
          <w:sz w:val="24"/>
          <w:szCs w:val="24"/>
        </w:rPr>
        <w:t xml:space="preserve"> razvijeno do nivoa 3 (online popunjavanje i preuzimanje formulara), a jedini dostupni servis koji je razvijen do nivoa 4 (koji predviđa potpunu interoperabilnost registara) je servis koji omogućava online upis djece u škole i vrtiće, kao i online upis studenata na prvu godinu fakulteta (</w:t>
      </w:r>
      <w:r>
        <w:rPr>
          <w:sz w:val="24"/>
          <w:szCs w:val="24"/>
        </w:rPr>
        <w:t>ove usluge su poktrenute u maju 2020. godine)</w:t>
      </w:r>
      <w:r>
        <w:rPr>
          <w:color w:val="000000"/>
          <w:sz w:val="24"/>
          <w:szCs w:val="24"/>
        </w:rPr>
        <w:t xml:space="preserve">. Budući da uopšte nema servisa na petom nivou (potpuna online usluga), trenutno stanje ukazuje na nedostatak servisa na 4 i 5 nivou u </w:t>
      </w:r>
      <w:r>
        <w:rPr>
          <w:color w:val="000000"/>
          <w:sz w:val="24"/>
          <w:szCs w:val="24"/>
        </w:rPr>
        <w:lastRenderedPageBreak/>
        <w:t>postojećem crnogorskom sistemu e-uprave. Elektronsko prijavljivanje poreza obavezno je od 2017. godine i vrši se putem portala Uprave prihoda i carina.</w:t>
      </w:r>
      <w:r>
        <w:rPr>
          <w:color w:val="000000"/>
          <w:sz w:val="24"/>
          <w:szCs w:val="24"/>
          <w:vertAlign w:val="superscript"/>
        </w:rPr>
        <w:footnoteReference w:id="43"/>
      </w:r>
      <w:r>
        <w:rPr>
          <w:color w:val="000000"/>
          <w:sz w:val="24"/>
          <w:szCs w:val="24"/>
        </w:rPr>
        <w:t xml:space="preserve"> </w:t>
      </w:r>
    </w:p>
    <w:p w14:paraId="4400B95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Uzimajući u obzir širi okvir za razvoj e-usluga, uočljivo je da je teško odrediti dovoljno precizne pokazatelje razvoja e-uprave na svim nivoima. Razlog između ostalog leži </w:t>
      </w:r>
      <w:r>
        <w:rPr>
          <w:b/>
          <w:color w:val="000000"/>
          <w:sz w:val="24"/>
          <w:szCs w:val="24"/>
        </w:rPr>
        <w:t>u nedostatku sistemskog i dovoljno efikasnog mehanizma koji bi Ministarstvu javne uprave, digitalnog društva i medija (MJUDDM) dao ovlašćenje da od drugih institucija prikuplja podatke o stepenu razvijenosti e-uprave.</w:t>
      </w:r>
      <w:r>
        <w:rPr>
          <w:color w:val="000000"/>
          <w:sz w:val="24"/>
          <w:szCs w:val="24"/>
        </w:rPr>
        <w:t xml:space="preserve"> Naime, iako MJUDDM prikuplja i distribuira podatke o razvoju e-uprave svim relevantnim međunarodnim organizacijama koje se bave istraživanjima razvoja e-uprave, još uvijek ne postoji jasno definisana obaveza institucija da dostavljaju podatke o e-uslugama Ministarstvu. Na ovaj način ne postoji potpuna i sveobuhvatna slika o nivou razvoja e-usluga, usljed čega je veoma teško utvrditi stvarno stanje problema, kao i primjere dobre prakse.</w:t>
      </w:r>
    </w:p>
    <w:p w14:paraId="6AD346D3" w14:textId="77777777" w:rsidR="005B3072" w:rsidRDefault="00A46913">
      <w:pPr>
        <w:pStyle w:val="Heading3"/>
        <w:rPr>
          <w:b/>
          <w:i/>
          <w:color w:val="2E75B5"/>
        </w:rPr>
      </w:pPr>
      <w:bookmarkStart w:id="17" w:name="_44sinio" w:colFirst="0" w:colLast="0"/>
      <w:bookmarkEnd w:id="17"/>
      <w:r>
        <w:rPr>
          <w:b/>
          <w:i/>
          <w:color w:val="2E75B5"/>
        </w:rPr>
        <w:t>Usluge javne uprave</w:t>
      </w:r>
    </w:p>
    <w:p w14:paraId="4650EF08" w14:textId="77777777" w:rsidR="005B3072" w:rsidRDefault="00A46913">
      <w:pPr>
        <w:pBdr>
          <w:top w:val="nil"/>
          <w:left w:val="nil"/>
          <w:bottom w:val="nil"/>
          <w:right w:val="nil"/>
          <w:between w:val="nil"/>
        </w:pBdr>
        <w:spacing w:before="280" w:after="240" w:line="276" w:lineRule="auto"/>
        <w:jc w:val="both"/>
        <w:rPr>
          <w:color w:val="9900FF"/>
          <w:sz w:val="24"/>
          <w:szCs w:val="24"/>
        </w:rPr>
      </w:pPr>
      <w:r>
        <w:rPr>
          <w:b/>
          <w:color w:val="000000"/>
          <w:sz w:val="24"/>
          <w:szCs w:val="24"/>
        </w:rPr>
        <w:t xml:space="preserve">Portal e-uprave, </w:t>
      </w:r>
      <w:r>
        <w:rPr>
          <w:color w:val="000000"/>
          <w:sz w:val="24"/>
          <w:szCs w:val="24"/>
        </w:rPr>
        <w:t>koji broji preko 80.000 korisnika, implementiran je 2011. godine i u pogledu tehnologije, ali i dobrog korisničkog iskustva zaostaje za savremenim trendovima. Iako je evidentan porast broja dostupnih usluga na portalu e</w:t>
      </w:r>
      <w:r>
        <w:rPr>
          <w:sz w:val="24"/>
          <w:szCs w:val="24"/>
        </w:rPr>
        <w:t>-uprave</w:t>
      </w:r>
      <w:r>
        <w:rPr>
          <w:color w:val="000000"/>
          <w:sz w:val="24"/>
          <w:szCs w:val="24"/>
        </w:rPr>
        <w:t>, prema istraživanju koje je u okviru projekta “WEBER</w:t>
      </w:r>
      <w:r>
        <w:rPr>
          <w:color w:val="000000"/>
          <w:sz w:val="24"/>
          <w:szCs w:val="24"/>
          <w:vertAlign w:val="superscript"/>
        </w:rPr>
        <w:footnoteReference w:id="44"/>
      </w:r>
      <w:r>
        <w:rPr>
          <w:color w:val="000000"/>
          <w:sz w:val="24"/>
          <w:szCs w:val="24"/>
        </w:rPr>
        <w:t>” sproveo Institut Alternativa, samo trećina građana Crne Gore je svjesna da su usluge koje pruža crnogorska Vlada dostupne u elektronskom formatu.</w:t>
      </w:r>
    </w:p>
    <w:p w14:paraId="29EEF2C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Na portalu e-uprave</w:t>
      </w:r>
      <w:r>
        <w:rPr>
          <w:color w:val="000000"/>
          <w:sz w:val="24"/>
          <w:szCs w:val="24"/>
          <w:vertAlign w:val="superscript"/>
        </w:rPr>
        <w:footnoteReference w:id="45"/>
      </w:r>
      <w:r>
        <w:rPr>
          <w:color w:val="000000"/>
          <w:sz w:val="24"/>
          <w:szCs w:val="24"/>
        </w:rPr>
        <w:t>, koji je prepoznat kao centralna tačka za elektronske usluge (e-usluge) organa državne uprave, broj e-usluga je na dan 31.12.2020. godine iznosio 575, a usluge je pružalo 50 institucija. Od ukupnog broja usluga, 187 je elektronskih, a 388 informativnih. U toku 2021. godine bilježi se blagi pad broja elektronskih usluga i do relevantnog datuma (decembar 2021. godine) iznosi 523. U Tabeli 5 je dat pregled usluga po godinama.</w:t>
      </w:r>
      <w:r>
        <w:br w:type="page"/>
      </w:r>
    </w:p>
    <w:p w14:paraId="4EE49336" w14:textId="77777777" w:rsidR="005B3072" w:rsidRDefault="005B3072">
      <w:pPr>
        <w:pBdr>
          <w:top w:val="nil"/>
          <w:left w:val="nil"/>
          <w:bottom w:val="nil"/>
          <w:right w:val="nil"/>
          <w:between w:val="nil"/>
        </w:pBdr>
        <w:spacing w:after="240" w:line="276" w:lineRule="auto"/>
        <w:jc w:val="both"/>
        <w:rPr>
          <w:sz w:val="24"/>
          <w:szCs w:val="24"/>
        </w:rPr>
      </w:pPr>
    </w:p>
    <w:tbl>
      <w:tblPr>
        <w:tblStyle w:val="a3"/>
        <w:tblW w:w="10170" w:type="dxa"/>
        <w:tblBorders>
          <w:top w:val="nil"/>
          <w:left w:val="nil"/>
          <w:bottom w:val="nil"/>
          <w:right w:val="nil"/>
          <w:insideH w:val="nil"/>
          <w:insideV w:val="nil"/>
        </w:tblBorders>
        <w:tblLayout w:type="fixed"/>
        <w:tblLook w:val="0600" w:firstRow="0" w:lastRow="0" w:firstColumn="0" w:lastColumn="0" w:noHBand="1" w:noVBand="1"/>
      </w:tblPr>
      <w:tblGrid>
        <w:gridCol w:w="1005"/>
        <w:gridCol w:w="1080"/>
        <w:gridCol w:w="1260"/>
        <w:gridCol w:w="1530"/>
        <w:gridCol w:w="1560"/>
        <w:gridCol w:w="1230"/>
        <w:gridCol w:w="1095"/>
        <w:gridCol w:w="1410"/>
      </w:tblGrid>
      <w:tr w:rsidR="005B3072" w14:paraId="4C0659AF" w14:textId="77777777">
        <w:trPr>
          <w:trHeight w:val="435"/>
        </w:trPr>
        <w:tc>
          <w:tcPr>
            <w:tcW w:w="1005" w:type="dxa"/>
            <w:tcBorders>
              <w:top w:val="single" w:sz="8" w:space="0" w:color="000000"/>
              <w:left w:val="single" w:sz="8" w:space="0" w:color="000000"/>
              <w:bottom w:val="single" w:sz="8" w:space="0" w:color="000000"/>
              <w:right w:val="single" w:sz="8" w:space="0" w:color="000000"/>
            </w:tcBorders>
            <w:shd w:val="clear" w:color="auto" w:fill="2E74B5"/>
            <w:tcMar>
              <w:top w:w="100" w:type="dxa"/>
              <w:left w:w="100" w:type="dxa"/>
              <w:bottom w:w="100" w:type="dxa"/>
              <w:right w:w="100" w:type="dxa"/>
            </w:tcMar>
          </w:tcPr>
          <w:p w14:paraId="31F04D11" w14:textId="77777777" w:rsidR="005B3072" w:rsidRDefault="00A46913">
            <w:pPr>
              <w:rPr>
                <w:b/>
                <w:color w:val="FFFFFF"/>
                <w:sz w:val="24"/>
                <w:szCs w:val="24"/>
              </w:rPr>
            </w:pPr>
            <w:r>
              <w:rPr>
                <w:b/>
                <w:color w:val="FFFFFF"/>
                <w:sz w:val="24"/>
                <w:szCs w:val="24"/>
              </w:rPr>
              <w:t>Godina</w:t>
            </w:r>
          </w:p>
        </w:tc>
        <w:tc>
          <w:tcPr>
            <w:tcW w:w="1080"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6AC965D5" w14:textId="77777777" w:rsidR="005B3072" w:rsidRDefault="00A46913">
            <w:pPr>
              <w:jc w:val="center"/>
              <w:rPr>
                <w:b/>
                <w:color w:val="FFFFFF"/>
                <w:sz w:val="24"/>
                <w:szCs w:val="24"/>
              </w:rPr>
            </w:pPr>
            <w:r>
              <w:rPr>
                <w:b/>
                <w:color w:val="FFFFFF"/>
                <w:sz w:val="24"/>
                <w:szCs w:val="24"/>
              </w:rPr>
              <w:t>Ukupno usluga</w:t>
            </w:r>
          </w:p>
        </w:tc>
        <w:tc>
          <w:tcPr>
            <w:tcW w:w="1260"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4B54825B" w14:textId="77777777" w:rsidR="005B3072" w:rsidRDefault="00A46913">
            <w:pPr>
              <w:jc w:val="center"/>
              <w:rPr>
                <w:b/>
                <w:color w:val="FFFFFF"/>
                <w:sz w:val="24"/>
                <w:szCs w:val="24"/>
              </w:rPr>
            </w:pPr>
            <w:r>
              <w:rPr>
                <w:b/>
                <w:color w:val="FFFFFF"/>
                <w:sz w:val="24"/>
                <w:szCs w:val="24"/>
              </w:rPr>
              <w:t>Broj institucija</w:t>
            </w:r>
          </w:p>
        </w:tc>
        <w:tc>
          <w:tcPr>
            <w:tcW w:w="1530"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0419BF25" w14:textId="77777777" w:rsidR="005B3072" w:rsidRDefault="00A46913">
            <w:pPr>
              <w:jc w:val="center"/>
              <w:rPr>
                <w:b/>
                <w:color w:val="FFFFFF"/>
                <w:sz w:val="24"/>
                <w:szCs w:val="24"/>
              </w:rPr>
            </w:pPr>
            <w:r>
              <w:rPr>
                <w:b/>
                <w:color w:val="FFFFFF"/>
                <w:sz w:val="24"/>
                <w:szCs w:val="24"/>
              </w:rPr>
              <w:t>Elektronske usluge</w:t>
            </w:r>
          </w:p>
        </w:tc>
        <w:tc>
          <w:tcPr>
            <w:tcW w:w="1560"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6AC69900" w14:textId="77777777" w:rsidR="005B3072" w:rsidRDefault="00A46913">
            <w:pPr>
              <w:jc w:val="center"/>
              <w:rPr>
                <w:b/>
                <w:color w:val="FFFFFF"/>
                <w:sz w:val="24"/>
                <w:szCs w:val="24"/>
              </w:rPr>
            </w:pPr>
            <w:r>
              <w:rPr>
                <w:b/>
                <w:color w:val="FFFFFF"/>
                <w:sz w:val="24"/>
                <w:szCs w:val="24"/>
              </w:rPr>
              <w:t>Informativne usluge</w:t>
            </w:r>
          </w:p>
        </w:tc>
        <w:tc>
          <w:tcPr>
            <w:tcW w:w="1230"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5FE8756E" w14:textId="77777777" w:rsidR="005B3072" w:rsidRDefault="00A46913">
            <w:pPr>
              <w:jc w:val="center"/>
              <w:rPr>
                <w:b/>
                <w:color w:val="FFFFFF"/>
                <w:sz w:val="24"/>
                <w:szCs w:val="24"/>
              </w:rPr>
            </w:pPr>
            <w:r>
              <w:rPr>
                <w:b/>
                <w:color w:val="FFFFFF"/>
                <w:sz w:val="24"/>
                <w:szCs w:val="24"/>
              </w:rPr>
              <w:t>Pravna lica</w:t>
            </w:r>
          </w:p>
        </w:tc>
        <w:tc>
          <w:tcPr>
            <w:tcW w:w="1095"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73EDF478" w14:textId="77777777" w:rsidR="005B3072" w:rsidRDefault="00A46913">
            <w:pPr>
              <w:jc w:val="center"/>
              <w:rPr>
                <w:b/>
                <w:color w:val="FFFFFF"/>
                <w:sz w:val="24"/>
                <w:szCs w:val="24"/>
              </w:rPr>
            </w:pPr>
            <w:r>
              <w:rPr>
                <w:b/>
                <w:color w:val="FFFFFF"/>
                <w:sz w:val="24"/>
                <w:szCs w:val="24"/>
              </w:rPr>
              <w:t>Fizička lica</w:t>
            </w:r>
          </w:p>
        </w:tc>
        <w:tc>
          <w:tcPr>
            <w:tcW w:w="1410" w:type="dxa"/>
            <w:tcBorders>
              <w:top w:val="single" w:sz="8" w:space="0" w:color="000000"/>
              <w:left w:val="nil"/>
              <w:bottom w:val="single" w:sz="8" w:space="0" w:color="000000"/>
              <w:right w:val="single" w:sz="8" w:space="0" w:color="000000"/>
            </w:tcBorders>
            <w:shd w:val="clear" w:color="auto" w:fill="2E74B5"/>
            <w:tcMar>
              <w:top w:w="100" w:type="dxa"/>
              <w:left w:w="100" w:type="dxa"/>
              <w:bottom w:w="100" w:type="dxa"/>
              <w:right w:w="100" w:type="dxa"/>
            </w:tcMar>
          </w:tcPr>
          <w:p w14:paraId="0AC894EF" w14:textId="77777777" w:rsidR="005B3072" w:rsidRDefault="00A46913">
            <w:pPr>
              <w:jc w:val="center"/>
              <w:rPr>
                <w:b/>
                <w:color w:val="FFFFFF"/>
                <w:sz w:val="24"/>
                <w:szCs w:val="24"/>
              </w:rPr>
            </w:pPr>
            <w:r>
              <w:rPr>
                <w:b/>
                <w:color w:val="FFFFFF"/>
                <w:sz w:val="24"/>
                <w:szCs w:val="24"/>
              </w:rPr>
              <w:t>Javna uprava</w:t>
            </w:r>
          </w:p>
        </w:tc>
      </w:tr>
      <w:tr w:rsidR="005B3072" w14:paraId="07FE7FF1" w14:textId="77777777">
        <w:trPr>
          <w:trHeight w:val="225"/>
        </w:trPr>
        <w:tc>
          <w:tcPr>
            <w:tcW w:w="1005" w:type="dxa"/>
            <w:tcBorders>
              <w:top w:val="nil"/>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2AAB65A4" w14:textId="77777777" w:rsidR="005B3072" w:rsidRDefault="00A46913">
            <w:pPr>
              <w:rPr>
                <w:b/>
                <w:sz w:val="24"/>
                <w:szCs w:val="24"/>
              </w:rPr>
            </w:pPr>
            <w:r>
              <w:rPr>
                <w:b/>
                <w:sz w:val="24"/>
                <w:szCs w:val="24"/>
              </w:rPr>
              <w:t>2016</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0C6720F8" w14:textId="77777777" w:rsidR="005B3072" w:rsidRDefault="00A46913">
            <w:pPr>
              <w:jc w:val="center"/>
              <w:rPr>
                <w:sz w:val="24"/>
                <w:szCs w:val="24"/>
              </w:rPr>
            </w:pPr>
            <w:r>
              <w:rPr>
                <w:sz w:val="24"/>
                <w:szCs w:val="24"/>
              </w:rPr>
              <w:t>192</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B687C25" w14:textId="77777777" w:rsidR="005B3072" w:rsidRDefault="00A46913">
            <w:pPr>
              <w:jc w:val="center"/>
              <w:rPr>
                <w:sz w:val="24"/>
                <w:szCs w:val="24"/>
              </w:rPr>
            </w:pPr>
            <w:r>
              <w:rPr>
                <w:sz w:val="24"/>
                <w:szCs w:val="24"/>
              </w:rPr>
              <w:t>30</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226F7E2C" w14:textId="77777777" w:rsidR="005B3072" w:rsidRDefault="00A46913">
            <w:pPr>
              <w:jc w:val="center"/>
              <w:rPr>
                <w:sz w:val="24"/>
                <w:szCs w:val="24"/>
              </w:rPr>
            </w:pPr>
            <w:r>
              <w:rPr>
                <w:sz w:val="24"/>
                <w:szCs w:val="24"/>
              </w:rPr>
              <w:t>110</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2A4812A9" w14:textId="77777777" w:rsidR="005B3072" w:rsidRDefault="00A46913">
            <w:pPr>
              <w:jc w:val="center"/>
              <w:rPr>
                <w:sz w:val="24"/>
                <w:szCs w:val="24"/>
              </w:rPr>
            </w:pPr>
            <w:r>
              <w:rPr>
                <w:sz w:val="24"/>
                <w:szCs w:val="24"/>
              </w:rPr>
              <w:t>82</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A00AB79" w14:textId="77777777" w:rsidR="005B3072" w:rsidRDefault="00A46913">
            <w:pPr>
              <w:jc w:val="center"/>
              <w:rPr>
                <w:sz w:val="24"/>
                <w:szCs w:val="24"/>
              </w:rPr>
            </w:pPr>
            <w:r>
              <w:rPr>
                <w:sz w:val="24"/>
                <w:szCs w:val="24"/>
              </w:rPr>
              <w:t>73</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76BEFEC5" w14:textId="77777777" w:rsidR="005B3072" w:rsidRDefault="00A46913">
            <w:pPr>
              <w:jc w:val="center"/>
              <w:rPr>
                <w:sz w:val="24"/>
                <w:szCs w:val="24"/>
              </w:rPr>
            </w:pPr>
            <w:r>
              <w:rPr>
                <w:sz w:val="24"/>
                <w:szCs w:val="24"/>
              </w:rPr>
              <w:t>97</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1840C627" w14:textId="77777777" w:rsidR="005B3072" w:rsidRDefault="00A46913">
            <w:pPr>
              <w:jc w:val="center"/>
              <w:rPr>
                <w:sz w:val="24"/>
                <w:szCs w:val="24"/>
              </w:rPr>
            </w:pPr>
            <w:r>
              <w:rPr>
                <w:sz w:val="24"/>
                <w:szCs w:val="24"/>
              </w:rPr>
              <w:t>22</w:t>
            </w:r>
          </w:p>
        </w:tc>
      </w:tr>
      <w:tr w:rsidR="005B3072" w14:paraId="12D63412" w14:textId="77777777">
        <w:trPr>
          <w:trHeight w:val="180"/>
        </w:trPr>
        <w:tc>
          <w:tcPr>
            <w:tcW w:w="1005" w:type="dxa"/>
            <w:tcBorders>
              <w:top w:val="nil"/>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497EF5C0" w14:textId="77777777" w:rsidR="005B3072" w:rsidRDefault="00A46913">
            <w:pPr>
              <w:rPr>
                <w:b/>
                <w:sz w:val="24"/>
                <w:szCs w:val="24"/>
              </w:rPr>
            </w:pPr>
            <w:r>
              <w:rPr>
                <w:b/>
                <w:sz w:val="24"/>
                <w:szCs w:val="24"/>
              </w:rPr>
              <w:t>2017</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26A69F3E" w14:textId="77777777" w:rsidR="005B3072" w:rsidRDefault="00A46913">
            <w:pPr>
              <w:jc w:val="center"/>
              <w:rPr>
                <w:sz w:val="24"/>
                <w:szCs w:val="24"/>
              </w:rPr>
            </w:pPr>
            <w:r>
              <w:rPr>
                <w:sz w:val="24"/>
                <w:szCs w:val="24"/>
              </w:rPr>
              <w:t>249</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6137D4DA" w14:textId="77777777" w:rsidR="005B3072" w:rsidRDefault="00A46913">
            <w:pPr>
              <w:jc w:val="center"/>
              <w:rPr>
                <w:sz w:val="24"/>
                <w:szCs w:val="24"/>
              </w:rPr>
            </w:pPr>
            <w:r>
              <w:rPr>
                <w:sz w:val="24"/>
                <w:szCs w:val="24"/>
              </w:rPr>
              <w:t>32</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35EDAC67" w14:textId="77777777" w:rsidR="005B3072" w:rsidRDefault="00A46913">
            <w:pPr>
              <w:jc w:val="center"/>
              <w:rPr>
                <w:sz w:val="24"/>
                <w:szCs w:val="24"/>
              </w:rPr>
            </w:pPr>
            <w:r>
              <w:rPr>
                <w:sz w:val="24"/>
                <w:szCs w:val="24"/>
              </w:rPr>
              <w:t>136</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79FBB2E5" w14:textId="77777777" w:rsidR="005B3072" w:rsidRDefault="00A46913">
            <w:pPr>
              <w:jc w:val="center"/>
              <w:rPr>
                <w:sz w:val="24"/>
                <w:szCs w:val="24"/>
              </w:rPr>
            </w:pPr>
            <w:r>
              <w:rPr>
                <w:sz w:val="24"/>
                <w:szCs w:val="24"/>
              </w:rPr>
              <w:t>113</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480B0655" w14:textId="77777777" w:rsidR="005B3072" w:rsidRDefault="00A46913">
            <w:pPr>
              <w:jc w:val="center"/>
              <w:rPr>
                <w:sz w:val="24"/>
                <w:szCs w:val="24"/>
              </w:rPr>
            </w:pPr>
            <w:r>
              <w:rPr>
                <w:sz w:val="24"/>
                <w:szCs w:val="24"/>
              </w:rPr>
              <w:t>92</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69FED08E" w14:textId="77777777" w:rsidR="005B3072" w:rsidRDefault="00A46913">
            <w:pPr>
              <w:jc w:val="center"/>
              <w:rPr>
                <w:sz w:val="24"/>
                <w:szCs w:val="24"/>
              </w:rPr>
            </w:pPr>
            <w:r>
              <w:rPr>
                <w:sz w:val="24"/>
                <w:szCs w:val="24"/>
              </w:rPr>
              <w:t>135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6F93C414" w14:textId="77777777" w:rsidR="005B3072" w:rsidRDefault="00A46913">
            <w:pPr>
              <w:jc w:val="center"/>
              <w:rPr>
                <w:sz w:val="24"/>
                <w:szCs w:val="24"/>
              </w:rPr>
            </w:pPr>
            <w:r>
              <w:rPr>
                <w:sz w:val="24"/>
                <w:szCs w:val="24"/>
              </w:rPr>
              <w:t>22</w:t>
            </w:r>
          </w:p>
        </w:tc>
      </w:tr>
      <w:tr w:rsidR="005B3072" w14:paraId="17140285" w14:textId="77777777">
        <w:trPr>
          <w:trHeight w:val="485"/>
        </w:trPr>
        <w:tc>
          <w:tcPr>
            <w:tcW w:w="1005" w:type="dxa"/>
            <w:tcBorders>
              <w:top w:val="nil"/>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3E98534E" w14:textId="77777777" w:rsidR="005B3072" w:rsidRDefault="00A46913">
            <w:pPr>
              <w:rPr>
                <w:b/>
                <w:sz w:val="24"/>
                <w:szCs w:val="24"/>
              </w:rPr>
            </w:pPr>
            <w:r>
              <w:rPr>
                <w:b/>
                <w:sz w:val="24"/>
                <w:szCs w:val="24"/>
              </w:rPr>
              <w:t>2018</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74C0BD16" w14:textId="77777777" w:rsidR="005B3072" w:rsidRDefault="00A46913">
            <w:pPr>
              <w:jc w:val="center"/>
              <w:rPr>
                <w:sz w:val="24"/>
                <w:szCs w:val="24"/>
              </w:rPr>
            </w:pPr>
            <w:r>
              <w:rPr>
                <w:sz w:val="24"/>
                <w:szCs w:val="24"/>
              </w:rPr>
              <w:t>563</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2122E875" w14:textId="77777777" w:rsidR="005B3072" w:rsidRDefault="00A46913">
            <w:pPr>
              <w:jc w:val="center"/>
              <w:rPr>
                <w:sz w:val="24"/>
                <w:szCs w:val="24"/>
              </w:rPr>
            </w:pPr>
            <w:r>
              <w:rPr>
                <w:sz w:val="24"/>
                <w:szCs w:val="24"/>
              </w:rPr>
              <w:t>50</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533CA6E5" w14:textId="77777777" w:rsidR="005B3072" w:rsidRDefault="00A46913">
            <w:pPr>
              <w:jc w:val="center"/>
              <w:rPr>
                <w:sz w:val="24"/>
                <w:szCs w:val="24"/>
              </w:rPr>
            </w:pPr>
            <w:r>
              <w:rPr>
                <w:sz w:val="24"/>
                <w:szCs w:val="24"/>
              </w:rPr>
              <w:t>175</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58DB8997" w14:textId="77777777" w:rsidR="005B3072" w:rsidRDefault="00A46913">
            <w:pPr>
              <w:jc w:val="center"/>
              <w:rPr>
                <w:sz w:val="24"/>
                <w:szCs w:val="24"/>
              </w:rPr>
            </w:pPr>
            <w:r>
              <w:rPr>
                <w:sz w:val="24"/>
                <w:szCs w:val="24"/>
              </w:rPr>
              <w:t>388</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793A3CFE" w14:textId="77777777" w:rsidR="005B3072" w:rsidRDefault="00A46913">
            <w:pPr>
              <w:jc w:val="center"/>
              <w:rPr>
                <w:sz w:val="24"/>
                <w:szCs w:val="24"/>
              </w:rPr>
            </w:pPr>
            <w:r>
              <w:rPr>
                <w:sz w:val="24"/>
                <w:szCs w:val="24"/>
              </w:rPr>
              <w:t>344</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4A42E5FE" w14:textId="77777777" w:rsidR="005B3072" w:rsidRDefault="00A46913">
            <w:pPr>
              <w:jc w:val="center"/>
              <w:rPr>
                <w:sz w:val="24"/>
                <w:szCs w:val="24"/>
              </w:rPr>
            </w:pPr>
            <w:r>
              <w:rPr>
                <w:sz w:val="24"/>
                <w:szCs w:val="24"/>
              </w:rPr>
              <w:t>196</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037E15B9" w14:textId="77777777" w:rsidR="005B3072" w:rsidRDefault="00A46913">
            <w:pPr>
              <w:jc w:val="center"/>
              <w:rPr>
                <w:sz w:val="24"/>
                <w:szCs w:val="24"/>
              </w:rPr>
            </w:pPr>
            <w:r>
              <w:rPr>
                <w:sz w:val="24"/>
                <w:szCs w:val="24"/>
              </w:rPr>
              <w:t>23</w:t>
            </w:r>
          </w:p>
        </w:tc>
      </w:tr>
      <w:tr w:rsidR="005B3072" w14:paraId="4CDFE84A" w14:textId="77777777">
        <w:tc>
          <w:tcPr>
            <w:tcW w:w="1005" w:type="dxa"/>
            <w:tcBorders>
              <w:top w:val="nil"/>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14:paraId="75B17783" w14:textId="77777777" w:rsidR="005B3072" w:rsidRDefault="00A46913">
            <w:pPr>
              <w:rPr>
                <w:b/>
                <w:sz w:val="24"/>
                <w:szCs w:val="24"/>
              </w:rPr>
            </w:pPr>
            <w:r>
              <w:rPr>
                <w:b/>
                <w:sz w:val="24"/>
                <w:szCs w:val="24"/>
              </w:rPr>
              <w:t>2019</w:t>
            </w:r>
          </w:p>
        </w:tc>
        <w:tc>
          <w:tcPr>
            <w:tcW w:w="1080" w:type="dxa"/>
            <w:tcBorders>
              <w:top w:val="nil"/>
              <w:left w:val="nil"/>
              <w:bottom w:val="single" w:sz="8" w:space="0" w:color="000000"/>
              <w:right w:val="single" w:sz="8" w:space="0" w:color="000000"/>
            </w:tcBorders>
            <w:tcMar>
              <w:top w:w="100" w:type="dxa"/>
              <w:left w:w="100" w:type="dxa"/>
              <w:bottom w:w="100" w:type="dxa"/>
              <w:right w:w="100" w:type="dxa"/>
            </w:tcMar>
          </w:tcPr>
          <w:p w14:paraId="3442DC92" w14:textId="77777777" w:rsidR="005B3072" w:rsidRDefault="00A46913">
            <w:pPr>
              <w:jc w:val="center"/>
              <w:rPr>
                <w:sz w:val="24"/>
                <w:szCs w:val="24"/>
              </w:rPr>
            </w:pPr>
            <w:r>
              <w:rPr>
                <w:sz w:val="24"/>
                <w:szCs w:val="24"/>
              </w:rPr>
              <w:t>585</w:t>
            </w:r>
          </w:p>
        </w:tc>
        <w:tc>
          <w:tcPr>
            <w:tcW w:w="1260" w:type="dxa"/>
            <w:tcBorders>
              <w:top w:val="nil"/>
              <w:left w:val="nil"/>
              <w:bottom w:val="single" w:sz="8" w:space="0" w:color="000000"/>
              <w:right w:val="single" w:sz="8" w:space="0" w:color="000000"/>
            </w:tcBorders>
            <w:tcMar>
              <w:top w:w="100" w:type="dxa"/>
              <w:left w:w="100" w:type="dxa"/>
              <w:bottom w:w="100" w:type="dxa"/>
              <w:right w:w="100" w:type="dxa"/>
            </w:tcMar>
          </w:tcPr>
          <w:p w14:paraId="041489CF" w14:textId="77777777" w:rsidR="005B3072" w:rsidRDefault="00A46913">
            <w:pPr>
              <w:jc w:val="center"/>
              <w:rPr>
                <w:sz w:val="24"/>
                <w:szCs w:val="24"/>
              </w:rPr>
            </w:pPr>
            <w:r>
              <w:rPr>
                <w:sz w:val="24"/>
                <w:szCs w:val="24"/>
              </w:rPr>
              <w:t>51</w:t>
            </w:r>
          </w:p>
        </w:tc>
        <w:tc>
          <w:tcPr>
            <w:tcW w:w="1530" w:type="dxa"/>
            <w:tcBorders>
              <w:top w:val="nil"/>
              <w:left w:val="nil"/>
              <w:bottom w:val="single" w:sz="8" w:space="0" w:color="000000"/>
              <w:right w:val="single" w:sz="8" w:space="0" w:color="000000"/>
            </w:tcBorders>
            <w:tcMar>
              <w:top w:w="100" w:type="dxa"/>
              <w:left w:w="100" w:type="dxa"/>
              <w:bottom w:w="100" w:type="dxa"/>
              <w:right w:w="100" w:type="dxa"/>
            </w:tcMar>
          </w:tcPr>
          <w:p w14:paraId="22F78997" w14:textId="77777777" w:rsidR="005B3072" w:rsidRDefault="00A46913">
            <w:pPr>
              <w:jc w:val="center"/>
              <w:rPr>
                <w:sz w:val="24"/>
                <w:szCs w:val="24"/>
              </w:rPr>
            </w:pPr>
            <w:r>
              <w:rPr>
                <w:sz w:val="24"/>
                <w:szCs w:val="24"/>
              </w:rPr>
              <w:t>179</w:t>
            </w:r>
          </w:p>
        </w:tc>
        <w:tc>
          <w:tcPr>
            <w:tcW w:w="1560" w:type="dxa"/>
            <w:tcBorders>
              <w:top w:val="nil"/>
              <w:left w:val="nil"/>
              <w:bottom w:val="single" w:sz="8" w:space="0" w:color="000000"/>
              <w:right w:val="single" w:sz="8" w:space="0" w:color="000000"/>
            </w:tcBorders>
            <w:tcMar>
              <w:top w:w="100" w:type="dxa"/>
              <w:left w:w="100" w:type="dxa"/>
              <w:bottom w:w="100" w:type="dxa"/>
              <w:right w:w="100" w:type="dxa"/>
            </w:tcMar>
          </w:tcPr>
          <w:p w14:paraId="0D6632F6" w14:textId="77777777" w:rsidR="005B3072" w:rsidRDefault="00A46913">
            <w:pPr>
              <w:jc w:val="center"/>
              <w:rPr>
                <w:sz w:val="24"/>
                <w:szCs w:val="24"/>
              </w:rPr>
            </w:pPr>
            <w:r>
              <w:rPr>
                <w:sz w:val="24"/>
                <w:szCs w:val="24"/>
              </w:rPr>
              <w:t>406</w:t>
            </w:r>
          </w:p>
        </w:tc>
        <w:tc>
          <w:tcPr>
            <w:tcW w:w="1230" w:type="dxa"/>
            <w:tcBorders>
              <w:top w:val="nil"/>
              <w:left w:val="nil"/>
              <w:bottom w:val="single" w:sz="8" w:space="0" w:color="000000"/>
              <w:right w:val="single" w:sz="8" w:space="0" w:color="000000"/>
            </w:tcBorders>
            <w:tcMar>
              <w:top w:w="100" w:type="dxa"/>
              <w:left w:w="100" w:type="dxa"/>
              <w:bottom w:w="100" w:type="dxa"/>
              <w:right w:w="100" w:type="dxa"/>
            </w:tcMar>
          </w:tcPr>
          <w:p w14:paraId="24BDB753" w14:textId="77777777" w:rsidR="005B3072" w:rsidRDefault="00A46913">
            <w:pPr>
              <w:jc w:val="center"/>
              <w:rPr>
                <w:sz w:val="24"/>
                <w:szCs w:val="24"/>
              </w:rPr>
            </w:pPr>
            <w:r>
              <w:rPr>
                <w:sz w:val="24"/>
                <w:szCs w:val="24"/>
              </w:rPr>
              <w:t>358</w:t>
            </w:r>
          </w:p>
        </w:tc>
        <w:tc>
          <w:tcPr>
            <w:tcW w:w="1095" w:type="dxa"/>
            <w:tcBorders>
              <w:top w:val="nil"/>
              <w:left w:val="nil"/>
              <w:bottom w:val="single" w:sz="8" w:space="0" w:color="000000"/>
              <w:right w:val="single" w:sz="8" w:space="0" w:color="000000"/>
            </w:tcBorders>
            <w:tcMar>
              <w:top w:w="100" w:type="dxa"/>
              <w:left w:w="100" w:type="dxa"/>
              <w:bottom w:w="100" w:type="dxa"/>
              <w:right w:w="100" w:type="dxa"/>
            </w:tcMar>
          </w:tcPr>
          <w:p w14:paraId="1D2EA839" w14:textId="77777777" w:rsidR="005B3072" w:rsidRDefault="00A46913">
            <w:pPr>
              <w:jc w:val="center"/>
              <w:rPr>
                <w:sz w:val="24"/>
                <w:szCs w:val="24"/>
              </w:rPr>
            </w:pPr>
            <w:r>
              <w:rPr>
                <w:sz w:val="24"/>
                <w:szCs w:val="24"/>
              </w:rPr>
              <w:t>205</w:t>
            </w:r>
          </w:p>
        </w:tc>
        <w:tc>
          <w:tcPr>
            <w:tcW w:w="1410" w:type="dxa"/>
            <w:tcBorders>
              <w:top w:val="nil"/>
              <w:left w:val="nil"/>
              <w:bottom w:val="single" w:sz="8" w:space="0" w:color="000000"/>
              <w:right w:val="single" w:sz="8" w:space="0" w:color="000000"/>
            </w:tcBorders>
            <w:tcMar>
              <w:top w:w="100" w:type="dxa"/>
              <w:left w:w="100" w:type="dxa"/>
              <w:bottom w:w="100" w:type="dxa"/>
              <w:right w:w="100" w:type="dxa"/>
            </w:tcMar>
          </w:tcPr>
          <w:p w14:paraId="21F8479C" w14:textId="77777777" w:rsidR="005B3072" w:rsidRDefault="00A46913">
            <w:pPr>
              <w:jc w:val="center"/>
              <w:rPr>
                <w:sz w:val="24"/>
                <w:szCs w:val="24"/>
              </w:rPr>
            </w:pPr>
            <w:r>
              <w:rPr>
                <w:sz w:val="24"/>
                <w:szCs w:val="24"/>
              </w:rPr>
              <w:t>22</w:t>
            </w:r>
          </w:p>
        </w:tc>
      </w:tr>
      <w:tr w:rsidR="005B3072" w14:paraId="23D40BF9" w14:textId="77777777">
        <w:trPr>
          <w:trHeight w:val="90"/>
        </w:trPr>
        <w:tc>
          <w:tcPr>
            <w:tcW w:w="1005" w:type="dxa"/>
            <w:tcBorders>
              <w:top w:val="nil"/>
              <w:left w:val="single" w:sz="8" w:space="0" w:color="000000"/>
              <w:bottom w:val="single" w:sz="4" w:space="0" w:color="000000"/>
              <w:right w:val="single" w:sz="8" w:space="0" w:color="000000"/>
            </w:tcBorders>
            <w:shd w:val="clear" w:color="auto" w:fill="9CC2E5"/>
            <w:tcMar>
              <w:top w:w="100" w:type="dxa"/>
              <w:left w:w="100" w:type="dxa"/>
              <w:bottom w:w="100" w:type="dxa"/>
              <w:right w:w="100" w:type="dxa"/>
            </w:tcMar>
          </w:tcPr>
          <w:p w14:paraId="44DF36B3" w14:textId="77777777" w:rsidR="005B3072" w:rsidRDefault="00A46913">
            <w:pPr>
              <w:rPr>
                <w:b/>
                <w:sz w:val="24"/>
                <w:szCs w:val="24"/>
              </w:rPr>
            </w:pPr>
            <w:r>
              <w:rPr>
                <w:b/>
                <w:sz w:val="24"/>
                <w:szCs w:val="24"/>
              </w:rPr>
              <w:t>2020</w:t>
            </w:r>
          </w:p>
        </w:tc>
        <w:tc>
          <w:tcPr>
            <w:tcW w:w="1080" w:type="dxa"/>
            <w:tcBorders>
              <w:top w:val="nil"/>
              <w:left w:val="nil"/>
              <w:bottom w:val="single" w:sz="4" w:space="0" w:color="000000"/>
              <w:right w:val="single" w:sz="8" w:space="0" w:color="000000"/>
            </w:tcBorders>
            <w:tcMar>
              <w:top w:w="100" w:type="dxa"/>
              <w:left w:w="100" w:type="dxa"/>
              <w:bottom w:w="100" w:type="dxa"/>
              <w:right w:w="100" w:type="dxa"/>
            </w:tcMar>
          </w:tcPr>
          <w:p w14:paraId="4242465F" w14:textId="77777777" w:rsidR="005B3072" w:rsidRDefault="00A46913">
            <w:pPr>
              <w:jc w:val="center"/>
              <w:rPr>
                <w:sz w:val="24"/>
                <w:szCs w:val="24"/>
              </w:rPr>
            </w:pPr>
            <w:r>
              <w:rPr>
                <w:sz w:val="24"/>
                <w:szCs w:val="24"/>
              </w:rPr>
              <w:t>575</w:t>
            </w:r>
          </w:p>
        </w:tc>
        <w:tc>
          <w:tcPr>
            <w:tcW w:w="1260" w:type="dxa"/>
            <w:tcBorders>
              <w:top w:val="nil"/>
              <w:left w:val="nil"/>
              <w:bottom w:val="single" w:sz="4" w:space="0" w:color="000000"/>
              <w:right w:val="single" w:sz="8" w:space="0" w:color="000000"/>
            </w:tcBorders>
            <w:tcMar>
              <w:top w:w="100" w:type="dxa"/>
              <w:left w:w="100" w:type="dxa"/>
              <w:bottom w:w="100" w:type="dxa"/>
              <w:right w:w="100" w:type="dxa"/>
            </w:tcMar>
          </w:tcPr>
          <w:p w14:paraId="03928015" w14:textId="77777777" w:rsidR="005B3072" w:rsidRDefault="00A46913">
            <w:pPr>
              <w:jc w:val="center"/>
              <w:rPr>
                <w:sz w:val="24"/>
                <w:szCs w:val="24"/>
              </w:rPr>
            </w:pPr>
            <w:r>
              <w:rPr>
                <w:sz w:val="24"/>
                <w:szCs w:val="24"/>
              </w:rPr>
              <w:t>50</w:t>
            </w:r>
          </w:p>
        </w:tc>
        <w:tc>
          <w:tcPr>
            <w:tcW w:w="1530" w:type="dxa"/>
            <w:tcBorders>
              <w:top w:val="nil"/>
              <w:left w:val="nil"/>
              <w:bottom w:val="single" w:sz="4" w:space="0" w:color="000000"/>
              <w:right w:val="single" w:sz="8" w:space="0" w:color="000000"/>
            </w:tcBorders>
            <w:tcMar>
              <w:top w:w="100" w:type="dxa"/>
              <w:left w:w="100" w:type="dxa"/>
              <w:bottom w:w="100" w:type="dxa"/>
              <w:right w:w="100" w:type="dxa"/>
            </w:tcMar>
          </w:tcPr>
          <w:p w14:paraId="264869BE" w14:textId="77777777" w:rsidR="005B3072" w:rsidRDefault="00A46913">
            <w:pPr>
              <w:jc w:val="center"/>
              <w:rPr>
                <w:sz w:val="24"/>
                <w:szCs w:val="24"/>
              </w:rPr>
            </w:pPr>
            <w:r>
              <w:rPr>
                <w:sz w:val="24"/>
                <w:szCs w:val="24"/>
              </w:rPr>
              <w:t>187</w:t>
            </w:r>
          </w:p>
        </w:tc>
        <w:tc>
          <w:tcPr>
            <w:tcW w:w="1560" w:type="dxa"/>
            <w:tcBorders>
              <w:top w:val="nil"/>
              <w:left w:val="nil"/>
              <w:bottom w:val="single" w:sz="4" w:space="0" w:color="000000"/>
              <w:right w:val="single" w:sz="8" w:space="0" w:color="000000"/>
            </w:tcBorders>
            <w:tcMar>
              <w:top w:w="100" w:type="dxa"/>
              <w:left w:w="100" w:type="dxa"/>
              <w:bottom w:w="100" w:type="dxa"/>
              <w:right w:w="100" w:type="dxa"/>
            </w:tcMar>
          </w:tcPr>
          <w:p w14:paraId="430D55C5" w14:textId="77777777" w:rsidR="005B3072" w:rsidRDefault="00A46913">
            <w:pPr>
              <w:jc w:val="center"/>
              <w:rPr>
                <w:sz w:val="24"/>
                <w:szCs w:val="24"/>
              </w:rPr>
            </w:pPr>
            <w:r>
              <w:rPr>
                <w:sz w:val="24"/>
                <w:szCs w:val="24"/>
              </w:rPr>
              <w:t>388</w:t>
            </w:r>
          </w:p>
        </w:tc>
        <w:tc>
          <w:tcPr>
            <w:tcW w:w="1230" w:type="dxa"/>
            <w:tcBorders>
              <w:top w:val="nil"/>
              <w:left w:val="nil"/>
              <w:bottom w:val="single" w:sz="4" w:space="0" w:color="000000"/>
              <w:right w:val="single" w:sz="8" w:space="0" w:color="000000"/>
            </w:tcBorders>
            <w:tcMar>
              <w:top w:w="100" w:type="dxa"/>
              <w:left w:w="100" w:type="dxa"/>
              <w:bottom w:w="100" w:type="dxa"/>
              <w:right w:w="100" w:type="dxa"/>
            </w:tcMar>
          </w:tcPr>
          <w:p w14:paraId="71A045CC" w14:textId="77777777" w:rsidR="005B3072" w:rsidRDefault="00A46913">
            <w:pPr>
              <w:jc w:val="center"/>
              <w:rPr>
                <w:sz w:val="24"/>
                <w:szCs w:val="24"/>
              </w:rPr>
            </w:pPr>
            <w:r>
              <w:rPr>
                <w:sz w:val="24"/>
                <w:szCs w:val="24"/>
              </w:rPr>
              <w:t>342</w:t>
            </w:r>
          </w:p>
        </w:tc>
        <w:tc>
          <w:tcPr>
            <w:tcW w:w="1095" w:type="dxa"/>
            <w:tcBorders>
              <w:top w:val="nil"/>
              <w:left w:val="nil"/>
              <w:bottom w:val="single" w:sz="4" w:space="0" w:color="000000"/>
              <w:right w:val="single" w:sz="8" w:space="0" w:color="000000"/>
            </w:tcBorders>
            <w:tcMar>
              <w:top w:w="100" w:type="dxa"/>
              <w:left w:w="100" w:type="dxa"/>
              <w:bottom w:w="100" w:type="dxa"/>
              <w:right w:w="100" w:type="dxa"/>
            </w:tcMar>
          </w:tcPr>
          <w:p w14:paraId="2CA29E25" w14:textId="77777777" w:rsidR="005B3072" w:rsidRDefault="00A46913">
            <w:pPr>
              <w:jc w:val="center"/>
              <w:rPr>
                <w:sz w:val="24"/>
                <w:szCs w:val="24"/>
              </w:rPr>
            </w:pPr>
            <w:r>
              <w:rPr>
                <w:sz w:val="24"/>
                <w:szCs w:val="24"/>
              </w:rPr>
              <w:t>211</w:t>
            </w:r>
          </w:p>
        </w:tc>
        <w:tc>
          <w:tcPr>
            <w:tcW w:w="1410" w:type="dxa"/>
            <w:tcBorders>
              <w:top w:val="nil"/>
              <w:left w:val="nil"/>
              <w:bottom w:val="single" w:sz="4" w:space="0" w:color="000000"/>
              <w:right w:val="single" w:sz="8" w:space="0" w:color="000000"/>
            </w:tcBorders>
            <w:tcMar>
              <w:top w:w="100" w:type="dxa"/>
              <w:left w:w="100" w:type="dxa"/>
              <w:bottom w:w="100" w:type="dxa"/>
              <w:right w:w="100" w:type="dxa"/>
            </w:tcMar>
          </w:tcPr>
          <w:p w14:paraId="7599AECE" w14:textId="77777777" w:rsidR="005B3072" w:rsidRDefault="00A46913">
            <w:pPr>
              <w:jc w:val="center"/>
              <w:rPr>
                <w:sz w:val="24"/>
                <w:szCs w:val="24"/>
              </w:rPr>
            </w:pPr>
            <w:r>
              <w:rPr>
                <w:sz w:val="24"/>
                <w:szCs w:val="24"/>
              </w:rPr>
              <w:t>22</w:t>
            </w:r>
          </w:p>
        </w:tc>
      </w:tr>
      <w:tr w:rsidR="005B3072" w14:paraId="1C7B846A" w14:textId="77777777">
        <w:trPr>
          <w:trHeight w:val="90"/>
        </w:trPr>
        <w:tc>
          <w:tcPr>
            <w:tcW w:w="1005" w:type="dxa"/>
            <w:tcBorders>
              <w:top w:val="single" w:sz="4" w:space="0" w:color="000000"/>
              <w:left w:val="single" w:sz="4" w:space="0" w:color="000000"/>
              <w:bottom w:val="single" w:sz="4" w:space="0" w:color="000000"/>
              <w:right w:val="single" w:sz="4" w:space="0" w:color="000000"/>
            </w:tcBorders>
            <w:shd w:val="clear" w:color="auto" w:fill="9CC2E5"/>
            <w:tcMar>
              <w:top w:w="100" w:type="dxa"/>
              <w:left w:w="100" w:type="dxa"/>
              <w:bottom w:w="100" w:type="dxa"/>
              <w:right w:w="100" w:type="dxa"/>
            </w:tcMar>
          </w:tcPr>
          <w:p w14:paraId="18DC221B" w14:textId="77777777" w:rsidR="005B3072" w:rsidRDefault="00A46913">
            <w:pPr>
              <w:rPr>
                <w:b/>
                <w:sz w:val="24"/>
                <w:szCs w:val="24"/>
              </w:rPr>
            </w:pPr>
            <w:r>
              <w:rPr>
                <w:b/>
                <w:sz w:val="24"/>
                <w:szCs w:val="24"/>
              </w:rPr>
              <w:t>Dec. 2021</w:t>
            </w:r>
          </w:p>
        </w:tc>
        <w:tc>
          <w:tcPr>
            <w:tcW w:w="108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526B2" w14:textId="77777777" w:rsidR="005B3072" w:rsidRDefault="00A46913">
            <w:pPr>
              <w:jc w:val="center"/>
              <w:rPr>
                <w:sz w:val="24"/>
                <w:szCs w:val="24"/>
              </w:rPr>
            </w:pPr>
            <w:r>
              <w:rPr>
                <w:sz w:val="24"/>
                <w:szCs w:val="24"/>
              </w:rPr>
              <w:t>523</w:t>
            </w:r>
          </w:p>
        </w:tc>
        <w:tc>
          <w:tcPr>
            <w:tcW w:w="12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A600A" w14:textId="77777777" w:rsidR="005B3072" w:rsidRDefault="00A46913">
            <w:pPr>
              <w:jc w:val="center"/>
              <w:rPr>
                <w:sz w:val="24"/>
                <w:szCs w:val="24"/>
              </w:rPr>
            </w:pPr>
            <w:r>
              <w:rPr>
                <w:sz w:val="24"/>
                <w:szCs w:val="24"/>
              </w:rPr>
              <w:t>44</w:t>
            </w:r>
          </w:p>
        </w:tc>
        <w:tc>
          <w:tcPr>
            <w:tcW w:w="15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C3569F" w14:textId="77777777" w:rsidR="005B3072" w:rsidRDefault="00A46913">
            <w:pPr>
              <w:jc w:val="center"/>
              <w:rPr>
                <w:sz w:val="24"/>
                <w:szCs w:val="24"/>
              </w:rPr>
            </w:pPr>
            <w:r>
              <w:rPr>
                <w:sz w:val="24"/>
                <w:szCs w:val="24"/>
              </w:rPr>
              <w:t>156</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DED651" w14:textId="77777777" w:rsidR="005B3072" w:rsidRDefault="00A46913">
            <w:pPr>
              <w:jc w:val="center"/>
              <w:rPr>
                <w:sz w:val="24"/>
                <w:szCs w:val="24"/>
              </w:rPr>
            </w:pPr>
            <w:r>
              <w:rPr>
                <w:sz w:val="24"/>
                <w:szCs w:val="24"/>
              </w:rPr>
              <w:t>367</w:t>
            </w:r>
          </w:p>
        </w:tc>
        <w:tc>
          <w:tcPr>
            <w:tcW w:w="12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D0E958" w14:textId="77777777" w:rsidR="005B3072" w:rsidRDefault="00A46913">
            <w:pPr>
              <w:jc w:val="center"/>
              <w:rPr>
                <w:sz w:val="24"/>
                <w:szCs w:val="24"/>
              </w:rPr>
            </w:pPr>
            <w:r>
              <w:rPr>
                <w:sz w:val="24"/>
                <w:szCs w:val="24"/>
              </w:rPr>
              <w:t>321</w:t>
            </w:r>
          </w:p>
        </w:tc>
        <w:tc>
          <w:tcPr>
            <w:tcW w:w="109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4C1FD" w14:textId="77777777" w:rsidR="005B3072" w:rsidRDefault="00A46913">
            <w:pPr>
              <w:jc w:val="center"/>
              <w:rPr>
                <w:sz w:val="24"/>
                <w:szCs w:val="24"/>
              </w:rPr>
            </w:pPr>
            <w:r>
              <w:rPr>
                <w:sz w:val="24"/>
                <w:szCs w:val="24"/>
              </w:rPr>
              <w:t>181</w:t>
            </w:r>
          </w:p>
        </w:tc>
        <w:tc>
          <w:tcPr>
            <w:tcW w:w="141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E2EBC5" w14:textId="77777777" w:rsidR="005B3072" w:rsidRDefault="00A46913">
            <w:pPr>
              <w:jc w:val="center"/>
              <w:rPr>
                <w:sz w:val="24"/>
                <w:szCs w:val="24"/>
              </w:rPr>
            </w:pPr>
            <w:r>
              <w:rPr>
                <w:sz w:val="24"/>
                <w:szCs w:val="24"/>
              </w:rPr>
              <w:t>20</w:t>
            </w:r>
          </w:p>
        </w:tc>
      </w:tr>
    </w:tbl>
    <w:p w14:paraId="4993918D" w14:textId="77777777" w:rsidR="005B3072" w:rsidRDefault="00A46913">
      <w:pPr>
        <w:spacing w:after="0"/>
        <w:rPr>
          <w:b/>
          <w:i/>
          <w:sz w:val="24"/>
          <w:szCs w:val="24"/>
        </w:rPr>
      </w:pPr>
      <w:r>
        <w:rPr>
          <w:b/>
          <w:smallCaps/>
          <w:color w:val="44546A"/>
          <w:sz w:val="24"/>
          <w:szCs w:val="24"/>
        </w:rPr>
        <w:t>Tabela 5.  Pregled e-usluga po godinama i vrsti (elektronske ili informativne)</w:t>
      </w:r>
      <w:r>
        <w:rPr>
          <w:b/>
          <w:i/>
          <w:sz w:val="24"/>
          <w:szCs w:val="24"/>
        </w:rPr>
        <w:t xml:space="preserve"> </w:t>
      </w:r>
    </w:p>
    <w:p w14:paraId="3D43B8A9" w14:textId="77777777" w:rsidR="005B3072" w:rsidRDefault="005B3072">
      <w:pPr>
        <w:spacing w:after="0"/>
        <w:rPr>
          <w:b/>
          <w:i/>
          <w:sz w:val="24"/>
          <w:szCs w:val="24"/>
        </w:rPr>
      </w:pPr>
    </w:p>
    <w:p w14:paraId="6A0FF2E0"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Portal sadrži i Registar licenci, koji obuhvata 355 licenci, izdatih od strane 26 institucija. Od tog broja, 10 licenci je namijenjeno organima državne uprave, 295 pravnim licima i 50 fizičkim licima. Najveći broj licenci koje su dostupne na portalu e-uprave, ukoliko se posmatra sa aspekta nivoa sofisticiranosti usluga, jesu licence koje su razvijene do nivoa 1 (185), zatim slijede licence razvijene do nivoa 2 (145) dok je do nivoa 3 razvijeno 25 licenci.</w:t>
      </w:r>
    </w:p>
    <w:p w14:paraId="00E56028" w14:textId="77777777" w:rsidR="005B3072" w:rsidRDefault="00A46913">
      <w:pPr>
        <w:spacing w:before="240" w:after="240" w:line="276" w:lineRule="auto"/>
        <w:jc w:val="both"/>
        <w:rPr>
          <w:sz w:val="24"/>
          <w:szCs w:val="24"/>
        </w:rPr>
      </w:pPr>
      <w:r>
        <w:rPr>
          <w:sz w:val="24"/>
          <w:szCs w:val="24"/>
        </w:rPr>
        <w:t>Osnovni okvir za procjenu stanja u oblasti e-usluga može se primijeniti na javne usluge, što za rezultat ima sljedeće faze zrelosti:</w:t>
      </w:r>
    </w:p>
    <w:p w14:paraId="7AA69DC4" w14:textId="77777777" w:rsidR="005B3072" w:rsidRDefault="00A46913">
      <w:pPr>
        <w:numPr>
          <w:ilvl w:val="0"/>
          <w:numId w:val="22"/>
        </w:numPr>
        <w:spacing w:before="20" w:after="0" w:line="276" w:lineRule="auto"/>
        <w:jc w:val="both"/>
      </w:pPr>
      <w:r>
        <w:rPr>
          <w:sz w:val="24"/>
          <w:szCs w:val="24"/>
        </w:rPr>
        <w:t>Nivo 1 -podaci o uslugama postoje u elektronskoj formi (tzv. informativni nivo)</w:t>
      </w:r>
    </w:p>
    <w:p w14:paraId="64FF7418" w14:textId="77777777" w:rsidR="005B3072" w:rsidRDefault="00A46913">
      <w:pPr>
        <w:numPr>
          <w:ilvl w:val="0"/>
          <w:numId w:val="22"/>
        </w:numPr>
        <w:spacing w:after="0" w:line="276" w:lineRule="auto"/>
        <w:jc w:val="both"/>
      </w:pPr>
      <w:r>
        <w:rPr>
          <w:sz w:val="24"/>
          <w:szCs w:val="24"/>
        </w:rPr>
        <w:t>Nivo 2 - omogućena je jednosmjerna komunikacija, tj. obrasci se mogu preuzeti sa interneta, ručno popuniti i predati</w:t>
      </w:r>
    </w:p>
    <w:p w14:paraId="3715A6E5" w14:textId="77777777" w:rsidR="005B3072" w:rsidRDefault="00A46913">
      <w:pPr>
        <w:numPr>
          <w:ilvl w:val="0"/>
          <w:numId w:val="22"/>
        </w:numPr>
        <w:spacing w:after="0" w:line="276" w:lineRule="auto"/>
        <w:jc w:val="both"/>
      </w:pPr>
      <w:r>
        <w:rPr>
          <w:sz w:val="24"/>
          <w:szCs w:val="24"/>
        </w:rPr>
        <w:t>Nivo3 - omogućena je dvosmjerna komunikacija tj. obrasci se mogu popuniti i predati putem interneta a javni servis će pružiti uslugu ovlaštenom korisniku</w:t>
      </w:r>
    </w:p>
    <w:p w14:paraId="54B0616D" w14:textId="77777777" w:rsidR="005B3072" w:rsidRDefault="00A46913">
      <w:pPr>
        <w:numPr>
          <w:ilvl w:val="0"/>
          <w:numId w:val="22"/>
        </w:numPr>
        <w:spacing w:after="0" w:line="276" w:lineRule="auto"/>
        <w:jc w:val="both"/>
      </w:pPr>
      <w:r>
        <w:rPr>
          <w:sz w:val="24"/>
          <w:szCs w:val="24"/>
        </w:rPr>
        <w:t>Nivo 4 - može se realizovati transakcija tj. usluge se mogu u potpunosti pružati putem interneta, podnošenjem popunjenih obrazaca ili podataka na obradu elektronskim putem; rješenja državnih organa se takođe dostavljaju elektronski</w:t>
      </w:r>
    </w:p>
    <w:p w14:paraId="0D968252" w14:textId="77777777" w:rsidR="005B3072" w:rsidRDefault="00A46913">
      <w:pPr>
        <w:numPr>
          <w:ilvl w:val="0"/>
          <w:numId w:val="22"/>
        </w:numPr>
        <w:spacing w:after="0" w:line="276" w:lineRule="auto"/>
        <w:jc w:val="both"/>
      </w:pPr>
      <w:r>
        <w:rPr>
          <w:sz w:val="24"/>
          <w:szCs w:val="24"/>
        </w:rPr>
        <w:t>Nivo 5 - razvijena je personalizovana usluga što podrazumijeva da se cjelokupna usluga može obaviti putem interneta, automatski i proaktivno</w:t>
      </w:r>
    </w:p>
    <w:p w14:paraId="62123098" w14:textId="77777777" w:rsidR="005B3072" w:rsidRDefault="005B3072">
      <w:pPr>
        <w:pBdr>
          <w:top w:val="nil"/>
          <w:left w:val="nil"/>
          <w:bottom w:val="nil"/>
          <w:right w:val="nil"/>
          <w:between w:val="nil"/>
        </w:pBdr>
        <w:spacing w:after="240" w:line="276" w:lineRule="auto"/>
        <w:jc w:val="both"/>
        <w:rPr>
          <w:sz w:val="24"/>
          <w:szCs w:val="24"/>
        </w:rPr>
      </w:pPr>
    </w:p>
    <w:p w14:paraId="6EDF28E2" w14:textId="77777777" w:rsidR="005B3072" w:rsidRDefault="00A46913">
      <w:pPr>
        <w:pBdr>
          <w:top w:val="nil"/>
          <w:left w:val="nil"/>
          <w:bottom w:val="nil"/>
          <w:right w:val="nil"/>
          <w:between w:val="nil"/>
        </w:pBdr>
        <w:spacing w:before="240" w:after="240" w:line="276" w:lineRule="auto"/>
        <w:jc w:val="both"/>
        <w:rPr>
          <w:sz w:val="24"/>
          <w:szCs w:val="24"/>
        </w:rPr>
      </w:pPr>
      <w:r>
        <w:rPr>
          <w:sz w:val="24"/>
          <w:szCs w:val="24"/>
        </w:rPr>
        <w:t xml:space="preserve">U svjetlu izbijanja COVID-19 pandemije i njenog dalekosežnog utjecaja, usled uvođenja mjera socijalnog distanciranja, ograničenja putovanja i drugih ograničavajućih mjera građanima i privredi je otežan pristup </w:t>
      </w:r>
      <w:r>
        <w:rPr>
          <w:sz w:val="24"/>
          <w:szCs w:val="24"/>
        </w:rPr>
        <w:lastRenderedPageBreak/>
        <w:t>javnim uslugama.  Kriza je naglasila važnost tehnologije, ali i ključnu ulogu efikasne, inkluzivne i odgovorne Vlade. Početkom 2021. godine započete su aktivnosti na projektu</w:t>
      </w:r>
      <w:r>
        <w:rPr>
          <w:i/>
          <w:sz w:val="24"/>
          <w:szCs w:val="24"/>
        </w:rPr>
        <w:t xml:space="preserve"> E-usluge i digitalna infrastruktura kao odgovor na Covid-19</w:t>
      </w:r>
      <w:r>
        <w:rPr>
          <w:sz w:val="24"/>
          <w:szCs w:val="24"/>
          <w:vertAlign w:val="superscript"/>
        </w:rPr>
        <w:footnoteReference w:id="46"/>
      </w:r>
      <w:r>
        <w:rPr>
          <w:sz w:val="24"/>
          <w:szCs w:val="24"/>
        </w:rPr>
        <w:t xml:space="preserve"> čiji je cilj ubrzanje digitalne transformacije javne uprave u Crnoj Gori uz razvoj novih i nadogradnju postojećih platformi i složenih softverskih sistema, kao i kompleksnih elektronskih usluga koje zadovoljavaju, prije svega, potrebe građana i privrede.</w:t>
      </w:r>
    </w:p>
    <w:p w14:paraId="02305500" w14:textId="77777777" w:rsidR="005B3072" w:rsidRDefault="00A46913">
      <w:pPr>
        <w:pBdr>
          <w:top w:val="nil"/>
          <w:left w:val="nil"/>
          <w:bottom w:val="nil"/>
          <w:right w:val="nil"/>
          <w:between w:val="nil"/>
        </w:pBdr>
        <w:spacing w:before="240" w:after="240" w:line="276" w:lineRule="auto"/>
        <w:jc w:val="both"/>
        <w:rPr>
          <w:color w:val="000000"/>
          <w:sz w:val="24"/>
          <w:szCs w:val="24"/>
        </w:rPr>
      </w:pPr>
      <w:r>
        <w:rPr>
          <w:sz w:val="24"/>
          <w:szCs w:val="24"/>
        </w:rPr>
        <w:t xml:space="preserve">Cilj je uspostavljanje efikasnog i održivog integrisanog sistema pojednostavljenih elektronskih procedura za građane i privredu, što će se prevashodno realizovati kroz implementaciju najmanje 10 elektronskih usluga za građane i privredu. Projektom je predviđeno uspostavljanje jedinstvenog portala e-uprave uz implementaciju najmanje 10 prioritetnih usluga i to: Zahtjev za izdavanje LK i pasoša, Podnošenje zahtjeva za izdavanje (obnavljanje) vozačke dozvole, Prijava za registraciju vozila, e-Student, Prijava za zapošljavanje u državnoj upravi, Generička e-usluga za podnošenje zahtjeva za polaganja stručnih ispita (polaganje stručnog ispita za rad u državnim organima sa VSS/SSS, polaganje stručnog ispita za rad u oblasti sporta, polaganje stručnog ispita za notare,  polaganje stručnog ispita za revizore itd.), Elektronska usluga u oblasti planiranja prostora, e-Registracija NVO, e-Poslovanje, Elektronska prijava i odjava zaposlenih, e-Doprinosi, Naknada za rođenje djeteta - povezano e-prijavom novorođenih, e-upis u đačke i studentske domove, Prijava za registraciju i upis poljoprivrednog gazdinstva i premije.  </w:t>
      </w:r>
      <w:r>
        <w:rPr>
          <w:color w:val="000000"/>
          <w:sz w:val="24"/>
          <w:szCs w:val="24"/>
        </w:rPr>
        <w:t xml:space="preserve">Da bi e-uprava bila transparenta i dostupna svima, jedan od važnih elemenata je i uključenost zainteresovanih strana. Zato je </w:t>
      </w:r>
      <w:r>
        <w:rPr>
          <w:sz w:val="24"/>
          <w:szCs w:val="24"/>
        </w:rPr>
        <w:t>u okviru</w:t>
      </w:r>
      <w:r>
        <w:rPr>
          <w:color w:val="000000"/>
          <w:sz w:val="24"/>
          <w:szCs w:val="24"/>
        </w:rPr>
        <w:t xml:space="preserve"> portala e-uprave, kao podportal razvijen sistem </w:t>
      </w:r>
      <w:r>
        <w:rPr>
          <w:b/>
          <w:color w:val="000000"/>
          <w:sz w:val="24"/>
          <w:szCs w:val="24"/>
        </w:rPr>
        <w:t xml:space="preserve">eParticipacije, </w:t>
      </w:r>
      <w:r>
        <w:rPr>
          <w:color w:val="000000"/>
          <w:sz w:val="24"/>
          <w:szCs w:val="24"/>
        </w:rPr>
        <w:t xml:space="preserve">koji objezbjeđuje proaktivno učešće građana u društvenim procesima i donošenju odluka bitnih za njihov život i život društvene zajednice. U </w:t>
      </w:r>
      <w:r>
        <w:rPr>
          <w:sz w:val="24"/>
          <w:szCs w:val="24"/>
        </w:rPr>
        <w:t>z</w:t>
      </w:r>
      <w:r>
        <w:rPr>
          <w:color w:val="000000"/>
          <w:sz w:val="24"/>
          <w:szCs w:val="24"/>
        </w:rPr>
        <w:t xml:space="preserve">avršnom Izvještaju Strategije informacionog društva 2016-2020 navodi se da je broj objava na portalu eParticipacija rastao u prethodnim godinama. Tako je u 2015. godini bilo 62 objave javnih poziva, dok je u 2020. godini ovaj broj iznosio 207. a u 2021. do relevantnog datuma (decembar 2021. godine) objavljeno 297 javnih poziva (javnih obavještenja, poziva za javnu raspravu, poziva za konsultacije i dr.). Ovaj podatak govori u prilog činjenici da je svijest građana o mogućnostima e-participacije porasla i da su se ujedno uvjerili u efikasnost ovog servisa kroz primjere dobre prakse. </w:t>
      </w:r>
    </w:p>
    <w:p w14:paraId="13398DE3"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Kada je riječ o transparentnosti i uključenosti u procese kreiranja javnih politika, važnu ulogu ima i portal </w:t>
      </w:r>
      <w:r>
        <w:rPr>
          <w:b/>
          <w:color w:val="000000"/>
          <w:sz w:val="24"/>
          <w:szCs w:val="24"/>
        </w:rPr>
        <w:t>„Glas građana – ePeticije“</w:t>
      </w:r>
      <w:r>
        <w:rPr>
          <w:color w:val="000000"/>
          <w:sz w:val="24"/>
          <w:szCs w:val="24"/>
        </w:rPr>
        <w:t xml:space="preserve"> koji omogućava javnosti da utiče na proces kreiranja javnih politika, putem podnošenja elektronskih peticija Vladi Crne Gore. Projekat predstavlja iskorak u pravcu unapređenja participativne demokratije, otvorenosti Vlade za dijalog i partnerstvo sa civilnim društvom i aktivnog učešća javnosti u procesu kreiranja javnih politika. Inovirani portal, prilagođen mobilnim uređajima koji ispunjava zahtjeve vezane za pristupačnost, objavljen je i pu</w:t>
      </w:r>
      <w:r>
        <w:rPr>
          <w:sz w:val="24"/>
          <w:szCs w:val="24"/>
        </w:rPr>
        <w:t xml:space="preserve">šten </w:t>
      </w:r>
      <w:r>
        <w:rPr>
          <w:color w:val="000000"/>
          <w:sz w:val="24"/>
          <w:szCs w:val="24"/>
        </w:rPr>
        <w:t>u rad 2021. godine. Trenutno funkcioniše na centralnom nivou ali su stvoreni tehnički preduslovi za proširenje na lokalni nivo. Od objavljivanja inoviranog portala podnesena je 61 peticija, za koje je glasalo preko 15</w:t>
      </w:r>
      <w:r>
        <w:rPr>
          <w:sz w:val="24"/>
          <w:szCs w:val="24"/>
        </w:rPr>
        <w:t>.</w:t>
      </w:r>
      <w:r>
        <w:rPr>
          <w:color w:val="000000"/>
          <w:sz w:val="24"/>
          <w:szCs w:val="24"/>
        </w:rPr>
        <w:t>000 građana.</w:t>
      </w:r>
    </w:p>
    <w:p w14:paraId="2204E961" w14:textId="77777777" w:rsidR="005B3072" w:rsidRDefault="00A46913">
      <w:pPr>
        <w:pBdr>
          <w:top w:val="nil"/>
          <w:left w:val="nil"/>
          <w:bottom w:val="nil"/>
          <w:right w:val="nil"/>
          <w:between w:val="nil"/>
        </w:pBdr>
        <w:spacing w:after="240" w:line="276" w:lineRule="auto"/>
        <w:jc w:val="both"/>
        <w:rPr>
          <w:color w:val="000000"/>
          <w:sz w:val="24"/>
          <w:szCs w:val="24"/>
        </w:rPr>
      </w:pPr>
      <w:bookmarkStart w:id="18" w:name="_2jxsxqh" w:colFirst="0" w:colLast="0"/>
      <w:bookmarkEnd w:id="18"/>
      <w:r>
        <w:rPr>
          <w:color w:val="000000"/>
          <w:sz w:val="24"/>
          <w:szCs w:val="24"/>
        </w:rPr>
        <w:lastRenderedPageBreak/>
        <w:t xml:space="preserve">Pored stvaranja uslova za uključenost građana, nezaobilazan dio e-uprave je i saradnja sa privredom i biznis sektorom i stvaranje uslova za efikasniji rad. U tom smislu, razvijen je i objavljen portal </w:t>
      </w:r>
      <w:r>
        <w:rPr>
          <w:b/>
          <w:color w:val="000000"/>
          <w:sz w:val="24"/>
          <w:szCs w:val="24"/>
        </w:rPr>
        <w:t>eFirma</w:t>
      </w:r>
      <w:r>
        <w:rPr>
          <w:color w:val="000000"/>
          <w:sz w:val="24"/>
          <w:szCs w:val="24"/>
        </w:rPr>
        <w:t xml:space="preserve"> koji predstavlja sistem za podnošenje elektronskih prijava za registraciju u centralnom registru privrednih subjekata (CRPS) Crne Gore, kao i podnošenje zahtijeva za izdavanje dokumentacije iz registra. Portal je dio integralnog informacionog sistema Poreske uprave Crne Gore i povezan je sa sistemom Centralnog registra.</w:t>
      </w:r>
    </w:p>
    <w:p w14:paraId="3179E34A" w14:textId="77777777" w:rsidR="005B3072" w:rsidRDefault="00A46913">
      <w:pPr>
        <w:pBdr>
          <w:top w:val="nil"/>
          <w:left w:val="nil"/>
          <w:bottom w:val="nil"/>
          <w:right w:val="nil"/>
          <w:between w:val="nil"/>
        </w:pBdr>
        <w:spacing w:after="240" w:line="276" w:lineRule="auto"/>
        <w:jc w:val="both"/>
        <w:rPr>
          <w:color w:val="000000"/>
          <w:sz w:val="24"/>
          <w:szCs w:val="24"/>
        </w:rPr>
      </w:pPr>
      <w:bookmarkStart w:id="19" w:name="_z337ya" w:colFirst="0" w:colLast="0"/>
      <w:bookmarkEnd w:id="19"/>
      <w:r>
        <w:rPr>
          <w:color w:val="000000"/>
          <w:sz w:val="24"/>
          <w:szCs w:val="24"/>
        </w:rPr>
        <w:t>Dobrovoljna međunarodna inicijativa ”Partnerstvo Otvorenih Vlada (Open Government Partnership - OGP)” koja je pokrenut</w:t>
      </w:r>
      <w:r>
        <w:rPr>
          <w:sz w:val="24"/>
          <w:szCs w:val="24"/>
        </w:rPr>
        <w:t>a</w:t>
      </w:r>
      <w:r>
        <w:rPr>
          <w:color w:val="000000"/>
          <w:sz w:val="24"/>
          <w:szCs w:val="24"/>
        </w:rPr>
        <w:t xml:space="preserve"> 2011. </w:t>
      </w:r>
      <w:r>
        <w:rPr>
          <w:sz w:val="24"/>
          <w:szCs w:val="24"/>
        </w:rPr>
        <w:t>g</w:t>
      </w:r>
      <w:r>
        <w:rPr>
          <w:color w:val="000000"/>
          <w:sz w:val="24"/>
          <w:szCs w:val="24"/>
        </w:rPr>
        <w:t xml:space="preserve">odine, a kojoj se Crna Gora priključila 2012. </w:t>
      </w:r>
      <w:r>
        <w:rPr>
          <w:sz w:val="24"/>
          <w:szCs w:val="24"/>
        </w:rPr>
        <w:t>g</w:t>
      </w:r>
      <w:r>
        <w:rPr>
          <w:color w:val="000000"/>
          <w:sz w:val="24"/>
          <w:szCs w:val="24"/>
        </w:rPr>
        <w:t>odine, pokazuje značaj koji Vlada Crne Gore pridaje promovisanju transparentnosti javne uprave, jačanju civilnog društva i uloge građana u kreiranju javnih politika, kao i korišćenju novih tehnologija u upravljanju.</w:t>
      </w:r>
    </w:p>
    <w:p w14:paraId="2C115870"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Budući da penetracija e-usluga u velikoj mjeri zavisi od korisničkog iskustva, MJUDDM je 2019. godine, u saradnji sa UNDP-om i kompanijom IPSOS Strategic Marketing</w:t>
      </w:r>
      <w:r>
        <w:rPr>
          <w:color w:val="000000"/>
          <w:sz w:val="24"/>
          <w:szCs w:val="24"/>
          <w:vertAlign w:val="superscript"/>
        </w:rPr>
        <w:footnoteReference w:id="47"/>
      </w:r>
      <w:r>
        <w:rPr>
          <w:color w:val="000000"/>
          <w:sz w:val="24"/>
          <w:szCs w:val="24"/>
        </w:rPr>
        <w:t>, sprovelo istraživanje o kvalitetu i zadovoljstvu građana e-uslugama. Rezultati su pokazali da 82,76% korisnika vjeruje da je podnošenje elektronskog zahtjeva putem portala olakšalo proces dobijanja traženog dokumenta. U 2020. godini mjerenje zadovoljstva elektronskim uslugama izvršeno je kroz dodatnu funkcionalnost na portalu e-uprave, što znači da korisnici mogu da daju pozitivnu („Sviđa mi se“) ili negativnu („Ne sviđa mi se“) ocjenu usluge koja se pruža elektronskim putem. Korisnici su ukupno ocijenili 38 e-usluga, a ukupan broj pozitivnih ocjena bio je 4182, dok je njih 55 dalo negativnu ocjenu, što predstavlja procenat od 98,70% zadovoljnih korisnika koji su e-usluge koristili na portalu.</w:t>
      </w:r>
    </w:p>
    <w:p w14:paraId="307A9043" w14:textId="77777777" w:rsidR="005B3072" w:rsidRDefault="00A46913">
      <w:pPr>
        <w:spacing w:before="240" w:after="240"/>
        <w:jc w:val="both"/>
        <w:rPr>
          <w:sz w:val="24"/>
          <w:szCs w:val="24"/>
        </w:rPr>
      </w:pPr>
      <w:r>
        <w:rPr>
          <w:sz w:val="24"/>
          <w:szCs w:val="24"/>
        </w:rPr>
        <w:t>Ključni nalazi iz navedenog istraživanja su bili:</w:t>
      </w:r>
    </w:p>
    <w:p w14:paraId="68FD306E" w14:textId="77777777" w:rsidR="005B3072" w:rsidRDefault="00A46913">
      <w:pPr>
        <w:numPr>
          <w:ilvl w:val="0"/>
          <w:numId w:val="54"/>
        </w:numPr>
        <w:pBdr>
          <w:top w:val="nil"/>
          <w:left w:val="nil"/>
          <w:bottom w:val="nil"/>
          <w:right w:val="nil"/>
          <w:between w:val="nil"/>
        </w:pBdr>
        <w:spacing w:before="240" w:after="0" w:line="276" w:lineRule="auto"/>
        <w:jc w:val="both"/>
        <w:rPr>
          <w:sz w:val="24"/>
          <w:szCs w:val="24"/>
        </w:rPr>
      </w:pPr>
      <w:r>
        <w:rPr>
          <w:color w:val="000000"/>
          <w:sz w:val="24"/>
          <w:szCs w:val="24"/>
        </w:rPr>
        <w:t>Preko polovina građana koji su čuli za e</w:t>
      </w:r>
      <w:r>
        <w:rPr>
          <w:sz w:val="24"/>
          <w:szCs w:val="24"/>
        </w:rPr>
        <w:t>-u</w:t>
      </w:r>
      <w:r>
        <w:rPr>
          <w:color w:val="000000"/>
          <w:sz w:val="24"/>
          <w:szCs w:val="24"/>
        </w:rPr>
        <w:t>sluge javne uprave nije koristilo nijednu u prethodne dvije godine, oko 20% navodi da su ih koristili rijetko, dok ih je isti broj koristio povremeno ili često</w:t>
      </w:r>
      <w:r>
        <w:rPr>
          <w:sz w:val="24"/>
          <w:szCs w:val="24"/>
        </w:rPr>
        <w:t>.</w:t>
      </w:r>
    </w:p>
    <w:p w14:paraId="5437E0D9" w14:textId="77777777" w:rsidR="005B3072" w:rsidRDefault="00A46913">
      <w:pPr>
        <w:numPr>
          <w:ilvl w:val="0"/>
          <w:numId w:val="54"/>
        </w:numPr>
        <w:pBdr>
          <w:top w:val="nil"/>
          <w:left w:val="nil"/>
          <w:bottom w:val="nil"/>
          <w:right w:val="nil"/>
          <w:between w:val="nil"/>
        </w:pBdr>
        <w:spacing w:after="0" w:line="276" w:lineRule="auto"/>
        <w:jc w:val="both"/>
        <w:rPr>
          <w:sz w:val="24"/>
          <w:szCs w:val="24"/>
        </w:rPr>
      </w:pPr>
      <w:r>
        <w:rPr>
          <w:color w:val="000000"/>
          <w:sz w:val="24"/>
          <w:szCs w:val="24"/>
        </w:rPr>
        <w:t>Više od tri četvrtine građana Crne Gore nije informisano o e</w:t>
      </w:r>
      <w:r>
        <w:rPr>
          <w:sz w:val="24"/>
          <w:szCs w:val="24"/>
        </w:rPr>
        <w:t>-u</w:t>
      </w:r>
      <w:r>
        <w:rPr>
          <w:color w:val="000000"/>
          <w:sz w:val="24"/>
          <w:szCs w:val="24"/>
        </w:rPr>
        <w:t>slugama javne uprave</w:t>
      </w:r>
      <w:r>
        <w:rPr>
          <w:sz w:val="24"/>
          <w:szCs w:val="24"/>
        </w:rPr>
        <w:t>.</w:t>
      </w:r>
    </w:p>
    <w:p w14:paraId="7EB9CC74" w14:textId="77777777" w:rsidR="005B3072" w:rsidRDefault="00A46913">
      <w:pPr>
        <w:numPr>
          <w:ilvl w:val="0"/>
          <w:numId w:val="54"/>
        </w:numPr>
        <w:pBdr>
          <w:top w:val="nil"/>
          <w:left w:val="nil"/>
          <w:bottom w:val="nil"/>
          <w:right w:val="nil"/>
          <w:between w:val="nil"/>
        </w:pBdr>
        <w:spacing w:after="240" w:line="276" w:lineRule="auto"/>
        <w:jc w:val="both"/>
        <w:rPr>
          <w:sz w:val="24"/>
          <w:szCs w:val="24"/>
        </w:rPr>
      </w:pPr>
      <w:r>
        <w:rPr>
          <w:color w:val="000000"/>
          <w:sz w:val="24"/>
          <w:szCs w:val="24"/>
        </w:rPr>
        <w:t>Za razliku od građana, kompanije su informisanije kada je riječ o dostupnosti i korišćenju e</w:t>
      </w:r>
      <w:r>
        <w:rPr>
          <w:sz w:val="24"/>
          <w:szCs w:val="24"/>
        </w:rPr>
        <w:t>-u</w:t>
      </w:r>
      <w:r>
        <w:rPr>
          <w:color w:val="000000"/>
          <w:sz w:val="24"/>
          <w:szCs w:val="24"/>
        </w:rPr>
        <w:t>sluga javne uprave - blizu 90% preduzetnika procjenjuje da je njihova kompanija uglavnom ili u potpunosti obaviještena o e</w:t>
      </w:r>
      <w:r>
        <w:rPr>
          <w:sz w:val="24"/>
          <w:szCs w:val="24"/>
        </w:rPr>
        <w:t>-u</w:t>
      </w:r>
      <w:r>
        <w:rPr>
          <w:color w:val="000000"/>
          <w:sz w:val="24"/>
          <w:szCs w:val="24"/>
        </w:rPr>
        <w:t>slugama namijenjenim privredi.</w:t>
      </w:r>
    </w:p>
    <w:p w14:paraId="38E5865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Strategijom razvoja informacionog društva 2016-2020 definisani su strateški prioriteti u oblasti e-uprave. Cilj je bio da do 2020. godine 50% građana, a 30% pravnih lica budu korisnici e-usluga. Shodno završnom Izvještaju o sprovođenju Strategije razvoja informacionog društva 2016-2020, broj pravnih lica koja koriste e-usluge na kraju 2020. godine iznosio je 45%.</w:t>
      </w:r>
    </w:p>
    <w:p w14:paraId="586059F4" w14:textId="77777777" w:rsidR="005B3072" w:rsidRDefault="00A46913">
      <w:pPr>
        <w:pBdr>
          <w:top w:val="nil"/>
          <w:left w:val="nil"/>
          <w:bottom w:val="nil"/>
          <w:right w:val="nil"/>
          <w:between w:val="nil"/>
        </w:pBdr>
        <w:spacing w:after="240" w:line="276" w:lineRule="auto"/>
        <w:jc w:val="both"/>
        <w:rPr>
          <w:b/>
          <w:color w:val="000000"/>
          <w:sz w:val="24"/>
          <w:szCs w:val="24"/>
        </w:rPr>
      </w:pPr>
      <w:r>
        <w:rPr>
          <w:color w:val="000000"/>
          <w:sz w:val="24"/>
          <w:szCs w:val="24"/>
        </w:rPr>
        <w:lastRenderedPageBreak/>
        <w:t xml:space="preserve">Informacije prikupljene u intervjuima i na sastancima radnih grupa </w:t>
      </w:r>
      <w:r>
        <w:rPr>
          <w:sz w:val="24"/>
          <w:szCs w:val="24"/>
        </w:rPr>
        <w:t>potvrđuju</w:t>
      </w:r>
      <w:r>
        <w:rPr>
          <w:color w:val="000000"/>
          <w:sz w:val="24"/>
          <w:szCs w:val="24"/>
        </w:rPr>
        <w:t xml:space="preserve"> zapažanje navedeno u </w:t>
      </w:r>
      <w:r>
        <w:rPr>
          <w:i/>
          <w:color w:val="000000"/>
          <w:sz w:val="24"/>
          <w:szCs w:val="24"/>
        </w:rPr>
        <w:t>Nacionalnom izvještaju i planu za unapređenje digitalne agende u Crnoj Gori</w:t>
      </w:r>
      <w:r>
        <w:rPr>
          <w:color w:val="000000"/>
          <w:sz w:val="24"/>
          <w:szCs w:val="24"/>
          <w:vertAlign w:val="superscript"/>
        </w:rPr>
        <w:footnoteReference w:id="48"/>
      </w:r>
      <w:r>
        <w:rPr>
          <w:color w:val="000000"/>
          <w:sz w:val="24"/>
          <w:szCs w:val="24"/>
        </w:rPr>
        <w:t xml:space="preserve"> koje je sprovela NVO “35mm” i upućuju na zaključak da je opšti zakonodavni okvir za e-upravu na visokom nivou u poređenju sa drugim zemljama u regionu. Kao jedan od najvećih izazova prepoznat je </w:t>
      </w:r>
      <w:r>
        <w:rPr>
          <w:b/>
          <w:color w:val="000000"/>
          <w:sz w:val="24"/>
          <w:szCs w:val="24"/>
        </w:rPr>
        <w:t>disparitet između zakona i prakse i relativno niska svijest javnih institucija o vrijednosti pružanja e-usluga u poređenju sa tradicionalnim (papirnim) uslugama.</w:t>
      </w:r>
    </w:p>
    <w:p w14:paraId="0367BA04"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Takođe, kao važan izazov prepoznato je poboljšanje e-usluga za potrebe privrede (kao npr. unapređenje procesa registracije poslovnih subjekata). Na osnovu analize e-usluga u 2020. godini formirana je radna grupa od predstavnika svih relevantnih institucija, koordinisana od strane Savjeta za konkurentnost, zaduženog za unapređenje procesa registracije poslovnih subjekata. Sljedeći koraci uključuju uspostavljanje elektronske razmjene podataka između Službenog lista i Uprave prihoda i carina. Uprava prihoda i carina će obezbijediti izradu aplikacije za elektronsku registraciju preduzeća (osnivanje, promjena podataka i gašenje poslovnih subjekata), koja uključuje prilagođavanje sistema odredbama novog </w:t>
      </w:r>
      <w:r>
        <w:rPr>
          <w:b/>
          <w:color w:val="000000"/>
          <w:sz w:val="24"/>
          <w:szCs w:val="24"/>
        </w:rPr>
        <w:t>Zakona o preduzećima</w:t>
      </w:r>
      <w:r>
        <w:rPr>
          <w:color w:val="000000"/>
          <w:sz w:val="24"/>
          <w:szCs w:val="24"/>
        </w:rPr>
        <w:t>.</w:t>
      </w:r>
    </w:p>
    <w:p w14:paraId="3D57CCC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Ministarstvo javne uprave, digitalnog društva i medija je pripremilo </w:t>
      </w:r>
      <w:r>
        <w:rPr>
          <w:b/>
          <w:color w:val="000000"/>
          <w:sz w:val="24"/>
          <w:szCs w:val="24"/>
        </w:rPr>
        <w:t>Analizu stanja elektronskih usluga sa predlogom mjera za njihovo unapređenje</w:t>
      </w:r>
      <w:r>
        <w:rPr>
          <w:color w:val="000000"/>
          <w:sz w:val="24"/>
          <w:szCs w:val="24"/>
        </w:rPr>
        <w:t xml:space="preserve"> (za I i II kvartal 2020.). Analiza sadrži ključne aktivnosti i informacije prikupljene od drugih institucija kako bi se stvorila najopsežnija slika u ovoj oblasti. Jedna od ključnih aktivnosti u narednom periodu, koja će biti obuhvaćena </w:t>
      </w:r>
      <w:r>
        <w:rPr>
          <w:i/>
          <w:color w:val="000000"/>
          <w:sz w:val="24"/>
          <w:szCs w:val="24"/>
        </w:rPr>
        <w:t>Strategijom refome javne uprave</w:t>
      </w:r>
      <w:r>
        <w:rPr>
          <w:color w:val="000000"/>
          <w:sz w:val="24"/>
          <w:szCs w:val="24"/>
        </w:rPr>
        <w:t>, jeste razvoj novog, tehnološki i konceptualno naprednog portala eUprave.</w:t>
      </w:r>
    </w:p>
    <w:p w14:paraId="6C58816D" w14:textId="77777777" w:rsidR="005B3072" w:rsidRDefault="00A46913">
      <w:pPr>
        <w:pBdr>
          <w:top w:val="nil"/>
          <w:left w:val="nil"/>
          <w:bottom w:val="nil"/>
          <w:right w:val="nil"/>
          <w:between w:val="nil"/>
        </w:pBdr>
        <w:spacing w:after="240" w:line="276" w:lineRule="auto"/>
        <w:jc w:val="both"/>
        <w:rPr>
          <w:color w:val="000000"/>
          <w:sz w:val="24"/>
          <w:szCs w:val="24"/>
        </w:rPr>
      </w:pPr>
      <w:r>
        <w:rPr>
          <w:i/>
          <w:color w:val="000000"/>
          <w:sz w:val="24"/>
          <w:szCs w:val="24"/>
        </w:rPr>
        <w:t>Strategijom razvoja informacionog društva Crne Gore 2016-2020</w:t>
      </w:r>
      <w:r>
        <w:rPr>
          <w:color w:val="000000"/>
          <w:sz w:val="24"/>
          <w:szCs w:val="24"/>
        </w:rPr>
        <w:t xml:space="preserve"> (SRID) bile su definisane aktivnosti na razvoju </w:t>
      </w:r>
      <w:r>
        <w:rPr>
          <w:b/>
          <w:color w:val="000000"/>
          <w:sz w:val="24"/>
          <w:szCs w:val="24"/>
        </w:rPr>
        <w:t>e-zdravstva</w:t>
      </w:r>
      <w:r>
        <w:rPr>
          <w:color w:val="000000"/>
          <w:sz w:val="24"/>
          <w:szCs w:val="24"/>
        </w:rPr>
        <w:t xml:space="preserve"> u Crnoj Gori. Strategija je deifnisala i primjenu Integrisanog zdravstvenog informacionog sistema (IHIS), u skladu sa prethodnim strateškim dokumentima u ovoj oblasti i budućim planovima za razvoj zdravstvenog sistema. Realizujući aktivnosti obuhvaćene SRDI, 2018. godine je usvojena Strategija za razvoj integrisanog zdravstvenog informacionog sistema sa ciljevima usmjerenim na uspostavljanje efikasnog stabilnog sistema upravljanja zdravstvenim informacionim sistemom. Osim toga, dokumentom su definisane nadležnosti organa upravljanja i uspostavljanje efikasnog i funkcionalnog sistema izvještavanja za određene skupove podataka prema relevantnim institucijama koje će generisane zdravstvene informacije koristiti efikasnije i efektivnije a u cilju planiranja razvoja, izvještavanja, liječenja, praćenja, procjene i prevencije bolesti (Završni izvještaj o sprovođenju Strategije razvoja informacionog društva 2016-2020, 2021). Obavezu vođenja evidencija medicinskih podataka u papirnom i digitalnom obliku, kao i medicinsku dokumentaciju, propisuju Zakoni u Crnoj Gori.</w:t>
      </w:r>
    </w:p>
    <w:p w14:paraId="1A6A3234"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U tom smislu, razvijene su i e-usluge za građane iz oblasti zdravstva i zdravstvene zaštite koje pruža Fond za zdravstveno osiguranje. Usluge su dostupne na portalu eZdravlje (www.ezdravlje.me) i obuhvataju sljedeće:</w:t>
      </w:r>
    </w:p>
    <w:p w14:paraId="7714B540" w14:textId="77777777" w:rsidR="005B3072" w:rsidRDefault="00A46913">
      <w:pPr>
        <w:numPr>
          <w:ilvl w:val="0"/>
          <w:numId w:val="43"/>
        </w:numPr>
        <w:spacing w:before="240" w:after="0" w:line="276" w:lineRule="auto"/>
        <w:jc w:val="both"/>
        <w:rPr>
          <w:sz w:val="24"/>
          <w:szCs w:val="24"/>
        </w:rPr>
      </w:pPr>
      <w:r>
        <w:rPr>
          <w:sz w:val="24"/>
          <w:szCs w:val="24"/>
        </w:rPr>
        <w:t>eApoteka - elektronski servis namijenjen građanima (pacijentima), razvijen u cilju pružanja informacija o dostupnosti lijekova u svim apotekama koje imaju Ugovor sa Fondom za zdravstveno osiguranje.</w:t>
      </w:r>
    </w:p>
    <w:p w14:paraId="707A5993" w14:textId="77777777" w:rsidR="005B3072" w:rsidRDefault="00A46913">
      <w:pPr>
        <w:numPr>
          <w:ilvl w:val="0"/>
          <w:numId w:val="43"/>
        </w:numPr>
        <w:spacing w:after="0" w:line="276" w:lineRule="auto"/>
        <w:jc w:val="both"/>
        <w:rPr>
          <w:sz w:val="24"/>
          <w:szCs w:val="24"/>
        </w:rPr>
      </w:pPr>
      <w:r>
        <w:rPr>
          <w:sz w:val="24"/>
          <w:szCs w:val="24"/>
        </w:rPr>
        <w:t xml:space="preserve">eNalaz - elektronski servis koji omogućava pacijentima uvid u rezultate biohemijskih laboratorijskih analiza putem interneta. </w:t>
      </w:r>
    </w:p>
    <w:p w14:paraId="20CB4A06" w14:textId="77777777" w:rsidR="005B3072" w:rsidRDefault="00A46913">
      <w:pPr>
        <w:numPr>
          <w:ilvl w:val="0"/>
          <w:numId w:val="43"/>
        </w:numPr>
        <w:spacing w:after="0" w:line="276" w:lineRule="auto"/>
        <w:jc w:val="both"/>
        <w:rPr>
          <w:sz w:val="24"/>
          <w:szCs w:val="24"/>
        </w:rPr>
      </w:pPr>
      <w:r>
        <w:rPr>
          <w:sz w:val="24"/>
          <w:szCs w:val="24"/>
        </w:rPr>
        <w:t>eNaručivanje - elektronski servis namijenjen osiguranicima Fonda, koji su registrovani kod izabranih doktora u domovima zdravlja. Ovaj servis omogućava usluge elektronskog naručivanja:</w:t>
      </w:r>
    </w:p>
    <w:p w14:paraId="31E39821" w14:textId="77777777" w:rsidR="005B3072" w:rsidRDefault="00A46913">
      <w:pPr>
        <w:numPr>
          <w:ilvl w:val="1"/>
          <w:numId w:val="43"/>
        </w:numPr>
        <w:shd w:val="clear" w:color="auto" w:fill="FFFFFF"/>
        <w:spacing w:after="0" w:line="276" w:lineRule="auto"/>
        <w:jc w:val="both"/>
        <w:rPr>
          <w:sz w:val="24"/>
          <w:szCs w:val="24"/>
        </w:rPr>
      </w:pPr>
      <w:r>
        <w:rPr>
          <w:sz w:val="24"/>
          <w:szCs w:val="24"/>
        </w:rPr>
        <w:t>elektronskih recepata (terapije) za hronične bolesnike,</w:t>
      </w:r>
    </w:p>
    <w:p w14:paraId="034FFC90" w14:textId="77777777" w:rsidR="005B3072" w:rsidRDefault="00A46913">
      <w:pPr>
        <w:numPr>
          <w:ilvl w:val="1"/>
          <w:numId w:val="43"/>
        </w:numPr>
        <w:shd w:val="clear" w:color="auto" w:fill="FFFFFF"/>
        <w:spacing w:after="0" w:line="276" w:lineRule="auto"/>
        <w:jc w:val="both"/>
        <w:rPr>
          <w:sz w:val="24"/>
          <w:szCs w:val="24"/>
        </w:rPr>
      </w:pPr>
      <w:r>
        <w:rPr>
          <w:sz w:val="24"/>
          <w:szCs w:val="24"/>
        </w:rPr>
        <w:t xml:space="preserve">izvještaja za obračun naknade zarade (doznaka) za vrijeme privremene spriječenosti za rad (bolovanja) i to isključivo za bolovanja koja odobravaju Prvostepene ljekarske komisije Fonda,  </w:t>
      </w:r>
    </w:p>
    <w:p w14:paraId="2E98DA3C" w14:textId="77777777" w:rsidR="005B3072" w:rsidRDefault="00A46913">
      <w:pPr>
        <w:numPr>
          <w:ilvl w:val="1"/>
          <w:numId w:val="43"/>
        </w:numPr>
        <w:shd w:val="clear" w:color="auto" w:fill="FFFFFF"/>
        <w:spacing w:after="0" w:line="276" w:lineRule="auto"/>
        <w:jc w:val="both"/>
        <w:rPr>
          <w:sz w:val="24"/>
          <w:szCs w:val="24"/>
        </w:rPr>
      </w:pPr>
      <w:r>
        <w:rPr>
          <w:sz w:val="24"/>
          <w:szCs w:val="24"/>
        </w:rPr>
        <w:t xml:space="preserve">potvrda koje izdaju izabrani doktori (trenutno 2 vrste potvrda koje izdaje izabrani doktor za djecu: Opravdanje izostanka iz vrtića i Dokazivanje sposobnosti za nastavu fizičkog vaspitanja),  </w:t>
      </w:r>
    </w:p>
    <w:p w14:paraId="38F8F2F0" w14:textId="77777777" w:rsidR="005B3072" w:rsidRDefault="00A46913">
      <w:pPr>
        <w:numPr>
          <w:ilvl w:val="1"/>
          <w:numId w:val="43"/>
        </w:numPr>
        <w:shd w:val="clear" w:color="auto" w:fill="FFFFFF"/>
        <w:spacing w:after="0" w:line="276" w:lineRule="auto"/>
        <w:jc w:val="both"/>
        <w:rPr>
          <w:sz w:val="24"/>
          <w:szCs w:val="24"/>
        </w:rPr>
      </w:pPr>
      <w:r>
        <w:rPr>
          <w:sz w:val="24"/>
          <w:szCs w:val="24"/>
        </w:rPr>
        <w:t>bolovanja (produženja otvorenog bolovanja), prema privremenim mjerama i odlukama nadležnog tijela za borbu protiv širenja infekcije COVID-19 (trenutno je deaktiviran).</w:t>
      </w:r>
    </w:p>
    <w:p w14:paraId="418CA213" w14:textId="77777777" w:rsidR="005B3072" w:rsidRDefault="00A46913">
      <w:pPr>
        <w:numPr>
          <w:ilvl w:val="0"/>
          <w:numId w:val="43"/>
        </w:numPr>
        <w:spacing w:after="0" w:line="276" w:lineRule="auto"/>
        <w:jc w:val="both"/>
        <w:rPr>
          <w:sz w:val="24"/>
          <w:szCs w:val="24"/>
        </w:rPr>
      </w:pPr>
      <w:r>
        <w:rPr>
          <w:sz w:val="24"/>
          <w:szCs w:val="24"/>
        </w:rPr>
        <w:t>eOsiguranje - elektronski servis koji omogućava građanima (osiguranicima) uvid u status njihovog zdravstvenog osiguranja.</w:t>
      </w:r>
    </w:p>
    <w:p w14:paraId="4B329848" w14:textId="77777777" w:rsidR="005B3072" w:rsidRDefault="00A46913">
      <w:pPr>
        <w:numPr>
          <w:ilvl w:val="0"/>
          <w:numId w:val="43"/>
        </w:numPr>
        <w:spacing w:after="0" w:line="276" w:lineRule="auto"/>
        <w:jc w:val="both"/>
        <w:rPr>
          <w:sz w:val="24"/>
          <w:szCs w:val="24"/>
        </w:rPr>
      </w:pPr>
      <w:r>
        <w:rPr>
          <w:sz w:val="24"/>
          <w:szCs w:val="24"/>
        </w:rPr>
        <w:t>eRecept - elektronski servis koji omogućava pacijentima uvid u propisane i realizovane recepte uz korišćenje naprednih tehnologija i uređaja (PC, SmartPhone, Tablet uređaji i slično).</w:t>
      </w:r>
    </w:p>
    <w:p w14:paraId="6F08D2C7" w14:textId="77777777" w:rsidR="005B3072" w:rsidRDefault="00A46913">
      <w:pPr>
        <w:numPr>
          <w:ilvl w:val="0"/>
          <w:numId w:val="43"/>
        </w:numPr>
        <w:spacing w:after="0" w:line="276" w:lineRule="auto"/>
        <w:jc w:val="both"/>
        <w:rPr>
          <w:sz w:val="24"/>
          <w:szCs w:val="24"/>
        </w:rPr>
      </w:pPr>
      <w:r>
        <w:rPr>
          <w:sz w:val="24"/>
          <w:szCs w:val="24"/>
        </w:rPr>
        <w:t>eZakazivanje - servis za online zakazivanje posjeta kod izabranih doktora u domovima zdravlja (izabrani doktor za odrasle, izabrani doktor za žene i izabrani doktor za djecu).</w:t>
      </w:r>
    </w:p>
    <w:p w14:paraId="408B0737" w14:textId="77777777" w:rsidR="005B3072" w:rsidRDefault="00A46913">
      <w:pPr>
        <w:numPr>
          <w:ilvl w:val="0"/>
          <w:numId w:val="43"/>
        </w:numPr>
        <w:spacing w:after="0" w:line="276" w:lineRule="auto"/>
        <w:jc w:val="both"/>
        <w:rPr>
          <w:sz w:val="24"/>
          <w:szCs w:val="24"/>
        </w:rPr>
      </w:pPr>
      <w:r>
        <w:rPr>
          <w:sz w:val="24"/>
          <w:szCs w:val="24"/>
        </w:rPr>
        <w:t>Javne zdravstvene ustanove - servis koji objezbjeđuje spisak sa kontakt informacijama svih javnih zdravstvenih ustanova u zdravstvenom sistemu Crne Gore.</w:t>
      </w:r>
    </w:p>
    <w:p w14:paraId="30A0AA9D" w14:textId="77777777" w:rsidR="005B3072" w:rsidRDefault="00A46913">
      <w:pPr>
        <w:numPr>
          <w:ilvl w:val="0"/>
          <w:numId w:val="43"/>
        </w:numPr>
        <w:spacing w:after="0" w:line="276" w:lineRule="auto"/>
        <w:jc w:val="both"/>
        <w:rPr>
          <w:sz w:val="24"/>
          <w:szCs w:val="24"/>
        </w:rPr>
      </w:pPr>
      <w:r>
        <w:rPr>
          <w:sz w:val="24"/>
          <w:szCs w:val="24"/>
        </w:rPr>
        <w:t>Ljekarske komisije - servis koji omogućava pregled ljekarskih komisija po gradovima u Crnoj Gori.</w:t>
      </w:r>
    </w:p>
    <w:p w14:paraId="1EBE1683" w14:textId="77777777" w:rsidR="005B3072" w:rsidRDefault="00A46913">
      <w:pPr>
        <w:numPr>
          <w:ilvl w:val="0"/>
          <w:numId w:val="43"/>
        </w:numPr>
        <w:spacing w:after="0" w:line="276" w:lineRule="auto"/>
        <w:jc w:val="both"/>
        <w:rPr>
          <w:sz w:val="24"/>
          <w:szCs w:val="24"/>
        </w:rPr>
      </w:pPr>
      <w:r>
        <w:rPr>
          <w:sz w:val="24"/>
          <w:szCs w:val="24"/>
        </w:rPr>
        <w:t>Ljekovi - servis koji prikazuje listu ljekova koji se izdaju na recepti i ljekove koji se upotrebljavaju u zdravstvenim ustanovama.</w:t>
      </w:r>
    </w:p>
    <w:p w14:paraId="7D727262" w14:textId="77777777" w:rsidR="005B3072" w:rsidRDefault="00A46913">
      <w:pPr>
        <w:numPr>
          <w:ilvl w:val="0"/>
          <w:numId w:val="43"/>
        </w:numPr>
        <w:spacing w:after="0" w:line="276" w:lineRule="auto"/>
        <w:jc w:val="both"/>
        <w:rPr>
          <w:sz w:val="24"/>
          <w:szCs w:val="24"/>
        </w:rPr>
      </w:pPr>
      <w:r>
        <w:rPr>
          <w:sz w:val="24"/>
          <w:szCs w:val="24"/>
        </w:rPr>
        <w:t>Privatne zdravstvene ustanove - servis koji objezbjeđuje spisak sa kontakt informacijama privatnih zdravstvenih ustanova sa kojima Fond ima zaključen Ugovor o pružanju usluga.</w:t>
      </w:r>
    </w:p>
    <w:p w14:paraId="2A9B0ECB"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Portal eZdravlje u 2021. godini pruža 9 usluga što je povećanje u odnosu na 2020. godinu za 5 usluga (Digital agenda observatory, 2020</w:t>
      </w:r>
      <w:r>
        <w:rPr>
          <w:color w:val="000000"/>
          <w:sz w:val="24"/>
          <w:szCs w:val="24"/>
          <w:vertAlign w:val="superscript"/>
        </w:rPr>
        <w:footnoteReference w:id="49"/>
      </w:r>
      <w:r>
        <w:rPr>
          <w:color w:val="000000"/>
          <w:sz w:val="24"/>
          <w:szCs w:val="24"/>
          <w:vertAlign w:val="superscript"/>
        </w:rPr>
        <w:t>,</w:t>
      </w:r>
      <w:r>
        <w:rPr>
          <w:sz w:val="24"/>
          <w:szCs w:val="24"/>
        </w:rPr>
        <w:t xml:space="preserve"> UNDP).</w:t>
      </w:r>
    </w:p>
    <w:p w14:paraId="19933885" w14:textId="77777777" w:rsidR="005B3072" w:rsidRDefault="00A46913">
      <w:pPr>
        <w:spacing w:before="240" w:after="240"/>
        <w:jc w:val="both"/>
        <w:rPr>
          <w:sz w:val="24"/>
          <w:szCs w:val="24"/>
        </w:rPr>
      </w:pPr>
      <w:r>
        <w:rPr>
          <w:sz w:val="24"/>
          <w:szCs w:val="24"/>
        </w:rPr>
        <w:lastRenderedPageBreak/>
        <w:t>U periodu između februara i maja 2020. godine na portal eZdravlje zabilježen je visok porast upotrebe elektronskih usluga. Riječ je o periodu pandemije i blokade izazvane virusom COVID-19, ali je potom, gotovo kod svih elektronskih usluga, uslijedio pad u korišćenju skoro do nivoa koji je bio prije pandemije.</w:t>
      </w:r>
    </w:p>
    <w:p w14:paraId="3FEC17B0" w14:textId="77777777" w:rsidR="005B3072" w:rsidRDefault="00A46913">
      <w:pPr>
        <w:spacing w:before="240" w:after="240"/>
        <w:jc w:val="both"/>
        <w:rPr>
          <w:sz w:val="24"/>
          <w:szCs w:val="24"/>
        </w:rPr>
      </w:pPr>
      <w:r>
        <w:rPr>
          <w:sz w:val="24"/>
          <w:szCs w:val="24"/>
        </w:rPr>
        <w:t>Izuzimajući period COVID-19 pandemije, analiza pokazuje da građani najviše koriste servis eZakazivanje, dok se svi ostali servisi značajno manje koriste. Najmanje korišćen servis od strane građana je eOsiguranje. Rezultati testiranja e-usluga (Nacionalni izvještaj i plan za unapređenje Digitalne agende Crne Gore, 2021</w:t>
      </w:r>
      <w:r>
        <w:rPr>
          <w:sz w:val="24"/>
          <w:szCs w:val="24"/>
          <w:vertAlign w:val="superscript"/>
        </w:rPr>
        <w:footnoteReference w:id="50"/>
      </w:r>
      <w:r>
        <w:rPr>
          <w:sz w:val="24"/>
          <w:szCs w:val="24"/>
        </w:rPr>
        <w:t>) pokazuju probleme u servisu eZakazivanje – građani ne dobijaju notifikacije ukoliko nakon online zakazivanja dođe do promjene u rasporedu doktora, tako da se često dešava da, i pored unaprijed online zakazanog termina, građani čekaju. Aplikacija ima problem zbog neusklađenosti smjena doktora sa terminima zakazivanja kao i u slučajevima kad doktor ode na bolovanje ili sl., što doprinosi da građani stiču nepovjerenje u online servise.  </w:t>
      </w:r>
    </w:p>
    <w:p w14:paraId="5F559ED1" w14:textId="77777777" w:rsidR="005B3072" w:rsidRDefault="00A46913">
      <w:pPr>
        <w:pStyle w:val="Heading3"/>
        <w:spacing w:after="240"/>
        <w:rPr>
          <w:b/>
          <w:i/>
          <w:color w:val="2E75B5"/>
        </w:rPr>
      </w:pPr>
      <w:bookmarkStart w:id="20" w:name="_3j2qqm3" w:colFirst="0" w:colLast="0"/>
      <w:bookmarkEnd w:id="20"/>
      <w:r>
        <w:rPr>
          <w:b/>
          <w:i/>
          <w:color w:val="2E75B5"/>
        </w:rPr>
        <w:t>e-Poslovanje </w:t>
      </w:r>
    </w:p>
    <w:p w14:paraId="72BA96A2"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Tokom perioda implementacije Strategije razvoja informacionog društva 2016-2020 u oblasti e-Poslovanja sprovedene su aktivnosti koje su imale za cilj promovisanje i unapređenje poslovanja u digitalnom okruženju, kako bi se crnogorska privreda digitalno transformisala. U okviru ovog strateškog cilja definisana su </w:t>
      </w:r>
      <w:r>
        <w:rPr>
          <w:b/>
          <w:color w:val="000000"/>
          <w:sz w:val="24"/>
          <w:szCs w:val="24"/>
        </w:rPr>
        <w:t>četiri operativna cilja: </w:t>
      </w:r>
    </w:p>
    <w:p w14:paraId="7B31B577" w14:textId="77777777" w:rsidR="005B3072" w:rsidRDefault="00A46913">
      <w:pPr>
        <w:numPr>
          <w:ilvl w:val="0"/>
          <w:numId w:val="11"/>
        </w:numPr>
        <w:pBdr>
          <w:top w:val="nil"/>
          <w:left w:val="nil"/>
          <w:bottom w:val="nil"/>
          <w:right w:val="nil"/>
          <w:between w:val="nil"/>
        </w:pBdr>
        <w:spacing w:after="0" w:line="276" w:lineRule="auto"/>
        <w:ind w:right="-35"/>
        <w:jc w:val="both"/>
        <w:rPr>
          <w:color w:val="000000"/>
          <w:sz w:val="24"/>
          <w:szCs w:val="24"/>
        </w:rPr>
      </w:pPr>
      <w:r>
        <w:rPr>
          <w:color w:val="000000"/>
          <w:sz w:val="24"/>
          <w:szCs w:val="24"/>
        </w:rPr>
        <w:t>Podizanje svijesti o značaju i prednostima e-Poslovanja, </w:t>
      </w:r>
    </w:p>
    <w:p w14:paraId="3D0B96BC" w14:textId="77777777" w:rsidR="005B3072" w:rsidRDefault="00A46913">
      <w:pPr>
        <w:numPr>
          <w:ilvl w:val="0"/>
          <w:numId w:val="11"/>
        </w:numPr>
        <w:pBdr>
          <w:top w:val="nil"/>
          <w:left w:val="nil"/>
          <w:bottom w:val="nil"/>
          <w:right w:val="nil"/>
          <w:between w:val="nil"/>
        </w:pBdr>
        <w:spacing w:after="0" w:line="276" w:lineRule="auto"/>
        <w:ind w:right="-35"/>
        <w:jc w:val="both"/>
        <w:rPr>
          <w:color w:val="000000"/>
          <w:sz w:val="24"/>
          <w:szCs w:val="24"/>
        </w:rPr>
      </w:pPr>
      <w:r>
        <w:rPr>
          <w:color w:val="000000"/>
          <w:sz w:val="24"/>
          <w:szCs w:val="24"/>
        </w:rPr>
        <w:t>Unapređenje zakonodavnog okvira - u smislu usaglašavanja zakonodavstva u cilju pune primjene e-Poslovanja, </w:t>
      </w:r>
    </w:p>
    <w:p w14:paraId="00A2718F" w14:textId="77777777" w:rsidR="005B3072" w:rsidRDefault="00A46913">
      <w:pPr>
        <w:numPr>
          <w:ilvl w:val="0"/>
          <w:numId w:val="11"/>
        </w:numPr>
        <w:pBdr>
          <w:top w:val="nil"/>
          <w:left w:val="nil"/>
          <w:bottom w:val="nil"/>
          <w:right w:val="nil"/>
          <w:between w:val="nil"/>
        </w:pBdr>
        <w:spacing w:after="0" w:line="276" w:lineRule="auto"/>
        <w:ind w:right="-35"/>
        <w:jc w:val="both"/>
        <w:rPr>
          <w:color w:val="000000"/>
          <w:sz w:val="24"/>
          <w:szCs w:val="24"/>
        </w:rPr>
      </w:pPr>
      <w:r>
        <w:rPr>
          <w:color w:val="000000"/>
          <w:sz w:val="24"/>
          <w:szCs w:val="24"/>
        </w:rPr>
        <w:t>Podsticaj kompanijama za prelazak na e-Poslovanje i </w:t>
      </w:r>
    </w:p>
    <w:p w14:paraId="72EB2475" w14:textId="77777777" w:rsidR="005B3072" w:rsidRDefault="00A46913">
      <w:pPr>
        <w:numPr>
          <w:ilvl w:val="0"/>
          <w:numId w:val="11"/>
        </w:numPr>
        <w:pBdr>
          <w:top w:val="nil"/>
          <w:left w:val="nil"/>
          <w:bottom w:val="nil"/>
          <w:right w:val="nil"/>
          <w:between w:val="nil"/>
        </w:pBdr>
        <w:spacing w:after="240" w:line="276" w:lineRule="auto"/>
        <w:ind w:right="-35"/>
        <w:jc w:val="both"/>
        <w:rPr>
          <w:color w:val="000000"/>
          <w:sz w:val="24"/>
          <w:szCs w:val="24"/>
        </w:rPr>
      </w:pPr>
      <w:r>
        <w:rPr>
          <w:color w:val="000000"/>
          <w:sz w:val="24"/>
          <w:szCs w:val="24"/>
        </w:rPr>
        <w:t>Unapređenje e-Poslovanja sa 8 aktivnosti koje su obuhvatale 14 podaktivnosti. </w:t>
      </w:r>
    </w:p>
    <w:p w14:paraId="41E28E7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Nosilac aktivnosti u ovoj oblasti je bila Privredna Komora Crne Gore koja je tokom 2020. godine sprovela istraživanje o barijerama u e-Poslovanju, čiji su rezultati dostavljeni Savjetu za konkurentnost. Na ovaj način upućena je inicijativa za usaglašavaje zakonodavnog okvira u smislu usaglašavanja zakonodavstva u cilju pune primjene e-Poslovanja. U prethodnom periodu najveći broj aktivnosti odnosio se na podizanje svijesti o mogućnostima e-Poslovanja, održan je veliki broj okruglih stolova, radionica, promocija i sl. na temu e-Poslovanja, e-Trgovine, Cloud servisa, otvorenih podataka, bezbjednosti na internetu i sl. Međutim, i pored svih aktivnosti, očekivani rezultati nijesu postignuti.</w:t>
      </w:r>
    </w:p>
    <w:p w14:paraId="2B80819D"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Predstavnici javne uprave, akademske zajednice, udruženja privrednika i IT sektora saglasni su u mišljenju da je u ovom trenutku digitalizacija poslovanja prioritetan faktor ekonomskog rasta privrede dok, sa druge strane, među njima postoji saglasnost i da je digitalizacija privrede u Crnoj Gori uglavnom na niskom nivou (Ipsos Public Affairs</w:t>
      </w:r>
      <w:r>
        <w:rPr>
          <w:sz w:val="24"/>
          <w:szCs w:val="24"/>
        </w:rPr>
        <w:t>,</w:t>
      </w:r>
      <w:r>
        <w:rPr>
          <w:color w:val="000000"/>
          <w:sz w:val="24"/>
          <w:szCs w:val="24"/>
        </w:rPr>
        <w:t xml:space="preserve"> IKT kao pokretač daljeg razvoja </w:t>
      </w:r>
      <w:r>
        <w:rPr>
          <w:sz w:val="24"/>
          <w:szCs w:val="24"/>
        </w:rPr>
        <w:t>Crne Gore</w:t>
      </w:r>
      <w:r>
        <w:rPr>
          <w:sz w:val="24"/>
          <w:szCs w:val="24"/>
          <w:vertAlign w:val="superscript"/>
        </w:rPr>
        <w:footnoteReference w:id="51"/>
      </w:r>
      <w:r>
        <w:rPr>
          <w:sz w:val="24"/>
          <w:szCs w:val="24"/>
        </w:rPr>
        <w:t xml:space="preserve"> istraživanje koje je sprovedeno za </w:t>
      </w:r>
      <w:r>
        <w:rPr>
          <w:sz w:val="24"/>
          <w:szCs w:val="24"/>
        </w:rPr>
        <w:lastRenderedPageBreak/>
        <w:t>potrebe kancelarije Programa Ujedinjenih nacija za razvoj)</w:t>
      </w:r>
      <w:r>
        <w:rPr>
          <w:color w:val="000000"/>
          <w:sz w:val="24"/>
          <w:szCs w:val="24"/>
        </w:rPr>
        <w:t xml:space="preserve">. Ocjene predstavnika preduzeća o stanju digitalnih vještina zaposlenih u njihovim preduzećima, </w:t>
      </w:r>
      <w:r>
        <w:rPr>
          <w:sz w:val="24"/>
          <w:szCs w:val="24"/>
        </w:rPr>
        <w:t>potvrđuju</w:t>
      </w:r>
      <w:r>
        <w:rPr>
          <w:color w:val="000000"/>
          <w:sz w:val="24"/>
          <w:szCs w:val="24"/>
        </w:rPr>
        <w:t xml:space="preserve"> generalne stavove o problemu digitalne pismenosti na tržištu rada. Tek nešto više od trećine predstavnika preduzeća, 35%, ocjenilo je da zaposleni koji rade na poslovima gdje su digitalne vještine potrebne, imaju dovoljno visok nivo vještina da u potpunosti efikasno obavljaju svoj posao, dok je u 19% preduzeća digitalna pismenost zaposlenih ocijenjena kao vrlo dobra. Istraživanje ukazuje da su razlozi za ovakvo stanje:</w:t>
      </w:r>
    </w:p>
    <w:p w14:paraId="7BF92CB6" w14:textId="77777777" w:rsidR="005B3072" w:rsidRDefault="00A46913">
      <w:pPr>
        <w:numPr>
          <w:ilvl w:val="0"/>
          <w:numId w:val="52"/>
        </w:numPr>
        <w:pBdr>
          <w:top w:val="nil"/>
          <w:left w:val="nil"/>
          <w:bottom w:val="nil"/>
          <w:right w:val="nil"/>
          <w:between w:val="nil"/>
        </w:pBdr>
        <w:spacing w:before="240" w:after="0" w:line="276" w:lineRule="auto"/>
        <w:ind w:right="-35"/>
        <w:jc w:val="both"/>
        <w:rPr>
          <w:color w:val="000000"/>
          <w:sz w:val="24"/>
          <w:szCs w:val="24"/>
        </w:rPr>
      </w:pPr>
      <w:r>
        <w:rPr>
          <w:color w:val="000000"/>
          <w:sz w:val="24"/>
          <w:szCs w:val="24"/>
        </w:rPr>
        <w:t>Nedostatak svijesti privrednika o značaju digitalizacije - među privrednicima još uvijek ne postoji potpuno razumijevanje dobiti koje digitalizacija donosi. U velikom broju, prije svega malih preduzeća, na ulaganje u informaciono-komunikacione tehnologije i dalje se gleda kao na dodatni trošak, a ne kao na investiciju za unapređenje poslovanja.</w:t>
      </w:r>
    </w:p>
    <w:p w14:paraId="213549AA" w14:textId="77777777" w:rsidR="005B3072" w:rsidRDefault="00A46913">
      <w:pPr>
        <w:numPr>
          <w:ilvl w:val="0"/>
          <w:numId w:val="52"/>
        </w:numPr>
        <w:pBdr>
          <w:top w:val="nil"/>
          <w:left w:val="nil"/>
          <w:bottom w:val="nil"/>
          <w:right w:val="nil"/>
          <w:between w:val="nil"/>
        </w:pBdr>
        <w:spacing w:after="240" w:line="276" w:lineRule="auto"/>
        <w:ind w:right="-35"/>
        <w:jc w:val="both"/>
        <w:rPr>
          <w:color w:val="000000"/>
          <w:sz w:val="24"/>
          <w:szCs w:val="24"/>
        </w:rPr>
      </w:pPr>
      <w:r>
        <w:rPr>
          <w:color w:val="000000"/>
          <w:sz w:val="24"/>
          <w:szCs w:val="24"/>
        </w:rPr>
        <w:t>Finansijski razlozi - digitalizacija zahtijeva ulaganja na koja firme, prije svega male, ni</w:t>
      </w:r>
      <w:r>
        <w:rPr>
          <w:sz w:val="24"/>
          <w:szCs w:val="24"/>
        </w:rPr>
        <w:t>je</w:t>
      </w:r>
      <w:r>
        <w:rPr>
          <w:color w:val="000000"/>
          <w:sz w:val="24"/>
          <w:szCs w:val="24"/>
        </w:rPr>
        <w:t>su spremne.</w:t>
      </w:r>
    </w:p>
    <w:p w14:paraId="1457C8DD"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Kada se, međutim, posmatraju faktori ocijenjeni kao velike prepreke od strane IT sektora, u prvi plan dolaze oni koji su vezani za problem ljudskih resursa, a slijedi ih nedostatak finansijskih mogućnosti preduzeća da investiraju u viši nivo digitalizacije poslovanja. Tek svaki četvrti ispitanik nedovoljnu svijest privrednika vidi kao veliku prepreku.</w:t>
      </w:r>
    </w:p>
    <w:p w14:paraId="06C1926B"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Novi regulatorni okvir, prije svega Zakon o fiskalizaciji u prometu proizvoda i usluga (“Službeni list Crne Gore”, br.​​ 46/19,​ 73/19​​ i​​ 8/21) koji se primjenjuje od januara 2021. godine uz predstojeće promjene na kojima se već radi (elektronska identifikacija) omogućiće da proces prodaje usluga, aktivacije dodatnih i novih usluga i servisa, isporuke računa i plaćanja bude digitalizovan od početka do kraja. </w:t>
      </w:r>
    </w:p>
    <w:p w14:paraId="4B1AB4F7" w14:textId="77777777" w:rsidR="005B3072" w:rsidRDefault="00A46913">
      <w:pPr>
        <w:pBdr>
          <w:top w:val="nil"/>
          <w:left w:val="nil"/>
          <w:bottom w:val="nil"/>
          <w:right w:val="nil"/>
          <w:between w:val="nil"/>
        </w:pBdr>
        <w:spacing w:before="240" w:after="240"/>
        <w:ind w:right="-35"/>
        <w:jc w:val="both"/>
        <w:rPr>
          <w:color w:val="000000"/>
          <w:sz w:val="24"/>
          <w:szCs w:val="24"/>
        </w:rPr>
      </w:pPr>
      <w:r>
        <w:rPr>
          <w:color w:val="000000"/>
          <w:sz w:val="24"/>
          <w:szCs w:val="24"/>
        </w:rPr>
        <w:t>Savjet Stranih investitora je u Bijeloj knjizi 2020</w:t>
      </w:r>
      <w:r>
        <w:rPr>
          <w:color w:val="000000"/>
          <w:sz w:val="24"/>
          <w:szCs w:val="24"/>
          <w:vertAlign w:val="superscript"/>
        </w:rPr>
        <w:footnoteReference w:id="52"/>
      </w:r>
      <w:r>
        <w:rPr>
          <w:color w:val="000000"/>
          <w:sz w:val="24"/>
          <w:szCs w:val="24"/>
        </w:rPr>
        <w:t xml:space="preserve"> definisao ključne preporuke za potpunu realizaciju digitalnog poslovanja</w:t>
      </w:r>
      <w:r>
        <w:rPr>
          <w:sz w:val="24"/>
          <w:szCs w:val="24"/>
        </w:rPr>
        <w:t>:</w:t>
      </w:r>
    </w:p>
    <w:p w14:paraId="5A9D3402" w14:textId="77777777" w:rsidR="005B3072" w:rsidRDefault="00A46913">
      <w:pPr>
        <w:numPr>
          <w:ilvl w:val="0"/>
          <w:numId w:val="19"/>
        </w:numPr>
        <w:pBdr>
          <w:top w:val="nil"/>
          <w:left w:val="nil"/>
          <w:bottom w:val="nil"/>
          <w:right w:val="nil"/>
          <w:between w:val="nil"/>
        </w:pBdr>
        <w:spacing w:before="60" w:after="60" w:line="276" w:lineRule="auto"/>
        <w:jc w:val="both"/>
        <w:rPr>
          <w:b/>
          <w:color w:val="000000"/>
          <w:sz w:val="24"/>
          <w:szCs w:val="24"/>
        </w:rPr>
      </w:pPr>
      <w:bookmarkStart w:id="21" w:name="_1y810tw" w:colFirst="0" w:colLast="0"/>
      <w:bookmarkEnd w:id="21"/>
      <w:r>
        <w:rPr>
          <w:b/>
          <w:color w:val="000000"/>
          <w:sz w:val="24"/>
          <w:szCs w:val="24"/>
        </w:rPr>
        <w:t xml:space="preserve">Digitalna komunikacija sa korisnicima – bez šaltera/ posrednika - </w:t>
      </w:r>
      <w:r>
        <w:rPr>
          <w:color w:val="000000"/>
          <w:sz w:val="24"/>
          <w:szCs w:val="24"/>
        </w:rPr>
        <w:t>Prema postojećem Zakonu o elektronskim komunikacijama, operatori elektronskih komunikacija međusobna prava i obaveze sa korisnikom uređuju pisanim ugovorom. Odgovarajućim izmjenama postojećeg zakonskog rješenja treba obezbijediti mogućnost digitalne interakcije bez papira koja bi se zasnivala na korišćenju eID-a (sadržan u novoj ličnoj karti). Ovo bi u omogućilo krajnjim korisnicima da se trenutno spora i komplikovana procedura čekanja u redovima, za potpisivanja ugovora, promjene paketa, kupovine i sl. znatno pojednostavi i olakša što bi doprinijelo i popularizaciji upotrebe eID-a. Isto tako, elektronske metode dostavljanja računa (putem SMS, slanjem linka za preuzimanje računa, preuzimanje računa iz mobilne aplikacije operatera itd.) moraju imati jednak tretman kao i dostavljanje računa u papirnoj formi. Iako Zakon o elektronskim komunikacijama nije u nadležnosti Ministarstva javne uprave, digitalnog društva i medija, za potpunu realizaciju digitalnog načina poslovanja, neophodne su izmjene ovog Zakona.</w:t>
      </w:r>
    </w:p>
    <w:p w14:paraId="5BE1071E" w14:textId="77777777" w:rsidR="005B3072" w:rsidRDefault="00A46913">
      <w:pPr>
        <w:numPr>
          <w:ilvl w:val="0"/>
          <w:numId w:val="19"/>
        </w:numPr>
        <w:pBdr>
          <w:top w:val="nil"/>
          <w:left w:val="nil"/>
          <w:bottom w:val="nil"/>
          <w:right w:val="nil"/>
          <w:between w:val="nil"/>
        </w:pBdr>
        <w:spacing w:before="60" w:after="60" w:line="276" w:lineRule="auto"/>
        <w:jc w:val="both"/>
        <w:rPr>
          <w:color w:val="000000"/>
          <w:sz w:val="24"/>
          <w:szCs w:val="24"/>
        </w:rPr>
      </w:pPr>
      <w:r>
        <w:rPr>
          <w:b/>
          <w:color w:val="000000"/>
          <w:sz w:val="24"/>
          <w:szCs w:val="24"/>
        </w:rPr>
        <w:lastRenderedPageBreak/>
        <w:t xml:space="preserve">Digitalna komunikacija sa javnim institucijama - </w:t>
      </w:r>
      <w:r>
        <w:rPr>
          <w:color w:val="000000"/>
          <w:sz w:val="24"/>
          <w:szCs w:val="24"/>
        </w:rPr>
        <w:t>Imajući u vidu već pomenuti pravni regulatorni okvir iz Zakona o elektronskoj identifikaciji i elektronskom potpisu, neophodno je, preko portala e-</w:t>
      </w:r>
      <w:r>
        <w:rPr>
          <w:sz w:val="24"/>
          <w:szCs w:val="24"/>
        </w:rPr>
        <w:t>u</w:t>
      </w:r>
      <w:r>
        <w:rPr>
          <w:color w:val="000000"/>
          <w:sz w:val="24"/>
          <w:szCs w:val="24"/>
        </w:rPr>
        <w:t>prave, omogućiti preuzimanje potrebnih dokumenata za prijavu za različite javne tendere, kao što su potvrde, izvodi itd. koji bi naravno bili elektronski potpisani od strane odgovarajućeg organa u skladu sa Zakonom o elektronskom dokumentu. Skeniranje zahtijeva puno vremena i stvara nepotrebnu birokratiju i papirologiju.</w:t>
      </w:r>
    </w:p>
    <w:p w14:paraId="62DAF44B" w14:textId="77777777" w:rsidR="005B3072" w:rsidRDefault="00A46913">
      <w:pPr>
        <w:pBdr>
          <w:top w:val="nil"/>
          <w:left w:val="nil"/>
          <w:bottom w:val="nil"/>
          <w:right w:val="nil"/>
          <w:between w:val="nil"/>
        </w:pBdr>
        <w:spacing w:before="60" w:after="60"/>
        <w:ind w:left="720"/>
        <w:jc w:val="both"/>
        <w:rPr>
          <w:color w:val="000000"/>
          <w:sz w:val="24"/>
          <w:szCs w:val="24"/>
        </w:rPr>
      </w:pPr>
      <w:r>
        <w:rPr>
          <w:color w:val="000000"/>
          <w:sz w:val="24"/>
          <w:szCs w:val="24"/>
        </w:rPr>
        <w:t>Podnošenje zahtjeva za izgradnju i održavanje mreže bila bi još jedna usluga koju treba omogućiti online.</w:t>
      </w:r>
    </w:p>
    <w:p w14:paraId="04DADEC1" w14:textId="77777777" w:rsidR="005B3072" w:rsidRDefault="00A46913">
      <w:pPr>
        <w:numPr>
          <w:ilvl w:val="0"/>
          <w:numId w:val="19"/>
        </w:numPr>
        <w:pBdr>
          <w:top w:val="nil"/>
          <w:left w:val="nil"/>
          <w:bottom w:val="nil"/>
          <w:right w:val="nil"/>
          <w:between w:val="nil"/>
        </w:pBdr>
        <w:spacing w:before="60" w:after="60" w:line="276" w:lineRule="auto"/>
        <w:jc w:val="both"/>
        <w:rPr>
          <w:b/>
          <w:color w:val="000000"/>
          <w:sz w:val="24"/>
          <w:szCs w:val="24"/>
        </w:rPr>
      </w:pPr>
      <w:r>
        <w:rPr>
          <w:b/>
          <w:color w:val="000000"/>
          <w:sz w:val="24"/>
          <w:szCs w:val="24"/>
        </w:rPr>
        <w:t xml:space="preserve">Razmjena podataka o Nacionalnom identifikacionom broju - </w:t>
      </w:r>
      <w:r>
        <w:rPr>
          <w:color w:val="000000"/>
          <w:sz w:val="24"/>
          <w:szCs w:val="24"/>
        </w:rPr>
        <w:t>Nacionalni identifikacioni broj (NIB), koji je uveden istovremeno sa novim ličnim kartama, rješava problem koji pružaoci usluga imaju u smislu identifikacije svojih kupaca, a sa druge strane osigurava zaštitu ličnih podataka. To nije slučaj sa JMB jer pored toga, JMB nije podatak koji se obavezno registruje. Međutim, u ovom procesu prepoznata su dva problema:</w:t>
      </w:r>
    </w:p>
    <w:p w14:paraId="5BA04F1B" w14:textId="77777777" w:rsidR="005B3072" w:rsidRDefault="00A46913">
      <w:pPr>
        <w:numPr>
          <w:ilvl w:val="0"/>
          <w:numId w:val="49"/>
        </w:numPr>
        <w:pBdr>
          <w:top w:val="nil"/>
          <w:left w:val="nil"/>
          <w:bottom w:val="nil"/>
          <w:right w:val="nil"/>
          <w:between w:val="nil"/>
        </w:pBdr>
        <w:spacing w:before="60" w:after="0" w:line="276" w:lineRule="auto"/>
        <w:jc w:val="both"/>
        <w:rPr>
          <w:color w:val="000000"/>
          <w:sz w:val="24"/>
          <w:szCs w:val="24"/>
        </w:rPr>
      </w:pPr>
      <w:r>
        <w:rPr>
          <w:color w:val="000000"/>
          <w:sz w:val="24"/>
          <w:szCs w:val="24"/>
        </w:rPr>
        <w:t>Svijest građana koji je njihov NIB (nacionalni identifikacioni broj) - pošto nije odštampan na ličnoj karti; </w:t>
      </w:r>
    </w:p>
    <w:p w14:paraId="3007931B" w14:textId="77777777" w:rsidR="005B3072" w:rsidRDefault="00A46913">
      <w:pPr>
        <w:numPr>
          <w:ilvl w:val="0"/>
          <w:numId w:val="49"/>
        </w:numPr>
        <w:pBdr>
          <w:top w:val="nil"/>
          <w:left w:val="nil"/>
          <w:bottom w:val="nil"/>
          <w:right w:val="nil"/>
          <w:between w:val="nil"/>
        </w:pBdr>
        <w:spacing w:after="60"/>
        <w:jc w:val="both"/>
        <w:rPr>
          <w:color w:val="000000"/>
          <w:sz w:val="24"/>
          <w:szCs w:val="24"/>
        </w:rPr>
      </w:pPr>
      <w:r>
        <w:rPr>
          <w:color w:val="000000"/>
          <w:sz w:val="24"/>
          <w:szCs w:val="24"/>
        </w:rPr>
        <w:t xml:space="preserve">Većina sistema u Crnoj Gori (organi javne uprave, banke itd.) i dalje se baziraju na JMB kao jedinom nepromjenjivom podatku koji jednoznačno identifikuje osobu. Organizovanjem razmjene podataka sa Ministarstvom unutrašnjih poslova (MUP) omogućilo bi se da kompanije automatski dobiju podatak o NIB korisnika uparivanjem sa podacima iz aktuelnih verzija lične karte. </w:t>
      </w:r>
    </w:p>
    <w:p w14:paraId="2DA3338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Kada je riječ o ulugama e-Bankarstva, za punu implementaciju kao i podršku razvoju e-Poslovanja, potrebni su određeni regulatorni i tehnološki faktori, među kojima se, kao najvažniji, izdvajaju sljedeći:</w:t>
      </w:r>
    </w:p>
    <w:p w14:paraId="68FD594C" w14:textId="77777777" w:rsidR="005B3072" w:rsidRDefault="00A46913">
      <w:pPr>
        <w:numPr>
          <w:ilvl w:val="0"/>
          <w:numId w:val="30"/>
        </w:numPr>
        <w:pBdr>
          <w:top w:val="nil"/>
          <w:left w:val="nil"/>
          <w:bottom w:val="nil"/>
          <w:right w:val="nil"/>
          <w:between w:val="nil"/>
        </w:pBdr>
        <w:spacing w:before="60" w:after="0" w:line="276" w:lineRule="auto"/>
        <w:jc w:val="both"/>
        <w:rPr>
          <w:color w:val="000000"/>
          <w:sz w:val="24"/>
          <w:szCs w:val="24"/>
        </w:rPr>
      </w:pPr>
      <w:r>
        <w:rPr>
          <w:color w:val="000000"/>
          <w:sz w:val="24"/>
          <w:szCs w:val="24"/>
        </w:rPr>
        <w:t>Regulatorne izmjene kako bi se podržala identifikacija kupaca i AML procedure putem mrežnih kanala (npr. video poziv);</w:t>
      </w:r>
    </w:p>
    <w:p w14:paraId="5A57B7D6" w14:textId="77777777" w:rsidR="005B3072" w:rsidRDefault="00A46913">
      <w:pPr>
        <w:numPr>
          <w:ilvl w:val="0"/>
          <w:numId w:val="30"/>
        </w:numPr>
        <w:pBdr>
          <w:top w:val="nil"/>
          <w:left w:val="nil"/>
          <w:bottom w:val="nil"/>
          <w:right w:val="nil"/>
          <w:between w:val="nil"/>
        </w:pBdr>
        <w:spacing w:after="0" w:line="276" w:lineRule="auto"/>
        <w:jc w:val="both"/>
        <w:rPr>
          <w:color w:val="000000"/>
          <w:sz w:val="24"/>
          <w:szCs w:val="24"/>
        </w:rPr>
      </w:pPr>
      <w:r>
        <w:rPr>
          <w:color w:val="000000"/>
          <w:sz w:val="24"/>
          <w:szCs w:val="24"/>
        </w:rPr>
        <w:t>Regulatorne izmjene koje podržavaju potpisivanje ugovora o zajmu putem e-</w:t>
      </w:r>
      <w:r>
        <w:rPr>
          <w:sz w:val="24"/>
          <w:szCs w:val="24"/>
        </w:rPr>
        <w:t>b</w:t>
      </w:r>
      <w:r>
        <w:rPr>
          <w:color w:val="000000"/>
          <w:sz w:val="24"/>
          <w:szCs w:val="24"/>
        </w:rPr>
        <w:t>ankinga - bez upotrebe kvalifikovanog digitalnog potpisa;</w:t>
      </w:r>
    </w:p>
    <w:p w14:paraId="723476EA" w14:textId="77777777" w:rsidR="005B3072" w:rsidRDefault="00A46913">
      <w:pPr>
        <w:numPr>
          <w:ilvl w:val="0"/>
          <w:numId w:val="30"/>
        </w:numPr>
        <w:pBdr>
          <w:top w:val="nil"/>
          <w:left w:val="nil"/>
          <w:bottom w:val="nil"/>
          <w:right w:val="nil"/>
          <w:between w:val="nil"/>
        </w:pBdr>
        <w:spacing w:after="0" w:line="276" w:lineRule="auto"/>
        <w:jc w:val="both"/>
        <w:rPr>
          <w:color w:val="000000"/>
          <w:sz w:val="24"/>
          <w:szCs w:val="24"/>
        </w:rPr>
      </w:pPr>
      <w:r>
        <w:rPr>
          <w:color w:val="000000"/>
          <w:sz w:val="24"/>
          <w:szCs w:val="24"/>
        </w:rPr>
        <w:t>Primjena eID-a i “Trust” usluga u zemlji (MobileID i digitalni potpisi);</w:t>
      </w:r>
    </w:p>
    <w:p w14:paraId="61C2D79B" w14:textId="77777777" w:rsidR="005B3072" w:rsidRDefault="00A46913">
      <w:pPr>
        <w:numPr>
          <w:ilvl w:val="0"/>
          <w:numId w:val="30"/>
        </w:numPr>
        <w:pBdr>
          <w:top w:val="nil"/>
          <w:left w:val="nil"/>
          <w:bottom w:val="nil"/>
          <w:right w:val="nil"/>
          <w:between w:val="nil"/>
        </w:pBdr>
        <w:spacing w:after="0" w:line="276" w:lineRule="auto"/>
        <w:jc w:val="both"/>
        <w:rPr>
          <w:color w:val="000000"/>
          <w:sz w:val="24"/>
          <w:szCs w:val="24"/>
        </w:rPr>
      </w:pPr>
      <w:r>
        <w:rPr>
          <w:color w:val="000000"/>
          <w:sz w:val="24"/>
          <w:szCs w:val="24"/>
        </w:rPr>
        <w:t>Produženje rada Kreditnog biroa CBCG na način da bude dostupan 24/7 (trenutno je dostupan od 8:00h do 20:00h, što uslovljava dostupnost online usluga kada je u pitanju kreditiranje);</w:t>
      </w:r>
    </w:p>
    <w:p w14:paraId="0AD64508" w14:textId="77777777" w:rsidR="005B3072" w:rsidRDefault="00A46913">
      <w:pPr>
        <w:numPr>
          <w:ilvl w:val="0"/>
          <w:numId w:val="30"/>
        </w:numPr>
        <w:pBdr>
          <w:top w:val="nil"/>
          <w:left w:val="nil"/>
          <w:bottom w:val="nil"/>
          <w:right w:val="nil"/>
          <w:between w:val="nil"/>
        </w:pBdr>
        <w:spacing w:after="60" w:line="276" w:lineRule="auto"/>
        <w:jc w:val="both"/>
        <w:rPr>
          <w:color w:val="000000"/>
          <w:sz w:val="24"/>
          <w:szCs w:val="24"/>
        </w:rPr>
      </w:pPr>
      <w:r>
        <w:rPr>
          <w:color w:val="000000"/>
          <w:sz w:val="24"/>
          <w:szCs w:val="24"/>
        </w:rPr>
        <w:t>Uprava prihoda Crne Gore i Fond PIO da učine dostupnim svoje registre podataka (kako bi banke i druga pravna lica mogli da integrišu svoje sisteme</w:t>
      </w:r>
      <w:r>
        <w:rPr>
          <w:sz w:val="24"/>
          <w:szCs w:val="24"/>
        </w:rPr>
        <w:t>).</w:t>
      </w:r>
    </w:p>
    <w:p w14:paraId="5922F0B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U Završnom izvještaju o implementaciji Strategije razvoja informacionog društva 2016–2020 koje je pripremilo MJUDDM</w:t>
      </w:r>
      <w:r>
        <w:rPr>
          <w:sz w:val="24"/>
          <w:szCs w:val="24"/>
        </w:rPr>
        <w:t>,</w:t>
      </w:r>
      <w:r>
        <w:rPr>
          <w:color w:val="000000"/>
          <w:sz w:val="24"/>
          <w:szCs w:val="24"/>
        </w:rPr>
        <w:t> navodi se da su najveći izazovi u realizaciji operativnih ciljeva bili nedovoljna zainteresovanost aktera (kako nadležnih institucija tako i privrede, od kojih se dobijaju značajne povratne informacije) kao i nedovoljna saradnja nadležnih institucija, u smislu iniciranja realizacije zacrtanih ciljeva. Primijećeno je da se na događajima koj</w:t>
      </w:r>
      <w:r>
        <w:rPr>
          <w:sz w:val="24"/>
          <w:szCs w:val="24"/>
        </w:rPr>
        <w:t>i</w:t>
      </w:r>
      <w:r>
        <w:rPr>
          <w:color w:val="000000"/>
          <w:sz w:val="24"/>
          <w:szCs w:val="24"/>
        </w:rPr>
        <w:t xml:space="preserve"> su organizovan</w:t>
      </w:r>
      <w:r>
        <w:rPr>
          <w:sz w:val="24"/>
          <w:szCs w:val="24"/>
        </w:rPr>
        <w:t>i</w:t>
      </w:r>
      <w:r>
        <w:rPr>
          <w:color w:val="000000"/>
          <w:sz w:val="24"/>
          <w:szCs w:val="24"/>
        </w:rPr>
        <w:t xml:space="preserve"> u cilju podizanja svijesti o značaju unapređenja svijesti o važnosti digitalne transformacije, kao i radionicama u cilju unapređenja digitalnih kompetencija, </w:t>
      </w:r>
      <w:r>
        <w:rPr>
          <w:color w:val="000000"/>
          <w:sz w:val="24"/>
          <w:szCs w:val="24"/>
        </w:rPr>
        <w:lastRenderedPageBreak/>
        <w:t>uglavnom delegiraju zaposleni koji su IT struke zanimanja. Još uvijek ne postoji kritična masa digitalno osviješćenih lidera, koji bi pokrenuli intenzivniju digitalnu transformaciju crnogorske privrede (ovo se odnosi na ne IKT sektor). Primjeri institucija koje su obezbijedile eServise za dostavljanje dokumenata tokom COVID-19 pandemije, i koje su nakon isteka mjera tražile da dokumenti naknadno budu dostavljeni u papirnoj formi, djelovali su obeshrabrujuće. </w:t>
      </w:r>
    </w:p>
    <w:p w14:paraId="2C7967C9" w14:textId="77777777" w:rsidR="005B3072" w:rsidRDefault="00A46913">
      <w:pPr>
        <w:pBdr>
          <w:top w:val="nil"/>
          <w:left w:val="nil"/>
          <w:bottom w:val="nil"/>
          <w:right w:val="nil"/>
          <w:between w:val="nil"/>
        </w:pBdr>
        <w:spacing w:after="240" w:line="276" w:lineRule="auto"/>
        <w:jc w:val="both"/>
        <w:rPr>
          <w:color w:val="000000"/>
          <w:sz w:val="24"/>
          <w:szCs w:val="24"/>
        </w:rPr>
      </w:pPr>
      <w:r>
        <w:rPr>
          <w:b/>
          <w:color w:val="000000"/>
          <w:sz w:val="24"/>
          <w:szCs w:val="24"/>
        </w:rPr>
        <w:t>Sve prethodno navedeno ukazuje na potrebu osmišljavanja drugačije kampanje za promovisanje koncepata digitalne transformacije (sami događaji kao da nijesu dovoljni) u svim segmentima društva kao i stvarnu primjenu zakonodavnog okvira u ovoj oblasti.</w:t>
      </w:r>
      <w:r>
        <w:rPr>
          <w:color w:val="000000"/>
          <w:sz w:val="24"/>
          <w:szCs w:val="24"/>
        </w:rPr>
        <w:t xml:space="preserve"> Sa tim u vezi korisno je proučiti iskustva i inicijative drugih zemalja koje su već prošle kroz početne faze digitalne transformacije i primijeniti dobru praksu u Crnoj Gori.</w:t>
      </w:r>
    </w:p>
    <w:p w14:paraId="488F528D" w14:textId="77777777" w:rsidR="005B3072" w:rsidRDefault="00A46913">
      <w:pPr>
        <w:pStyle w:val="Heading3"/>
        <w:spacing w:after="240"/>
        <w:rPr>
          <w:b/>
          <w:i/>
          <w:color w:val="2E75B5"/>
        </w:rPr>
      </w:pPr>
      <w:bookmarkStart w:id="22" w:name="_4i7ojhp" w:colFirst="0" w:colLast="0"/>
      <w:bookmarkEnd w:id="22"/>
      <w:r>
        <w:rPr>
          <w:b/>
          <w:i/>
          <w:color w:val="2E75B5"/>
        </w:rPr>
        <w:t>e-Obrazovanje </w:t>
      </w:r>
    </w:p>
    <w:p w14:paraId="3D5EBE7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Strateški cilj e-Obrazovanje se u prethodnom petogodišnjem periodu realizovao u okviru dva operativna cilja:</w:t>
      </w:r>
    </w:p>
    <w:p w14:paraId="76BDD3DD" w14:textId="77777777" w:rsidR="005B3072" w:rsidRDefault="00A46913">
      <w:pPr>
        <w:numPr>
          <w:ilvl w:val="0"/>
          <w:numId w:val="36"/>
        </w:numPr>
        <w:pBdr>
          <w:top w:val="nil"/>
          <w:left w:val="nil"/>
          <w:bottom w:val="nil"/>
          <w:right w:val="nil"/>
          <w:between w:val="nil"/>
        </w:pBdr>
        <w:spacing w:before="60" w:after="0" w:line="276" w:lineRule="auto"/>
        <w:ind w:right="-35"/>
        <w:jc w:val="both"/>
        <w:rPr>
          <w:color w:val="000000"/>
          <w:sz w:val="24"/>
          <w:szCs w:val="24"/>
        </w:rPr>
      </w:pPr>
      <w:r>
        <w:rPr>
          <w:color w:val="000000"/>
          <w:sz w:val="24"/>
          <w:szCs w:val="24"/>
        </w:rPr>
        <w:t>Poboljšanje uslova za podizanje nivoa primjene I</w:t>
      </w:r>
      <w:r>
        <w:rPr>
          <w:sz w:val="24"/>
          <w:szCs w:val="24"/>
        </w:rPr>
        <w:t>K</w:t>
      </w:r>
      <w:r>
        <w:rPr>
          <w:color w:val="000000"/>
          <w:sz w:val="24"/>
          <w:szCs w:val="24"/>
        </w:rPr>
        <w:t>T-a u nastavi, obezbjeđivanje uslova za online kolaboraciju nastavnika, poboljšanje uslova za korišćenje informacionog sistema obrazovanja u područnim ustanovama i</w:t>
      </w:r>
    </w:p>
    <w:p w14:paraId="6B75B00E" w14:textId="77777777" w:rsidR="005B3072" w:rsidRDefault="00A46913">
      <w:pPr>
        <w:numPr>
          <w:ilvl w:val="0"/>
          <w:numId w:val="36"/>
        </w:numPr>
        <w:pBdr>
          <w:top w:val="nil"/>
          <w:left w:val="nil"/>
          <w:bottom w:val="nil"/>
          <w:right w:val="nil"/>
          <w:between w:val="nil"/>
        </w:pBdr>
        <w:spacing w:after="60" w:line="276" w:lineRule="auto"/>
        <w:ind w:right="-35"/>
        <w:jc w:val="both"/>
        <w:rPr>
          <w:color w:val="000000"/>
          <w:sz w:val="24"/>
          <w:szCs w:val="24"/>
        </w:rPr>
      </w:pPr>
      <w:r>
        <w:rPr>
          <w:color w:val="000000"/>
          <w:sz w:val="24"/>
          <w:szCs w:val="24"/>
        </w:rPr>
        <w:t>Podrška za povećanje primjena I</w:t>
      </w:r>
      <w:r>
        <w:rPr>
          <w:sz w:val="24"/>
          <w:szCs w:val="24"/>
        </w:rPr>
        <w:t>K</w:t>
      </w:r>
      <w:r>
        <w:rPr>
          <w:color w:val="000000"/>
          <w:sz w:val="24"/>
          <w:szCs w:val="24"/>
        </w:rPr>
        <w:t>T-a u nastavi kao i u svakodnevnom radu zaposlenih u obrazovno-vaspitnim ustanovama.</w:t>
      </w:r>
    </w:p>
    <w:p w14:paraId="1CF0032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U toku 2020. godine započeta je instalacija lokalne računarske mreže u svim objektima osnovnih škola u kojima se realizuje nastava. Nabavka računarske opreme, kao i opreme za Data centar i D</w:t>
      </w:r>
      <w:r>
        <w:rPr>
          <w:sz w:val="24"/>
          <w:szCs w:val="24"/>
        </w:rPr>
        <w:t>i</w:t>
      </w:r>
      <w:r>
        <w:rPr>
          <w:color w:val="000000"/>
          <w:sz w:val="24"/>
          <w:szCs w:val="24"/>
        </w:rPr>
        <w:t>s</w:t>
      </w:r>
      <w:r>
        <w:rPr>
          <w:sz w:val="24"/>
          <w:szCs w:val="24"/>
        </w:rPr>
        <w:t>a</w:t>
      </w:r>
      <w:r>
        <w:rPr>
          <w:color w:val="000000"/>
          <w:sz w:val="24"/>
          <w:szCs w:val="24"/>
        </w:rPr>
        <w:t>ster Recovery nije realizovana zbog procedura Evropske investicione banke, ali sredstva su odobrena i pripremljena je tenderska dokumentacija. U potpunosti su realizovane obuke nastavnika za korišćenje školskog portala (www.skolskiportal.edu.me), kao i Oracle obuke. Britanski savjet u okviru trogodišnjeg projekta “Škole za 21. vijek” (“21</w:t>
      </w:r>
      <w:r>
        <w:rPr>
          <w:color w:val="000000"/>
          <w:sz w:val="24"/>
          <w:szCs w:val="24"/>
          <w:vertAlign w:val="superscript"/>
        </w:rPr>
        <w:t>st</w:t>
      </w:r>
      <w:r>
        <w:rPr>
          <w:color w:val="000000"/>
          <w:sz w:val="24"/>
          <w:szCs w:val="24"/>
        </w:rPr>
        <w:t xml:space="preserve"> century schools”</w:t>
      </w:r>
      <w:r>
        <w:rPr>
          <w:color w:val="000000"/>
          <w:sz w:val="24"/>
          <w:szCs w:val="24"/>
          <w:vertAlign w:val="superscript"/>
        </w:rPr>
        <w:footnoteReference w:id="53"/>
      </w:r>
      <w:r>
        <w:rPr>
          <w:color w:val="000000"/>
          <w:sz w:val="24"/>
          <w:szCs w:val="24"/>
        </w:rPr>
        <w:t>) je obezbijedio finansiranje edukacije nastavnika za primjenu microbit uređaja u nastavi. Bez obzira što je svim nastavnicima dostupan i online kurs "micro:bit" Basics for Teachers!"</w:t>
      </w:r>
      <w:r>
        <w:rPr>
          <w:color w:val="000000"/>
          <w:sz w:val="24"/>
          <w:szCs w:val="24"/>
          <w:vertAlign w:val="superscript"/>
        </w:rPr>
        <w:footnoteReference w:id="54"/>
      </w:r>
      <w:r>
        <w:rPr>
          <w:color w:val="000000"/>
          <w:sz w:val="24"/>
          <w:szCs w:val="24"/>
        </w:rPr>
        <w:t>, microbit uređaje dobija samo određen broj osnovnih škola koje se definišu u okviru projekta, tako da je primjena ograničena. Osim navedenog, u svim osnovnim i srednjim školama implementiran je SELFIE</w:t>
      </w:r>
      <w:r>
        <w:rPr>
          <w:color w:val="000000"/>
          <w:sz w:val="24"/>
          <w:szCs w:val="24"/>
          <w:vertAlign w:val="superscript"/>
        </w:rPr>
        <w:footnoteReference w:id="55"/>
      </w:r>
      <w:r>
        <w:rPr>
          <w:color w:val="000000"/>
          <w:sz w:val="24"/>
          <w:szCs w:val="24"/>
        </w:rPr>
        <w:t xml:space="preserve"> alat za samoevaluaciju. Uspostavljen je koncept "Digitalna škola" zasnovan na Microsoft Teams aplikaciji u cilju organizacije i realizacije svih školskih aktivnosti online. Izrada koncepta “Digitalna škola” podržana je od strane Kancelarije UNICEF-a u Crnoj Gori, nakon čega su podržali i obuku 4200 zaposlenih u obazovno-vaspitnim ustanovama tokom 2020</w:t>
      </w:r>
      <w:r>
        <w:rPr>
          <w:sz w:val="24"/>
          <w:szCs w:val="24"/>
        </w:rPr>
        <w:t>.</w:t>
      </w:r>
      <w:r>
        <w:rPr>
          <w:color w:val="000000"/>
          <w:sz w:val="24"/>
          <w:szCs w:val="24"/>
        </w:rPr>
        <w:t xml:space="preserve"> godine za primjenu digitalnih alata za realizaciju online nastave. </w:t>
      </w:r>
    </w:p>
    <w:p w14:paraId="3EB5783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Uspostavljen je model online komunikacije između svih aktera (nastavnika, uprave, djece i roditelja), mogućnost planiranja obrazovno-vaspitnog rada, realizacije online nastave, dijeljenje edukativnog sadržaja sa učenicima, kreiranje online kvizova itd.</w:t>
      </w:r>
    </w:p>
    <w:p w14:paraId="52D26ED0"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Informacioni sistem obrazovanja je značajno unaprijeđen u dijelu rane identifikacije djece u riziku od napuštanja škole, praćenjem i prevencijom nasilja, digitalizacijom procesa prijavljivanja za polaganje maturskog i stručnog ispita kao i vraćanjem ocjena od strane Ispitnog centra i obavještavanje škole i roditelja putem aplikacija. </w:t>
      </w:r>
    </w:p>
    <w:p w14:paraId="6DF1F34F" w14:textId="77777777" w:rsidR="005B3072" w:rsidRDefault="00A46913">
      <w:pPr>
        <w:spacing w:before="240" w:after="0" w:line="276" w:lineRule="auto"/>
        <w:jc w:val="both"/>
        <w:rPr>
          <w:sz w:val="24"/>
          <w:szCs w:val="24"/>
        </w:rPr>
      </w:pPr>
      <w:r>
        <w:rPr>
          <w:sz w:val="24"/>
          <w:szCs w:val="24"/>
        </w:rPr>
        <w:t>U 2020. godini uz podršku UNDP i UNICEF kreirane su elektronske usluge za upis djece u predškolske ustanovame, upis učenika u osnovne, srednje i muzičke škole, kao i upis studenata na prvu godinu osnovnih studija Univerziteta Crne Gore. Kada je riječ o broju korisnika usluga, podaci pokazuju sljedeće::</w:t>
      </w:r>
    </w:p>
    <w:p w14:paraId="760FFE0E" w14:textId="77777777" w:rsidR="005B3072" w:rsidRDefault="005B3072">
      <w:pPr>
        <w:pBdr>
          <w:top w:val="nil"/>
          <w:left w:val="nil"/>
          <w:bottom w:val="nil"/>
          <w:right w:val="nil"/>
          <w:between w:val="nil"/>
        </w:pBdr>
        <w:spacing w:before="60" w:after="60"/>
        <w:ind w:right="-35"/>
        <w:jc w:val="both"/>
        <w:rPr>
          <w:sz w:val="24"/>
          <w:szCs w:val="24"/>
        </w:rPr>
      </w:pPr>
    </w:p>
    <w:p w14:paraId="5E924FB4" w14:textId="77777777" w:rsidR="005B3072" w:rsidRDefault="00A46913">
      <w:pPr>
        <w:numPr>
          <w:ilvl w:val="0"/>
          <w:numId w:val="33"/>
        </w:numPr>
        <w:pBdr>
          <w:top w:val="nil"/>
          <w:left w:val="nil"/>
          <w:bottom w:val="nil"/>
          <w:right w:val="nil"/>
          <w:between w:val="nil"/>
        </w:pBdr>
        <w:spacing w:before="60" w:after="0" w:line="276" w:lineRule="auto"/>
        <w:ind w:right="-35"/>
        <w:jc w:val="both"/>
        <w:rPr>
          <w:color w:val="000000"/>
          <w:sz w:val="24"/>
          <w:szCs w:val="24"/>
        </w:rPr>
      </w:pPr>
      <w:r>
        <w:rPr>
          <w:color w:val="000000"/>
          <w:sz w:val="24"/>
          <w:szCs w:val="24"/>
        </w:rPr>
        <w:t xml:space="preserve">Podnošenje zahtjeva za upis djece u predškolske ustanove koristilo je 6.670 korisnika </w:t>
      </w:r>
      <w:r>
        <w:rPr>
          <w:sz w:val="24"/>
          <w:szCs w:val="24"/>
        </w:rPr>
        <w:t>(</w:t>
      </w:r>
      <w:r>
        <w:rPr>
          <w:color w:val="000000"/>
          <w:sz w:val="24"/>
          <w:szCs w:val="24"/>
        </w:rPr>
        <w:t>muškaraca: 3.468</w:t>
      </w:r>
      <w:r>
        <w:rPr>
          <w:sz w:val="24"/>
          <w:szCs w:val="24"/>
        </w:rPr>
        <w:t>, žena: 3.202</w:t>
      </w:r>
      <w:r>
        <w:rPr>
          <w:color w:val="000000"/>
          <w:sz w:val="24"/>
          <w:szCs w:val="24"/>
        </w:rPr>
        <w:t>);</w:t>
      </w:r>
    </w:p>
    <w:p w14:paraId="2E088688" w14:textId="77777777" w:rsidR="005B3072" w:rsidRDefault="00A46913">
      <w:pPr>
        <w:numPr>
          <w:ilvl w:val="0"/>
          <w:numId w:val="33"/>
        </w:numPr>
        <w:pBdr>
          <w:top w:val="nil"/>
          <w:left w:val="nil"/>
          <w:bottom w:val="nil"/>
          <w:right w:val="nil"/>
          <w:between w:val="nil"/>
        </w:pBdr>
        <w:spacing w:after="0" w:line="276" w:lineRule="auto"/>
        <w:ind w:right="-35"/>
        <w:jc w:val="both"/>
        <w:rPr>
          <w:color w:val="000000"/>
          <w:sz w:val="24"/>
          <w:szCs w:val="24"/>
        </w:rPr>
      </w:pPr>
      <w:r>
        <w:rPr>
          <w:color w:val="000000"/>
          <w:sz w:val="24"/>
          <w:szCs w:val="24"/>
        </w:rPr>
        <w:t xml:space="preserve">Podnošenje zahtjeva za upis djece u prvi razred osnovne škole (sa elektronskim   zakazivanjem razgovora u pedagoško-psihološkoj službi) koristilo je 6.629 korisnika </w:t>
      </w:r>
      <w:r>
        <w:rPr>
          <w:sz w:val="24"/>
          <w:szCs w:val="24"/>
        </w:rPr>
        <w:t>(muškaraca: 3.454, žena: 3.175</w:t>
      </w:r>
      <w:r>
        <w:rPr>
          <w:color w:val="000000"/>
          <w:sz w:val="24"/>
          <w:szCs w:val="24"/>
        </w:rPr>
        <w:t>);</w:t>
      </w:r>
    </w:p>
    <w:p w14:paraId="181DD697" w14:textId="77777777" w:rsidR="005B3072" w:rsidRDefault="00A46913">
      <w:pPr>
        <w:numPr>
          <w:ilvl w:val="0"/>
          <w:numId w:val="33"/>
        </w:numPr>
        <w:pBdr>
          <w:top w:val="nil"/>
          <w:left w:val="nil"/>
          <w:bottom w:val="nil"/>
          <w:right w:val="nil"/>
          <w:between w:val="nil"/>
        </w:pBdr>
        <w:spacing w:after="60" w:line="276" w:lineRule="auto"/>
        <w:ind w:right="-35"/>
        <w:jc w:val="both"/>
        <w:rPr>
          <w:color w:val="000000"/>
          <w:sz w:val="24"/>
          <w:szCs w:val="24"/>
        </w:rPr>
      </w:pPr>
      <w:r>
        <w:rPr>
          <w:color w:val="000000"/>
          <w:sz w:val="24"/>
          <w:szCs w:val="24"/>
        </w:rPr>
        <w:t xml:space="preserve">Podnošenje zahtjeva za upis djece u prvi razred srednje škole (sa sistemom bodovanja ocjena i uspjeha, kao i generisanja rang liste) koristilo je 5.967 korisnika </w:t>
      </w:r>
      <w:r>
        <w:rPr>
          <w:sz w:val="24"/>
          <w:szCs w:val="24"/>
        </w:rPr>
        <w:t>(muškaraca</w:t>
      </w:r>
      <w:r>
        <w:rPr>
          <w:color w:val="000000"/>
          <w:sz w:val="24"/>
          <w:szCs w:val="24"/>
        </w:rPr>
        <w:t xml:space="preserve">: 3.027, </w:t>
      </w:r>
      <w:r>
        <w:rPr>
          <w:sz w:val="24"/>
          <w:szCs w:val="24"/>
        </w:rPr>
        <w:t>žena</w:t>
      </w:r>
      <w:r>
        <w:rPr>
          <w:color w:val="000000"/>
          <w:sz w:val="24"/>
          <w:szCs w:val="24"/>
        </w:rPr>
        <w:t>: 2.940).</w:t>
      </w:r>
    </w:p>
    <w:p w14:paraId="4BBE27C3" w14:textId="77777777" w:rsidR="005B3072" w:rsidRDefault="00A46913">
      <w:pPr>
        <w:pBdr>
          <w:top w:val="nil"/>
          <w:left w:val="nil"/>
          <w:bottom w:val="nil"/>
          <w:right w:val="nil"/>
          <w:between w:val="nil"/>
        </w:pBdr>
        <w:spacing w:after="60" w:line="276" w:lineRule="auto"/>
        <w:ind w:right="-35"/>
        <w:jc w:val="both"/>
        <w:rPr>
          <w:color w:val="000000"/>
          <w:sz w:val="24"/>
          <w:szCs w:val="24"/>
          <w:shd w:val="clear" w:color="auto" w:fill="F8F9FA"/>
        </w:rPr>
      </w:pPr>
      <w:r>
        <w:rPr>
          <w:sz w:val="24"/>
          <w:szCs w:val="24"/>
        </w:rPr>
        <w:t xml:space="preserve">U 2021. godini kreirana je i online usluga Upisa studenata na prvu godinu fakulteta (na fakultetima Univerziteta Crne Gore) koju je koristilo 3.322 korisnika (muškaraca: 1.442, žena: 1.880). </w:t>
      </w:r>
      <w:r>
        <w:rPr>
          <w:color w:val="000000"/>
          <w:sz w:val="24"/>
          <w:szCs w:val="24"/>
        </w:rPr>
        <w:t>Realizacijom ovih usluga i tokom svakodnevnih procesa, smanjila se potreba za donošenjem potvrda za oko 20.000 korisnika mjesečno</w:t>
      </w:r>
      <w:r>
        <w:rPr>
          <w:sz w:val="24"/>
          <w:szCs w:val="24"/>
        </w:rPr>
        <w:t>. Osim toga, potvrde</w:t>
      </w:r>
      <w:r>
        <w:rPr>
          <w:color w:val="000000"/>
          <w:sz w:val="24"/>
          <w:szCs w:val="24"/>
        </w:rPr>
        <w:t xml:space="preserve"> se ne moraju prilagati ni prilikom </w:t>
      </w:r>
      <w:r>
        <w:rPr>
          <w:sz w:val="24"/>
          <w:szCs w:val="24"/>
        </w:rPr>
        <w:t xml:space="preserve">realizacije </w:t>
      </w:r>
      <w:r>
        <w:rPr>
          <w:color w:val="000000"/>
          <w:sz w:val="24"/>
          <w:szCs w:val="24"/>
        </w:rPr>
        <w:t>navedenih servisa (izvod iz matične knjige rođenih, potvrda iz socijale itd.).</w:t>
      </w:r>
      <w:r>
        <w:rPr>
          <w:color w:val="000000"/>
          <w:sz w:val="24"/>
          <w:szCs w:val="24"/>
          <w:highlight w:val="white"/>
        </w:rPr>
        <w:t xml:space="preserve"> </w:t>
      </w:r>
    </w:p>
    <w:p w14:paraId="59083390" w14:textId="77777777" w:rsidR="005B3072" w:rsidRDefault="00A46913">
      <w:pPr>
        <w:ind w:right="-151"/>
        <w:jc w:val="both"/>
        <w:rPr>
          <w:sz w:val="24"/>
          <w:szCs w:val="24"/>
        </w:rPr>
      </w:pPr>
      <w:r>
        <w:rPr>
          <w:sz w:val="24"/>
          <w:szCs w:val="24"/>
        </w:rPr>
        <w:t>Kreirani novi portal za roditelje (www.dnevnik.edu.me) pruža roditeljima mogućnost uvida u Informacioni sistem obrazovanja u dijelu ocjena, izostanaka, vladanja, eksternih provjera znanja itd. Prvi put je izrađena i mobilna aplikacija za android i iOS, eDnevnikME. Tokom 2020. godine ovu aplikaciju je koristilo 68.859 korisika, a tokom pandemije COVID-19 aplikacija se koristila kao glavni način informisanja roditelja o postignućima djece, dobijanjem informacija od odjeljenskog starješine, ali i od Ministarstva prosvjete, nauke, kulture i sporta.</w:t>
      </w:r>
    </w:p>
    <w:p w14:paraId="2AAEFF58" w14:textId="77777777" w:rsidR="005B3072" w:rsidRDefault="00A46913">
      <w:pPr>
        <w:ind w:right="-151"/>
        <w:jc w:val="both"/>
        <w:rPr>
          <w:sz w:val="24"/>
          <w:szCs w:val="24"/>
        </w:rPr>
      </w:pPr>
      <w:r>
        <w:rPr>
          <w:b/>
          <w:sz w:val="24"/>
          <w:szCs w:val="24"/>
        </w:rPr>
        <w:t>Jedna od najkorišćenijih usluga tokom 2020. i 2021. godine je bila platforma #UčiDoma. Ministarstvo prosvjete nauke, kulture i sporta pripremilo je i realizovalo projekat #UčiDoma u okviru kojeg se nastava snimala i emitovala putem TV kanala TVCG i MNE SPORT prema programskoj šemi objavljenoj na školskom poratlu</w:t>
      </w:r>
      <w:hyperlink r:id="rId25">
        <w:r>
          <w:rPr>
            <w:sz w:val="24"/>
            <w:szCs w:val="24"/>
          </w:rPr>
          <w:t xml:space="preserve"> www.dnevnik.edu.me</w:t>
        </w:r>
      </w:hyperlink>
      <w:r>
        <w:rPr>
          <w:b/>
          <w:sz w:val="24"/>
          <w:szCs w:val="24"/>
        </w:rPr>
        <w:t>.</w:t>
      </w:r>
      <w:r>
        <w:rPr>
          <w:color w:val="0000FF"/>
          <w:sz w:val="24"/>
          <w:szCs w:val="24"/>
        </w:rPr>
        <w:t xml:space="preserve"> </w:t>
      </w:r>
      <w:r>
        <w:rPr>
          <w:sz w:val="24"/>
          <w:szCs w:val="24"/>
        </w:rPr>
        <w:t>Nastavni sadržaj je objavljivan i na YouTube kanalu UčiDoma kao i na portalu</w:t>
      </w:r>
      <w:hyperlink r:id="rId26">
        <w:r>
          <w:rPr>
            <w:sz w:val="24"/>
            <w:szCs w:val="24"/>
          </w:rPr>
          <w:t xml:space="preserve"> www.ucidoma.me</w:t>
        </w:r>
      </w:hyperlink>
      <w:r>
        <w:rPr>
          <w:sz w:val="24"/>
          <w:szCs w:val="24"/>
        </w:rPr>
        <w:t>.</w:t>
      </w:r>
    </w:p>
    <w:p w14:paraId="16869941" w14:textId="77777777" w:rsidR="005B3072" w:rsidRDefault="00A46913">
      <w:pPr>
        <w:pStyle w:val="Heading3"/>
        <w:spacing w:after="240"/>
        <w:rPr>
          <w:b/>
          <w:i/>
          <w:color w:val="2E75B5"/>
        </w:rPr>
      </w:pPr>
      <w:bookmarkStart w:id="23" w:name="_2xcytpi" w:colFirst="0" w:colLast="0"/>
      <w:bookmarkEnd w:id="23"/>
      <w:r>
        <w:rPr>
          <w:b/>
          <w:i/>
          <w:color w:val="2E75B5"/>
        </w:rPr>
        <w:lastRenderedPageBreak/>
        <w:t>e-Inkluzivnost</w:t>
      </w:r>
    </w:p>
    <w:p w14:paraId="44B214A0"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Ratifikacijom Konvencije UN o pravima osoba s invaliditetom, država Crna Gora obavezala se da osigura nesmetan pristup informaciono-komunikacionim tehnologijama osobama sa invaliditetom, kako bi se eliminisale barijere za pristup informacijama, uključujući i internet. Strategijom razvoja informacionog društva Crne Gore do 2020. godine, kao i direktivama EU, prepoznato je osnaživanje prisustva osoba sa invaliditetom u procesu izgradnje digitalnog društva u Crnoj Gori. S tim u vezi, Ministarstvo javne uprave, digitalnog društva i medija je u martu 2019. godine potpisalo Memorandum o saradnji sa Savezom slijepih Crne Gore u cilju praćenja standarda e-pristupačnosti i njihove primjene. Strateški cilj eUključivanje u prethodnom periodu imao je za cilj edukaciju i jačanje svijesti o e-pristupačnosti u državnoj upravi.</w:t>
      </w:r>
    </w:p>
    <w:p w14:paraId="7ECE18EF"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Ministarstvo javne uprave, digitalnog društva i medija je 2019. godine objavilo treću verziju Smjernica za razvoj i upravljanje internet prezentacijama javne uprave, u okviru kojih su date preporuke za kreiranje pristupačnih stranica institucija. Takođe, iste godine objavljena je prva verzija Smjernica za standardizaciju internet sajtova jedinica lokalne samouprave. MJUDDM je u saradnji sa NVO organizovalo okrugle stolove i druge skupove usmjerene ka promociji koncepta e-pristupačnosti i radilo na kreiranju web sadržaja u skladu sa standardima e-pristupačnosti. Tokom 2020. godine, sproveden je </w:t>
      </w:r>
      <w:r>
        <w:rPr>
          <w:i/>
          <w:color w:val="000000"/>
          <w:sz w:val="24"/>
          <w:szCs w:val="24"/>
        </w:rPr>
        <w:t>Monitoring primjene smjernica za kreiranje elektronskih dokumenata</w:t>
      </w:r>
      <w:r>
        <w:rPr>
          <w:color w:val="000000"/>
          <w:sz w:val="24"/>
          <w:szCs w:val="24"/>
        </w:rPr>
        <w:t xml:space="preserve"> u skladu sa standardima e-pristupačnosti, a koji je prepoznat Akcionim planom za sprovođenje inicijative Partnerstva za otvorenu upravu Crne Gore (2018-2020).</w:t>
      </w:r>
    </w:p>
    <w:p w14:paraId="439F8EB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Tokom 2020. godine pripremljena je i sprovedena javna nabavka za projekat “Izrada Portala Vlade”. </w:t>
      </w:r>
      <w:r>
        <w:rPr>
          <w:sz w:val="24"/>
          <w:szCs w:val="24"/>
        </w:rPr>
        <w:t>Prva</w:t>
      </w:r>
      <w:r>
        <w:rPr>
          <w:color w:val="000000"/>
          <w:sz w:val="24"/>
          <w:szCs w:val="24"/>
        </w:rPr>
        <w:t xml:space="preserve"> faza za izradu novog Portala Vlade osim sajta Vlade obuhvata i sajtove ministarstava. Novi veb portal vlade (GOV.ME) pokrenut je sredinom maja 2021. godine i zadovoljava standarde e-pristupačnosti u skladu sa Zakonom o elektronskoj upravi. Kreirana je posebna sekcija za poboljšanje pristupačnosti sadržaja sa kontrolom kontrasta, veličine fonta, veličin</w:t>
      </w:r>
      <w:r>
        <w:rPr>
          <w:sz w:val="24"/>
          <w:szCs w:val="24"/>
        </w:rPr>
        <w:t>e</w:t>
      </w:r>
      <w:r>
        <w:rPr>
          <w:color w:val="000000"/>
          <w:sz w:val="24"/>
          <w:szCs w:val="24"/>
        </w:rPr>
        <w:t xml:space="preserve"> teksta, razmak, animacije, zatim vizuelni vodič za lakše čitanje, isticanje linkova, kompat</w:t>
      </w:r>
      <w:r>
        <w:rPr>
          <w:sz w:val="24"/>
          <w:szCs w:val="24"/>
        </w:rPr>
        <w:t>i</w:t>
      </w:r>
      <w:r>
        <w:rPr>
          <w:color w:val="000000"/>
          <w:sz w:val="24"/>
          <w:szCs w:val="24"/>
        </w:rPr>
        <w:t>bilnost sa čitačima ekrana kroz restrukturiranje stranice, poseban font koji olakšava čitanje osobama sa disleksijom ili oštećenjima vida. Kroz redizajnirani portal Vlade usluge su dostupne na svim uređajima, od prenosivih računara do pametnih telefona. Za razliku od njega veb sajt e-</w:t>
      </w:r>
      <w:r>
        <w:rPr>
          <w:sz w:val="24"/>
          <w:szCs w:val="24"/>
        </w:rPr>
        <w:t>u</w:t>
      </w:r>
      <w:r>
        <w:rPr>
          <w:color w:val="000000"/>
          <w:sz w:val="24"/>
          <w:szCs w:val="24"/>
        </w:rPr>
        <w:t>prave ima i dalje zastarjeli dizajn koji ne zadovoljava Smjernice za kreiranje pristupačnih stranica.</w:t>
      </w:r>
    </w:p>
    <w:p w14:paraId="5B331976" w14:textId="77777777" w:rsidR="005B3072" w:rsidRDefault="00A46913">
      <w:pPr>
        <w:pBdr>
          <w:top w:val="nil"/>
          <w:left w:val="nil"/>
          <w:bottom w:val="nil"/>
          <w:right w:val="nil"/>
          <w:between w:val="nil"/>
        </w:pBdr>
        <w:spacing w:after="240" w:line="276" w:lineRule="auto"/>
        <w:jc w:val="both"/>
        <w:rPr>
          <w:color w:val="000000"/>
          <w:sz w:val="24"/>
          <w:szCs w:val="24"/>
        </w:rPr>
      </w:pPr>
      <w:bookmarkStart w:id="24" w:name="_1ci93xb" w:colFirst="0" w:colLast="0"/>
      <w:bookmarkEnd w:id="24"/>
      <w:r>
        <w:rPr>
          <w:color w:val="000000"/>
          <w:sz w:val="24"/>
          <w:szCs w:val="24"/>
        </w:rPr>
        <w:t>U cilju daljeg unapređenja potrebno je kompletno redizajnirati i portal e</w:t>
      </w:r>
      <w:r>
        <w:rPr>
          <w:sz w:val="24"/>
          <w:szCs w:val="24"/>
        </w:rPr>
        <w:t>-u</w:t>
      </w:r>
      <w:r>
        <w:rPr>
          <w:color w:val="000000"/>
          <w:sz w:val="24"/>
          <w:szCs w:val="24"/>
        </w:rPr>
        <w:t>prave prvenstveno u smislu prilagođavanja korisnicima (tzv. User Center Design) uz primjenu smjernica za pristupačnost. Kroz dalju promociju koncepta e-pristupačnosti u saradnji sa NVO potrebno je pokrenuti inicijative za redizajn veb sajtova javnih informativnih servisa, novinskih agencija, obrazovnih institucija kao i veb sajtova lokalnih samouprava.</w:t>
      </w:r>
    </w:p>
    <w:p w14:paraId="52649DEE"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Pored navedenog, planirano je proširenje portala Vlade (gov.me) na sajtove organa državne uprave, </w:t>
      </w:r>
      <w:r>
        <w:rPr>
          <w:sz w:val="24"/>
          <w:szCs w:val="24"/>
        </w:rPr>
        <w:t xml:space="preserve">kako  </w:t>
      </w:r>
      <w:r>
        <w:rPr>
          <w:color w:val="000000"/>
          <w:sz w:val="24"/>
          <w:szCs w:val="24"/>
        </w:rPr>
        <w:t>bi i ti sajtovi, u toku 2022. godine, u dijelu e-pristupačnosti bili usklađeni sa Zakonom o elektronskoj upravi i Pravilnikom o standardima pristupačnosti.</w:t>
      </w:r>
    </w:p>
    <w:p w14:paraId="790B9A0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U cilju daljeg povećanja pristupačnosti Portala Vlade, ministarstava i organa državne uprave, potrebno je raditi na povećanju broja pristupačnih dokumenata koji se objavljuju na zvaničnim internet stranicama. U tom smislu potrebno je raditi kontinuirane obuke službenika javne uprave vezano za izradu i razmjenu dokumenata u elektronski čitljivom formatu.</w:t>
      </w:r>
    </w:p>
    <w:p w14:paraId="4D213EA9" w14:textId="77777777" w:rsidR="005B3072" w:rsidRDefault="00A46913">
      <w:pPr>
        <w:pStyle w:val="Heading3"/>
        <w:spacing w:after="240"/>
        <w:rPr>
          <w:b/>
          <w:i/>
          <w:color w:val="2E75B5"/>
        </w:rPr>
      </w:pPr>
      <w:bookmarkStart w:id="25" w:name="_3whwml4" w:colFirst="0" w:colLast="0"/>
      <w:bookmarkEnd w:id="25"/>
      <w:r>
        <w:rPr>
          <w:b/>
          <w:i/>
          <w:color w:val="2E75B5"/>
        </w:rPr>
        <w:t>Infrastruktura i podaci za e-usluge</w:t>
      </w:r>
    </w:p>
    <w:p w14:paraId="0F6DA8BF" w14:textId="77777777" w:rsidR="005B3072" w:rsidRDefault="00A46913">
      <w:pPr>
        <w:pBdr>
          <w:top w:val="nil"/>
          <w:left w:val="nil"/>
          <w:bottom w:val="nil"/>
          <w:right w:val="nil"/>
          <w:between w:val="nil"/>
        </w:pBdr>
        <w:spacing w:after="240" w:line="276" w:lineRule="auto"/>
        <w:jc w:val="both"/>
        <w:rPr>
          <w:color w:val="000000"/>
          <w:sz w:val="24"/>
          <w:szCs w:val="24"/>
        </w:rPr>
      </w:pPr>
      <w:bookmarkStart w:id="26" w:name="_2bn6wsx" w:colFirst="0" w:colLast="0"/>
      <w:bookmarkEnd w:id="26"/>
      <w:r>
        <w:rPr>
          <w:color w:val="000000"/>
          <w:sz w:val="24"/>
          <w:szCs w:val="24"/>
        </w:rPr>
        <w:t xml:space="preserve">Na osnovu dostupne i analizirane dokumentacije, posljednjih godina je vidljiv napredak u uspostavljanju osnovnih informacionih sistema koji predstavljaju osnovu za pružanje kvalitetnih e-usluga i njihovu potpunu digitalizaciju. Platforma jedinstvenog informacionog sistema za elektronsku razmjenu podataka (SISEDE) Vladinog servisa, koja se naziva i Jedinstveni sistem elektronske razmjene podataka (JSERP), stavljena je u funkciju krajem 2018. godine. Primarni cilj ovog sistema je da obezbijedi komunikaciju između postojećih sistema i bržu razmjenu informacija između građana i uprave, omogućavajući pružanje usluga elektronskim putem i automatizovanu razmjenu i upotrebu velikih količina podataka iz državnih registara. Osnovna funkcija centralnog, interoperabilnog sistema je da institucijama pruži jedinstvenu komunikacionu platformu za sigurnu i pouzdanu razmjenu podataka i na taj način pruži osnovu za kvalitet i brzu isporuku usluga. Trenutno su na JSERP-u povezani sljedeći registri: </w:t>
      </w:r>
    </w:p>
    <w:p w14:paraId="7CEF6892" w14:textId="77777777" w:rsidR="005B3072" w:rsidRDefault="00A46913">
      <w:pPr>
        <w:numPr>
          <w:ilvl w:val="0"/>
          <w:numId w:val="57"/>
        </w:numPr>
        <w:spacing w:after="0" w:line="276" w:lineRule="auto"/>
        <w:ind w:right="-35"/>
        <w:jc w:val="both"/>
        <w:rPr>
          <w:sz w:val="24"/>
          <w:szCs w:val="24"/>
        </w:rPr>
      </w:pPr>
      <w:r>
        <w:rPr>
          <w:sz w:val="24"/>
          <w:szCs w:val="24"/>
        </w:rPr>
        <w:t>Centralni registar stanovništva,</w:t>
      </w:r>
    </w:p>
    <w:p w14:paraId="078BAA4B" w14:textId="77777777" w:rsidR="005B3072" w:rsidRDefault="00A46913">
      <w:pPr>
        <w:numPr>
          <w:ilvl w:val="0"/>
          <w:numId w:val="57"/>
        </w:numPr>
        <w:spacing w:after="0" w:line="276" w:lineRule="auto"/>
        <w:ind w:right="-35"/>
        <w:jc w:val="both"/>
        <w:rPr>
          <w:sz w:val="24"/>
          <w:szCs w:val="24"/>
        </w:rPr>
      </w:pPr>
      <w:r>
        <w:rPr>
          <w:sz w:val="24"/>
          <w:szCs w:val="24"/>
        </w:rPr>
        <w:t>Centralni registar poreskih obveznika i osiguranika (Registar poreskih obveznika i Registar zaposlenih),</w:t>
      </w:r>
    </w:p>
    <w:p w14:paraId="1410BF76" w14:textId="77777777" w:rsidR="005B3072" w:rsidRDefault="00A46913">
      <w:pPr>
        <w:numPr>
          <w:ilvl w:val="0"/>
          <w:numId w:val="57"/>
        </w:numPr>
        <w:spacing w:after="0" w:line="276" w:lineRule="auto"/>
        <w:ind w:right="-35"/>
        <w:jc w:val="both"/>
        <w:rPr>
          <w:sz w:val="24"/>
          <w:szCs w:val="24"/>
        </w:rPr>
      </w:pPr>
      <w:r>
        <w:rPr>
          <w:sz w:val="24"/>
          <w:szCs w:val="24"/>
        </w:rPr>
        <w:t>Centralni registar privrednih subjekata,</w:t>
      </w:r>
    </w:p>
    <w:p w14:paraId="618DDEE4" w14:textId="77777777" w:rsidR="005B3072" w:rsidRDefault="00A46913">
      <w:pPr>
        <w:numPr>
          <w:ilvl w:val="0"/>
          <w:numId w:val="57"/>
        </w:numPr>
        <w:spacing w:after="0" w:line="276" w:lineRule="auto"/>
        <w:ind w:right="-35"/>
        <w:jc w:val="both"/>
        <w:rPr>
          <w:sz w:val="24"/>
          <w:szCs w:val="24"/>
        </w:rPr>
      </w:pPr>
      <w:r>
        <w:rPr>
          <w:sz w:val="24"/>
          <w:szCs w:val="24"/>
        </w:rPr>
        <w:t>Registar obrazovanja Crne Gore,</w:t>
      </w:r>
    </w:p>
    <w:p w14:paraId="1AACC68B" w14:textId="77777777" w:rsidR="005B3072" w:rsidRDefault="00A46913">
      <w:pPr>
        <w:numPr>
          <w:ilvl w:val="0"/>
          <w:numId w:val="57"/>
        </w:numPr>
        <w:spacing w:after="0" w:line="276" w:lineRule="auto"/>
        <w:ind w:right="-35"/>
        <w:jc w:val="both"/>
        <w:rPr>
          <w:sz w:val="24"/>
          <w:szCs w:val="24"/>
        </w:rPr>
      </w:pPr>
      <w:r>
        <w:rPr>
          <w:sz w:val="24"/>
          <w:szCs w:val="24"/>
        </w:rPr>
        <w:t>Registar korisnika materijalnih davanja,</w:t>
      </w:r>
    </w:p>
    <w:p w14:paraId="714983AE" w14:textId="77777777" w:rsidR="005B3072" w:rsidRDefault="00A46913">
      <w:pPr>
        <w:numPr>
          <w:ilvl w:val="0"/>
          <w:numId w:val="57"/>
        </w:numPr>
        <w:spacing w:after="0" w:line="276" w:lineRule="auto"/>
        <w:ind w:right="-35"/>
        <w:jc w:val="both"/>
        <w:rPr>
          <w:sz w:val="24"/>
          <w:szCs w:val="24"/>
        </w:rPr>
      </w:pPr>
      <w:r>
        <w:rPr>
          <w:sz w:val="24"/>
          <w:szCs w:val="24"/>
        </w:rPr>
        <w:t>Registar osiguranika Fonda zdravstva,</w:t>
      </w:r>
    </w:p>
    <w:p w14:paraId="2C4DAB77" w14:textId="77777777" w:rsidR="005B3072" w:rsidRDefault="00A46913">
      <w:pPr>
        <w:numPr>
          <w:ilvl w:val="0"/>
          <w:numId w:val="57"/>
        </w:numPr>
        <w:spacing w:after="0" w:line="276" w:lineRule="auto"/>
        <w:ind w:right="-35"/>
        <w:jc w:val="both"/>
        <w:rPr>
          <w:sz w:val="24"/>
          <w:szCs w:val="24"/>
        </w:rPr>
      </w:pPr>
      <w:r>
        <w:rPr>
          <w:sz w:val="24"/>
          <w:szCs w:val="24"/>
        </w:rPr>
        <w:t>Registar otpada.</w:t>
      </w:r>
    </w:p>
    <w:p w14:paraId="3AB7B472"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Na JSERP-ovom dijelu, koji se zove Metaregistar (evidencija registara koje vode organi prepoznati Zakonom o e-upravi), prijavljeni su i sljedeći registri (ali se još uvijek ne vrši razmjena među njima, iako su svi uslovi sa strane sistema ispunjeni) iz kojih se u 2021. godini očekuje značajan protok podataka i iz sljedećih registara:</w:t>
      </w:r>
    </w:p>
    <w:p w14:paraId="34924671" w14:textId="77777777" w:rsidR="005B3072" w:rsidRDefault="00A46913">
      <w:pPr>
        <w:numPr>
          <w:ilvl w:val="0"/>
          <w:numId w:val="61"/>
        </w:numPr>
        <w:spacing w:after="0" w:line="276" w:lineRule="auto"/>
        <w:ind w:right="-35"/>
        <w:jc w:val="both"/>
        <w:rPr>
          <w:sz w:val="24"/>
          <w:szCs w:val="24"/>
        </w:rPr>
      </w:pPr>
      <w:r>
        <w:rPr>
          <w:sz w:val="24"/>
          <w:szCs w:val="24"/>
        </w:rPr>
        <w:t>Registar kaznene evidencije fizičkih lica,</w:t>
      </w:r>
    </w:p>
    <w:p w14:paraId="6AA52C66" w14:textId="77777777" w:rsidR="005B3072" w:rsidRDefault="00A46913">
      <w:pPr>
        <w:numPr>
          <w:ilvl w:val="0"/>
          <w:numId w:val="61"/>
        </w:numPr>
        <w:spacing w:after="0" w:line="276" w:lineRule="auto"/>
        <w:ind w:right="-35"/>
        <w:jc w:val="both"/>
        <w:rPr>
          <w:sz w:val="24"/>
          <w:szCs w:val="24"/>
        </w:rPr>
      </w:pPr>
      <w:r>
        <w:rPr>
          <w:sz w:val="24"/>
          <w:szCs w:val="24"/>
        </w:rPr>
        <w:t>Registar kaznene evidencije pravnih lica,</w:t>
      </w:r>
    </w:p>
    <w:p w14:paraId="5DA52C9B" w14:textId="77777777" w:rsidR="005B3072" w:rsidRDefault="00A46913">
      <w:pPr>
        <w:numPr>
          <w:ilvl w:val="0"/>
          <w:numId w:val="61"/>
        </w:numPr>
        <w:spacing w:after="0" w:line="276" w:lineRule="auto"/>
        <w:ind w:right="-35"/>
        <w:jc w:val="both"/>
        <w:rPr>
          <w:sz w:val="24"/>
          <w:szCs w:val="24"/>
        </w:rPr>
      </w:pPr>
      <w:r>
        <w:rPr>
          <w:sz w:val="24"/>
          <w:szCs w:val="24"/>
        </w:rPr>
        <w:t>Kaznena evidencija krivičnih sankcija maloljetnika,</w:t>
      </w:r>
    </w:p>
    <w:p w14:paraId="24AD1133" w14:textId="77777777" w:rsidR="005B3072" w:rsidRDefault="00A46913">
      <w:pPr>
        <w:numPr>
          <w:ilvl w:val="0"/>
          <w:numId w:val="61"/>
        </w:numPr>
        <w:spacing w:after="0" w:line="276" w:lineRule="auto"/>
        <w:ind w:right="-35"/>
        <w:jc w:val="both"/>
        <w:rPr>
          <w:sz w:val="24"/>
          <w:szCs w:val="24"/>
        </w:rPr>
      </w:pPr>
      <w:r>
        <w:rPr>
          <w:sz w:val="24"/>
          <w:szCs w:val="24"/>
        </w:rPr>
        <w:t>Registar novčanih kazni i prekršajne evidencije,</w:t>
      </w:r>
    </w:p>
    <w:p w14:paraId="1E7991AB" w14:textId="77777777" w:rsidR="005B3072" w:rsidRDefault="00A46913">
      <w:pPr>
        <w:numPr>
          <w:ilvl w:val="0"/>
          <w:numId w:val="61"/>
        </w:numPr>
        <w:spacing w:after="240" w:line="276" w:lineRule="auto"/>
        <w:ind w:right="-35"/>
        <w:jc w:val="both"/>
        <w:rPr>
          <w:sz w:val="24"/>
          <w:szCs w:val="24"/>
        </w:rPr>
      </w:pPr>
      <w:r>
        <w:rPr>
          <w:sz w:val="24"/>
          <w:szCs w:val="24"/>
        </w:rPr>
        <w:t>Registar nepokretnosti.</w:t>
      </w:r>
    </w:p>
    <w:p w14:paraId="38D6132E"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Neophodno je nastaviti sa priključivanjem svih najvažnijih registara koji se nalaze u različitim informacionim sistemima različitih organa državne uprave. Radi se jednom od najvažnijih dijeljenih servisa bez kojeg nije moguć savremen razvoj elektronske uprave i elektronskih usluga. Prije svega jer JSERP </w:t>
      </w:r>
      <w:r>
        <w:rPr>
          <w:color w:val="000000"/>
          <w:sz w:val="24"/>
          <w:szCs w:val="24"/>
        </w:rPr>
        <w:lastRenderedPageBreak/>
        <w:t>omogućava da korisnik ne mora prilagati obavezne dokumente iz drugih organa, već se to realizuje “po službenoj dužnosti” u skladu sa Zakonom o upravnom postupku.</w:t>
      </w:r>
    </w:p>
    <w:p w14:paraId="07AA9F2F" w14:textId="77777777" w:rsidR="005B3072" w:rsidRDefault="00A46913">
      <w:pPr>
        <w:spacing w:before="240" w:after="240" w:line="276" w:lineRule="auto"/>
        <w:jc w:val="both"/>
        <w:rPr>
          <w:sz w:val="24"/>
          <w:szCs w:val="24"/>
        </w:rPr>
      </w:pPr>
      <w:r>
        <w:rPr>
          <w:sz w:val="24"/>
          <w:szCs w:val="24"/>
        </w:rPr>
        <w:t>Sistem za elektronsko upravljanje dokumentima (eDMS) predstavlja jedan od ključnih Vladinih servisa koji omogućava unaprijeđenje poslovnih procesa postepenim prelaskom sa papirnog na elektronski vid upravljanja dokumentima. Cilj uvođenja eDMS-a u organe državne uprave je stvaranje efikasnije, kvalitetnije i transparentnije elektronske uprave. Sistem omogućava bržu razmjenu informacija, smanjenje papirologije i veću sigurnost pri skladištenju dokumenata. Elektronski način upravljanja dokumentima omogućava tačno definisan protok dokumenta od trenutka unosa u sistem, njegovog obrađivanja od strane korisnika, mogućnosti elektronskog potpisa, do njegovog arhiviranja, što znači da sistem prati cjelokupan životni ciklus dokumenta od njegovog stvaranja do arhiviranja. Prednost ovog sistema je što osim upravljanja dokumentima, koji su izvorno nastali u elektronskom obliku, pruža mogućnost upravljanja dokumentima koji su nastali u papirnoj formi, digitalizacijom istih, što je prepoznato novim zakonskim rješenjima.</w:t>
      </w:r>
    </w:p>
    <w:p w14:paraId="37A98EE3" w14:textId="77777777" w:rsidR="005B3072" w:rsidRDefault="00A46913">
      <w:pPr>
        <w:spacing w:before="240" w:after="240" w:line="276" w:lineRule="auto"/>
        <w:jc w:val="both"/>
        <w:rPr>
          <w:sz w:val="24"/>
          <w:szCs w:val="24"/>
        </w:rPr>
      </w:pPr>
      <w:r>
        <w:rPr>
          <w:sz w:val="24"/>
          <w:szCs w:val="24"/>
        </w:rPr>
        <w:t>eDMS je uspostavljen u 16 institucija</w:t>
      </w:r>
      <w:r>
        <w:rPr>
          <w:sz w:val="24"/>
          <w:szCs w:val="24"/>
          <w:vertAlign w:val="superscript"/>
        </w:rPr>
        <w:footnoteReference w:id="56"/>
      </w:r>
      <w:r>
        <w:rPr>
          <w:sz w:val="24"/>
          <w:szCs w:val="24"/>
        </w:rPr>
        <w:t xml:space="preserve">, a u devet se u potpunosti koristi bez ikakvih pomoćnih evidencija (internih dostavnih knjiga, djelovodnika, upisnika i sl.). Iako sistem podržava funkcionalnost razmjene elektronskih dokumenata između institucija, do sada se koristio samo za potrebe evidencije i razmjene unutar pojedinačnih institucija. </w:t>
      </w:r>
    </w:p>
    <w:p w14:paraId="7EDB78DF"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Generalni sakretarijat Vlade i MJUDDM uspostavili su novi </w:t>
      </w:r>
      <w:r>
        <w:rPr>
          <w:b/>
          <w:color w:val="000000"/>
          <w:sz w:val="24"/>
          <w:szCs w:val="24"/>
        </w:rPr>
        <w:t>Informacioni sistem za planiranje i izvještavanje</w:t>
      </w:r>
      <w:r>
        <w:rPr>
          <w:b/>
          <w:color w:val="000000"/>
          <w:sz w:val="24"/>
          <w:szCs w:val="24"/>
          <w:vertAlign w:val="superscript"/>
        </w:rPr>
        <w:footnoteReference w:id="57"/>
      </w:r>
      <w:r>
        <w:rPr>
          <w:color w:val="000000"/>
          <w:sz w:val="24"/>
          <w:szCs w:val="24"/>
        </w:rPr>
        <w:t xml:space="preserve"> , koji predstavlja zajedničku aktivnost iz Strategije reforme javne uprave. Cilj ovog informacionog sistema je da omogući što jednostavnije srednjoročno planiranje rada ministarstava i da dovede do bolje realizacije strateških ciljeva Vlade Crne Gore. Takođe, njegovom primjenom će se obezbijediti da prioriteti Vlade, planirani srednjoročnim programom rada, budu ispravno i adekvatno sprovedeni na nivou ministarstava. Mogućnost pristupa informacionom sistemu za planiranje i izvještavanje imaju svi službenici u Generalnom sekretarijatu Vlade i ministarstvima u skladu sa metodologijom za srednjoročno planiranje rada ministarstava, čime će se uskladiti planiranje na nivou Vlade koje počinje u ministarstvima, ali i unaprijediti kvalitet izvještavanja i efikasnosti praćenja realizacije.</w:t>
      </w:r>
    </w:p>
    <w:p w14:paraId="44B8FE1E" w14:textId="77777777" w:rsidR="005B3072" w:rsidRDefault="00A46913">
      <w:pPr>
        <w:pBdr>
          <w:top w:val="nil"/>
          <w:left w:val="nil"/>
          <w:bottom w:val="nil"/>
          <w:right w:val="nil"/>
          <w:between w:val="nil"/>
        </w:pBdr>
        <w:spacing w:after="240" w:line="276" w:lineRule="auto"/>
        <w:jc w:val="both"/>
        <w:rPr>
          <w:color w:val="FF0000"/>
          <w:sz w:val="24"/>
          <w:szCs w:val="24"/>
        </w:rPr>
      </w:pPr>
      <w:r>
        <w:rPr>
          <w:color w:val="000000"/>
          <w:sz w:val="24"/>
          <w:szCs w:val="24"/>
        </w:rPr>
        <w:t>Strategijom reforme javne uprave prepoznata je potreba da se postojeći portal e</w:t>
      </w:r>
      <w:r>
        <w:rPr>
          <w:sz w:val="24"/>
          <w:szCs w:val="24"/>
        </w:rPr>
        <w:t>-u</w:t>
      </w:r>
      <w:r>
        <w:rPr>
          <w:color w:val="000000"/>
          <w:sz w:val="24"/>
          <w:szCs w:val="24"/>
        </w:rPr>
        <w:t xml:space="preserve">prave, uspostavljen još prije 10 godina, unaprijedi kako u vizuelnom, tako i u tehničko-tehološkom smislu. Uspostavljanje novog portala predviđa integraciju sa dijeljenim sistemima elektronske uprave kao što su sistem za elektronsku identifikaciju, sistem za naplatu administrativnih taksi i naknada itd., kako bi se omogućilo zaokruživanje elektronskih usluga i njihova sofisticiranost najvišeg nivoa. Željeni trend MJUDDM jeste da razvije usluge </w:t>
      </w:r>
      <w:r>
        <w:rPr>
          <w:color w:val="000000"/>
          <w:sz w:val="24"/>
          <w:szCs w:val="24"/>
        </w:rPr>
        <w:lastRenderedPageBreak/>
        <w:t xml:space="preserve">na visokom nivou sofisticiranosti, koje prije svega krajnjim korisnicima obezbjeđuju da cjelokupnu komunikaciju sa javnom upravom u cjelosti realizuju elektronskim putem. </w:t>
      </w:r>
    </w:p>
    <w:p w14:paraId="07F9AF8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Ministarstvo javne uprave, digitalnog društva i medija kao organ državne uprave nadležno za poslove elektronske uprave i elektronskog poslovanja je pokrenulo implementaciju i dva informaciona sistema i to: </w:t>
      </w:r>
      <w:r>
        <w:rPr>
          <w:b/>
          <w:color w:val="000000"/>
          <w:sz w:val="24"/>
          <w:szCs w:val="24"/>
        </w:rPr>
        <w:t>sistema za elektronsku naplatu administrativnih taksi i sistema za elektronsku identifikaciju i autentifikaciju</w:t>
      </w:r>
      <w:r>
        <w:rPr>
          <w:color w:val="000000"/>
          <w:sz w:val="24"/>
          <w:szCs w:val="24"/>
        </w:rPr>
        <w:t xml:space="preserve">. </w:t>
      </w:r>
    </w:p>
    <w:p w14:paraId="10CF6D5E" w14:textId="77777777" w:rsidR="005B3072" w:rsidRDefault="00A46913">
      <w:pPr>
        <w:pBdr>
          <w:top w:val="nil"/>
          <w:left w:val="nil"/>
          <w:bottom w:val="nil"/>
          <w:right w:val="nil"/>
          <w:between w:val="nil"/>
        </w:pBdr>
        <w:spacing w:after="240" w:line="276" w:lineRule="auto"/>
        <w:jc w:val="both"/>
        <w:rPr>
          <w:b/>
          <w:sz w:val="24"/>
          <w:szCs w:val="24"/>
        </w:rPr>
      </w:pPr>
      <w:r>
        <w:rPr>
          <w:b/>
          <w:sz w:val="24"/>
          <w:szCs w:val="24"/>
        </w:rPr>
        <w:t>Informacioni sistem za elektronsku identifikaciju korisnika (NS eID)</w:t>
      </w:r>
      <w:r>
        <w:rPr>
          <w:sz w:val="24"/>
          <w:szCs w:val="24"/>
        </w:rPr>
        <w:t xml:space="preserve"> ima za cilj da omogući elektronsku identifikaciju, odnosno autentifikaciju i autorizaciju korisnika prilikom korišćenja elektronskih usluga, dok </w:t>
      </w:r>
      <w:r>
        <w:rPr>
          <w:b/>
          <w:sz w:val="24"/>
          <w:szCs w:val="24"/>
        </w:rPr>
        <w:t>Informacioni sistem za naplatu administrativnih taksi (NS – NAT)</w:t>
      </w:r>
      <w:r>
        <w:rPr>
          <w:sz w:val="24"/>
          <w:szCs w:val="24"/>
        </w:rPr>
        <w:t xml:space="preserve"> treba da omogući elektronsku uplatu javnih prihoda. Cilj uvođenja sistema je otklanjanje postojećih problema naplate javnih prihoda uvođenjem centralnog mjesta za nadzor kroz usluge plaćanja javnih prihoda platnim karticama na šalterima organa državne uprave i jedinica lokalne samouprave kao i platnim karticama posredstvom portala za pružanje elektronskih usluga. Realizacijom ovog sistema biće ostvareni rezultati koji će u velikoj mjeri doprinijeti monitoringu i provjerljivosti svih transakcija vezanih za naplatu javnih prihoda, čime će se smanjiti broj zloupotreba koje su identifikovane u prethodnom periodu u okviru platnog prometa.</w:t>
      </w:r>
    </w:p>
    <w:p w14:paraId="00A35FC8" w14:textId="77777777" w:rsidR="005B3072" w:rsidRDefault="00A46913">
      <w:pPr>
        <w:spacing w:before="240" w:after="240"/>
        <w:jc w:val="both"/>
        <w:rPr>
          <w:b/>
          <w:sz w:val="24"/>
          <w:szCs w:val="24"/>
        </w:rPr>
      </w:pPr>
      <w:r>
        <w:rPr>
          <w:sz w:val="24"/>
          <w:szCs w:val="24"/>
        </w:rPr>
        <w:t>Kako Crna Gora nastavlja razvoj sopstvene digitalne informacione infrastrukture putem koje zaštićeni nivo razmjene podataka na internetu omogućava decentralizovanim bazama podataka i informacionim sistemima da komuniciraju jedni s drugima da bi se poboljšala primjena e-usluga (koja je odložena zbog COVID-19 pandemije), mogu se izvući pouke iz iskustva Estonije u odnosu na maksimizaciju razmjene podataka i dizajna usmjerenog na korisnike. (UNDP Nacionalni izvještaj o razvoju po mjeri čovjeka, str. 91)</w:t>
      </w:r>
      <w:r>
        <w:rPr>
          <w:sz w:val="24"/>
          <w:szCs w:val="24"/>
          <w:vertAlign w:val="superscript"/>
        </w:rPr>
        <w:footnoteReference w:id="58"/>
      </w:r>
      <w:r>
        <w:rPr>
          <w:sz w:val="24"/>
          <w:szCs w:val="24"/>
          <w:vertAlign w:val="superscript"/>
        </w:rPr>
        <w:t>.</w:t>
      </w:r>
    </w:p>
    <w:p w14:paraId="169E2AB7" w14:textId="77777777" w:rsidR="005B3072" w:rsidRDefault="00A46913">
      <w:pPr>
        <w:pStyle w:val="Heading3"/>
        <w:spacing w:after="240"/>
        <w:rPr>
          <w:b/>
          <w:color w:val="2E75B5"/>
          <w:u w:val="single"/>
        </w:rPr>
      </w:pPr>
      <w:bookmarkStart w:id="27" w:name="_qsh70q" w:colFirst="0" w:colLast="0"/>
      <w:bookmarkEnd w:id="27"/>
      <w:r>
        <w:rPr>
          <w:b/>
          <w:color w:val="2E75B5"/>
          <w:u w:val="single"/>
        </w:rPr>
        <w:t>Ključni izazovi, problemi i nalazi</w:t>
      </w:r>
    </w:p>
    <w:p w14:paraId="4CD964A8" w14:textId="77777777" w:rsidR="005B3072" w:rsidRDefault="00A46913">
      <w:pPr>
        <w:numPr>
          <w:ilvl w:val="0"/>
          <w:numId w:val="1"/>
        </w:numPr>
        <w:spacing w:after="0" w:line="276" w:lineRule="auto"/>
        <w:jc w:val="both"/>
        <w:rPr>
          <w:sz w:val="24"/>
          <w:szCs w:val="24"/>
        </w:rPr>
      </w:pPr>
      <w:r>
        <w:rPr>
          <w:sz w:val="24"/>
          <w:szCs w:val="24"/>
        </w:rPr>
        <w:t>Zadovoljstvo e-uslugama (među korisnicima istih) je relativno visoko, ali je nivo upotrebe prilično nizak, posebno u oblasti e-usluga namijenjenih građanima. Ključni identifikovani razlog je nizak nivo potpuno digitalizovanih usluga (uglavnom su prisutne informacije i djelimično digitalizovane usluge) koje se ne mogu u potpunosti od početka do kraja realizovati elektronskim putem, tj. od prijave do realizacije i plaćanja.</w:t>
      </w:r>
    </w:p>
    <w:p w14:paraId="4AF74C85" w14:textId="77777777" w:rsidR="005B3072" w:rsidRDefault="00A46913">
      <w:pPr>
        <w:numPr>
          <w:ilvl w:val="0"/>
          <w:numId w:val="1"/>
        </w:numPr>
        <w:spacing w:after="0" w:line="276" w:lineRule="auto"/>
        <w:jc w:val="both"/>
        <w:rPr>
          <w:sz w:val="24"/>
          <w:szCs w:val="24"/>
        </w:rPr>
      </w:pPr>
      <w:r>
        <w:rPr>
          <w:sz w:val="24"/>
          <w:szCs w:val="24"/>
        </w:rPr>
        <w:t>Utvrđena je nedovoljna svijest i manjak informacija o postojećim uslugama. Postoji potreba za centralizacijom i promocijom svih e-usluga koje moraju biti lako dostupne u jednoj pristupnoj tački i slijediti jedinstvene standarde dizajna usmjerenog na korisnika. To ukazuje na potrebu za aktivnom promocijom na nacionalnom nivou i poboljšanjem dizajna usluga usmjerenih na korisnika.</w:t>
      </w:r>
    </w:p>
    <w:p w14:paraId="0C3F776A" w14:textId="77777777" w:rsidR="005B3072" w:rsidRDefault="00A46913">
      <w:pPr>
        <w:numPr>
          <w:ilvl w:val="0"/>
          <w:numId w:val="1"/>
        </w:numPr>
        <w:pBdr>
          <w:top w:val="nil"/>
          <w:left w:val="nil"/>
          <w:bottom w:val="nil"/>
          <w:right w:val="nil"/>
          <w:between w:val="nil"/>
        </w:pBdr>
        <w:spacing w:after="0" w:line="276" w:lineRule="auto"/>
        <w:jc w:val="both"/>
        <w:rPr>
          <w:sz w:val="24"/>
          <w:szCs w:val="24"/>
        </w:rPr>
      </w:pPr>
      <w:r>
        <w:rPr>
          <w:sz w:val="24"/>
          <w:szCs w:val="24"/>
        </w:rPr>
        <w:lastRenderedPageBreak/>
        <w:t>Za efikasno funkcionisanje portala e-uprave, neophodno je integrisati sisteme (sistem za elektronsku identifikaciju, sistem za elektronsko plaćanje itd.) koji su ključni za realizaciju velikog broja različitih usluga bez obzira na njihove specifičnosti.</w:t>
      </w:r>
    </w:p>
    <w:p w14:paraId="79D4E2F7" w14:textId="77777777" w:rsidR="005B3072" w:rsidRDefault="00A46913">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Postojeći sistem ne omogućava dobijanje povratne informacije od strane davaoca e-usluge korisnicima koji su podnijeli zahtjeve za određene e-usluge i to predstavlja loš imidž za portal e-uprave. Ovaj problem je posljedica nezainteresovanosti institucija za obradu prispjelih zahtjeva za e-usluge koje su u njihovoj nadležnosti, a dostupne su na e-portalu.</w:t>
      </w:r>
    </w:p>
    <w:p w14:paraId="7714062D" w14:textId="77777777" w:rsidR="005B3072" w:rsidRDefault="00A46913">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Neblagovremeno ažuriranje informacija koje se nalaze u opisnom dijelu za e-usluge, naročito kod e-usluga informativnog karaktera.</w:t>
      </w:r>
    </w:p>
    <w:p w14:paraId="563DF4A4" w14:textId="77777777" w:rsidR="005B3072" w:rsidRDefault="00A46913">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Nezainteresovanost institucija da se određene e-usluge “podignu” na viši nivo sofisticiranosti i pored postojanja realnih uslova.</w:t>
      </w:r>
    </w:p>
    <w:p w14:paraId="21DF2101" w14:textId="77777777" w:rsidR="005B3072" w:rsidRDefault="00A46913">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Nizak nivo znanja krajnih korisnika u domenu elektronskog poslovanja, odnosno nedostatak informatičke pismenosti i neinformisanost krajnjih korisnika o postojanju e-usluga na </w:t>
      </w:r>
      <w:r>
        <w:rPr>
          <w:sz w:val="24"/>
          <w:szCs w:val="24"/>
        </w:rPr>
        <w:t>p</w:t>
      </w:r>
      <w:r>
        <w:rPr>
          <w:color w:val="000000"/>
          <w:sz w:val="24"/>
          <w:szCs w:val="24"/>
        </w:rPr>
        <w:t>ortalu e-uprave prepoznato je kao opšti problem. </w:t>
      </w:r>
    </w:p>
    <w:p w14:paraId="0801ECA6" w14:textId="77777777" w:rsidR="005B3072" w:rsidRDefault="00A46913">
      <w:pPr>
        <w:numPr>
          <w:ilvl w:val="0"/>
          <w:numId w:val="1"/>
        </w:numPr>
        <w:pBdr>
          <w:top w:val="nil"/>
          <w:left w:val="nil"/>
          <w:bottom w:val="nil"/>
          <w:right w:val="nil"/>
          <w:between w:val="nil"/>
        </w:pBdr>
        <w:spacing w:after="0" w:line="276" w:lineRule="auto"/>
        <w:jc w:val="both"/>
        <w:rPr>
          <w:sz w:val="24"/>
          <w:szCs w:val="24"/>
        </w:rPr>
      </w:pPr>
      <w:r>
        <w:rPr>
          <w:sz w:val="24"/>
          <w:szCs w:val="24"/>
        </w:rPr>
        <w:t>Vođenje podataka o polu pri registraciji korisnika, kao i prilikom izvještavanja o podnešenim zahtjevima na drugim portalima razvijenim od strane organa javne uprave.</w:t>
      </w:r>
    </w:p>
    <w:p w14:paraId="4CE04225" w14:textId="77777777" w:rsidR="005B3072" w:rsidRDefault="005B3072">
      <w:pPr>
        <w:pBdr>
          <w:top w:val="nil"/>
          <w:left w:val="nil"/>
          <w:bottom w:val="nil"/>
          <w:right w:val="nil"/>
          <w:between w:val="nil"/>
        </w:pBdr>
        <w:spacing w:after="0" w:line="276" w:lineRule="auto"/>
        <w:ind w:left="720"/>
        <w:jc w:val="both"/>
        <w:rPr>
          <w:sz w:val="24"/>
          <w:szCs w:val="24"/>
          <w:highlight w:val="yellow"/>
        </w:rPr>
      </w:pPr>
    </w:p>
    <w:p w14:paraId="525654DD" w14:textId="77777777" w:rsidR="005B3072" w:rsidRDefault="00A46913">
      <w:pPr>
        <w:pStyle w:val="Heading2"/>
        <w:spacing w:after="240"/>
        <w:rPr>
          <w:b/>
          <w:color w:val="2E75B5"/>
          <w:sz w:val="28"/>
          <w:szCs w:val="28"/>
        </w:rPr>
      </w:pPr>
      <w:bookmarkStart w:id="28" w:name="_3as4poj" w:colFirst="0" w:colLast="0"/>
      <w:bookmarkEnd w:id="28"/>
      <w:r>
        <w:rPr>
          <w:b/>
          <w:color w:val="2E75B5"/>
          <w:sz w:val="28"/>
          <w:szCs w:val="28"/>
        </w:rPr>
        <w:t>eID, usluge povjerenja i sajber bezbjednost</w:t>
      </w:r>
    </w:p>
    <w:p w14:paraId="550290CE"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Kao što je već navedeno u prethodnom dijelu, za sprovođenje digitalne </w:t>
      </w:r>
      <w:r>
        <w:rPr>
          <w:sz w:val="24"/>
          <w:szCs w:val="24"/>
        </w:rPr>
        <w:t>transformacije</w:t>
      </w:r>
      <w:r>
        <w:rPr>
          <w:color w:val="000000"/>
          <w:sz w:val="24"/>
          <w:szCs w:val="24"/>
        </w:rPr>
        <w:t xml:space="preserve"> potrebno je normativno urediti ovu oblast. Zakonom o elektronskoj identifikaciji i elektronskom potpisu uređuju se uslovi za korišćenje elektronskog potpisa, elektronskog pečata, elektronskog vremenskog pečata i usluge elektronske preporučene dostave u pravnom prometu, upravnim, sudskim i drugim postupcima, </w:t>
      </w:r>
      <w:r>
        <w:rPr>
          <w:sz w:val="24"/>
          <w:szCs w:val="24"/>
        </w:rPr>
        <w:t>s</w:t>
      </w:r>
      <w:r>
        <w:rPr>
          <w:color w:val="000000"/>
          <w:sz w:val="24"/>
          <w:szCs w:val="24"/>
        </w:rPr>
        <w:t>ertifikovanje za autentifikaciju internet stranice, kao i sistem elektronske identifikacije i uslovi za priznavanje sredstava elektronske identifikacije drugih država.</w:t>
      </w:r>
    </w:p>
    <w:p w14:paraId="5E7A059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U skladu sa Zakonom o elektronskoj identifikaciji i elektronskom potpisu, MJUDDM vodi evidenciju davalaca elektronskih usluga povjerenja, registar davalaca kvalifikovanih elektronskih usluga povjerenja, kao i </w:t>
      </w:r>
      <w:r>
        <w:rPr>
          <w:sz w:val="24"/>
          <w:szCs w:val="24"/>
        </w:rPr>
        <w:t>r</w:t>
      </w:r>
      <w:r>
        <w:rPr>
          <w:color w:val="000000"/>
          <w:sz w:val="24"/>
          <w:szCs w:val="24"/>
        </w:rPr>
        <w:t>egistar sistema elektronske identifikacije.</w:t>
      </w:r>
    </w:p>
    <w:p w14:paraId="0A35CBD3" w14:textId="77777777" w:rsidR="005B3072" w:rsidRDefault="00A46913">
      <w:pPr>
        <w:pBdr>
          <w:top w:val="nil"/>
          <w:left w:val="nil"/>
          <w:bottom w:val="nil"/>
          <w:right w:val="nil"/>
          <w:between w:val="nil"/>
        </w:pBdr>
        <w:spacing w:after="240" w:line="276" w:lineRule="auto"/>
        <w:jc w:val="both"/>
        <w:rPr>
          <w:sz w:val="24"/>
          <w:szCs w:val="24"/>
        </w:rPr>
      </w:pPr>
      <w:r>
        <w:rPr>
          <w:color w:val="000000"/>
          <w:sz w:val="24"/>
          <w:szCs w:val="24"/>
        </w:rPr>
        <w:t>Pored davalaca elektronskih usluga povjerenja koji s</w:t>
      </w:r>
      <w:r>
        <w:rPr>
          <w:sz w:val="24"/>
          <w:szCs w:val="24"/>
        </w:rPr>
        <w:t>u upisani u r</w:t>
      </w:r>
      <w:r>
        <w:rPr>
          <w:color w:val="000000"/>
          <w:sz w:val="24"/>
          <w:szCs w:val="24"/>
        </w:rPr>
        <w:t>egist</w:t>
      </w:r>
      <w:r>
        <w:rPr>
          <w:sz w:val="24"/>
          <w:szCs w:val="24"/>
        </w:rPr>
        <w:t>ar</w:t>
      </w:r>
      <w:r>
        <w:rPr>
          <w:color w:val="000000"/>
          <w:sz w:val="24"/>
          <w:szCs w:val="24"/>
        </w:rPr>
        <w:t xml:space="preserve"> kvalifikovanih davalaca elektronskih usluga povjerenja, u </w:t>
      </w:r>
      <w:r>
        <w:rPr>
          <w:sz w:val="24"/>
          <w:szCs w:val="24"/>
        </w:rPr>
        <w:t>e</w:t>
      </w:r>
      <w:r>
        <w:rPr>
          <w:color w:val="000000"/>
          <w:sz w:val="24"/>
          <w:szCs w:val="24"/>
        </w:rPr>
        <w:t>videnciju su upisani sledeći dava</w:t>
      </w:r>
      <w:r>
        <w:rPr>
          <w:sz w:val="24"/>
          <w:szCs w:val="24"/>
        </w:rPr>
        <w:t xml:space="preserve">oci elektronskih usluga povjerenja: </w:t>
      </w:r>
    </w:p>
    <w:p w14:paraId="4CD92030" w14:textId="77777777" w:rsidR="005B3072" w:rsidRDefault="00A46913">
      <w:pPr>
        <w:numPr>
          <w:ilvl w:val="0"/>
          <w:numId w:val="40"/>
        </w:numPr>
        <w:spacing w:after="0" w:line="276" w:lineRule="auto"/>
        <w:ind w:right="-40"/>
        <w:jc w:val="both"/>
        <w:rPr>
          <w:sz w:val="24"/>
          <w:szCs w:val="24"/>
        </w:rPr>
      </w:pPr>
      <w:r>
        <w:rPr>
          <w:sz w:val="24"/>
          <w:szCs w:val="24"/>
        </w:rPr>
        <w:t>Ministarstvo javne uprave, digitalnog društva i medija - pruža nekomercijalne elektronske usluge povjerenja za organe države uprave, prepoznate u Uredbi o organizaciji i načinu rada državne uprave (izrada sertifikata za napredni elektronski potpis) i kao takav je upisan u Evidenciju davalaca elektronskih usluga povjerenja;</w:t>
      </w:r>
    </w:p>
    <w:p w14:paraId="40B4B6AA" w14:textId="77777777" w:rsidR="005B3072" w:rsidRDefault="00A46913">
      <w:pPr>
        <w:numPr>
          <w:ilvl w:val="0"/>
          <w:numId w:val="40"/>
        </w:numPr>
        <w:spacing w:after="0" w:line="276" w:lineRule="auto"/>
        <w:ind w:right="-40"/>
        <w:jc w:val="both"/>
        <w:rPr>
          <w:sz w:val="24"/>
          <w:szCs w:val="24"/>
        </w:rPr>
      </w:pPr>
      <w:r>
        <w:rPr>
          <w:sz w:val="24"/>
          <w:szCs w:val="24"/>
        </w:rPr>
        <w:t xml:space="preserve">DOO Zeko.me - pruža usluge elektronske preporučene dostave. </w:t>
      </w:r>
    </w:p>
    <w:p w14:paraId="6FD080CE" w14:textId="77777777" w:rsidR="005B3072" w:rsidRDefault="005B3072">
      <w:pPr>
        <w:spacing w:after="0" w:line="276" w:lineRule="auto"/>
        <w:ind w:right="-40"/>
        <w:jc w:val="both"/>
        <w:rPr>
          <w:sz w:val="24"/>
          <w:szCs w:val="24"/>
        </w:rPr>
      </w:pPr>
    </w:p>
    <w:p w14:paraId="2CEA5201"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Kvalifikovani elektronski potpis ima jednako pravno dejstvo kao svojeručni potpis, odnosno svojeručni potpis i pečat u odnosu na podatke u papirnom obliku i prihvatljiv je kao dokazno sredstvo u postupcima pred državnim organima, organima državne uprave, organima lokalne samouprave i lokalne uprave i pravnim licima koja vrše javna ovlašćenja.</w:t>
      </w:r>
    </w:p>
    <w:p w14:paraId="3458AAE2" w14:textId="77777777" w:rsidR="005B3072" w:rsidRDefault="00A46913">
      <w:pPr>
        <w:pBdr>
          <w:top w:val="nil"/>
          <w:left w:val="nil"/>
          <w:bottom w:val="nil"/>
          <w:right w:val="nil"/>
          <w:between w:val="nil"/>
        </w:pBdr>
        <w:spacing w:after="240" w:line="276" w:lineRule="auto"/>
        <w:jc w:val="both"/>
        <w:rPr>
          <w:b/>
          <w:color w:val="000000"/>
          <w:sz w:val="24"/>
          <w:szCs w:val="24"/>
        </w:rPr>
      </w:pPr>
      <w:r>
        <w:rPr>
          <w:b/>
          <w:color w:val="000000"/>
          <w:sz w:val="24"/>
          <w:szCs w:val="24"/>
        </w:rPr>
        <w:t xml:space="preserve">Imajući u vidu da je kvalifikovani elektronski potpis ekvivalent svojeručnom potpisu, besplatno izdavanje elektronskih </w:t>
      </w:r>
      <w:r>
        <w:rPr>
          <w:b/>
          <w:sz w:val="24"/>
          <w:szCs w:val="24"/>
        </w:rPr>
        <w:t>s</w:t>
      </w:r>
      <w:r>
        <w:rPr>
          <w:b/>
          <w:color w:val="000000"/>
          <w:sz w:val="24"/>
          <w:szCs w:val="24"/>
        </w:rPr>
        <w:t xml:space="preserve">ertifikata za građane i jeftinije izdavanje elektronskih </w:t>
      </w:r>
      <w:r>
        <w:rPr>
          <w:b/>
          <w:sz w:val="24"/>
          <w:szCs w:val="24"/>
        </w:rPr>
        <w:t>s</w:t>
      </w:r>
      <w:r>
        <w:rPr>
          <w:b/>
          <w:color w:val="000000"/>
          <w:sz w:val="24"/>
          <w:szCs w:val="24"/>
        </w:rPr>
        <w:t xml:space="preserve">ertifikata za privredu predstavlja značajan potencijal za unapređenje upotrebe elektronskih usluga u Crnoj Gori ali je bitan pomak napravljen izdavanjem nove lične karte sa besplatnim </w:t>
      </w:r>
      <w:r>
        <w:rPr>
          <w:b/>
          <w:sz w:val="24"/>
          <w:szCs w:val="24"/>
        </w:rPr>
        <w:t>s</w:t>
      </w:r>
      <w:r>
        <w:rPr>
          <w:b/>
          <w:color w:val="000000"/>
          <w:sz w:val="24"/>
          <w:szCs w:val="24"/>
        </w:rPr>
        <w:t xml:space="preserve">ertifikatima </w:t>
      </w:r>
      <w:r>
        <w:rPr>
          <w:b/>
          <w:sz w:val="24"/>
          <w:szCs w:val="24"/>
        </w:rPr>
        <w:t>za kvalifikovani</w:t>
      </w:r>
      <w:r>
        <w:rPr>
          <w:b/>
          <w:color w:val="000000"/>
          <w:sz w:val="24"/>
          <w:szCs w:val="24"/>
        </w:rPr>
        <w:t xml:space="preserve"> elektronski potpis</w:t>
      </w:r>
      <w:r>
        <w:rPr>
          <w:b/>
          <w:sz w:val="24"/>
          <w:szCs w:val="24"/>
        </w:rPr>
        <w:t xml:space="preserve"> i elektronsku identifikaciju</w:t>
      </w:r>
      <w:r>
        <w:rPr>
          <w:b/>
          <w:color w:val="000000"/>
          <w:sz w:val="24"/>
          <w:szCs w:val="24"/>
        </w:rPr>
        <w:t>.</w:t>
      </w:r>
    </w:p>
    <w:p w14:paraId="48A0749F"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Uprava mora da ponudi atraktivne i najčešće korišćene usluge građanima i privredi u elektronskom obliku. Nije ohrabrujuće što je od novembra 2009. do decembra 2020. godine Ministarstvo javne uprave, digitalnog društva i medija </w:t>
      </w:r>
      <w:r>
        <w:rPr>
          <w:b/>
          <w:color w:val="000000"/>
          <w:sz w:val="24"/>
          <w:szCs w:val="24"/>
        </w:rPr>
        <w:t xml:space="preserve">izdalo 712 elektronskih </w:t>
      </w:r>
      <w:r>
        <w:rPr>
          <w:b/>
          <w:sz w:val="24"/>
          <w:szCs w:val="24"/>
        </w:rPr>
        <w:t>s</w:t>
      </w:r>
      <w:r>
        <w:rPr>
          <w:b/>
          <w:color w:val="000000"/>
          <w:sz w:val="24"/>
          <w:szCs w:val="24"/>
        </w:rPr>
        <w:t>ertifikata organima državne uprave, od kojih je samo 421 aktiviran</w:t>
      </w:r>
      <w:r>
        <w:rPr>
          <w:color w:val="000000"/>
          <w:sz w:val="24"/>
          <w:szCs w:val="24"/>
        </w:rPr>
        <w:t>. Naime, Zakonom o elektronskoj identifikaciji i elektronskom potpisu propisano je da Ministarstvo za javnu upravu, digitalno društvo i medije pruža usluge elektronskog povjerenja i kvalifikovane elektronske usluge povjerenja za organe državne uprave, a kada je to zakonom propisano i za druge državne organe. Ovo isključuje veliki broj tijela i institucija i na centralnom i na lokalnom nivou.</w:t>
      </w:r>
    </w:p>
    <w:p w14:paraId="4EA6CD6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U posljednjih godinu dana ostvaren je značajan napredak kada je prisustvo digitalnog potpisa i elektronske identifikacije u pitanju. Konkretno, u ranijem periodu digitalni </w:t>
      </w:r>
      <w:r>
        <w:rPr>
          <w:sz w:val="24"/>
          <w:szCs w:val="24"/>
        </w:rPr>
        <w:t>s</w:t>
      </w:r>
      <w:r>
        <w:rPr>
          <w:color w:val="000000"/>
          <w:sz w:val="24"/>
          <w:szCs w:val="24"/>
        </w:rPr>
        <w:t xml:space="preserve">ertifikati su dominantno korišćeni od strane privrednih društava u njihovoj komunikaciji sa Poreskom upravom, dok digitalni </w:t>
      </w:r>
      <w:r>
        <w:rPr>
          <w:sz w:val="24"/>
          <w:szCs w:val="24"/>
        </w:rPr>
        <w:t>s</w:t>
      </w:r>
      <w:r>
        <w:rPr>
          <w:color w:val="000000"/>
          <w:sz w:val="24"/>
          <w:szCs w:val="24"/>
        </w:rPr>
        <w:t>ertifikat nije bio svojstven fizičkim licima. Prema podacima iz juna 2018. godine oko 20 hiljada privrednih dru</w:t>
      </w:r>
      <w:r>
        <w:rPr>
          <w:sz w:val="24"/>
          <w:szCs w:val="24"/>
        </w:rPr>
        <w:t>š</w:t>
      </w:r>
      <w:r>
        <w:rPr>
          <w:color w:val="000000"/>
          <w:sz w:val="24"/>
          <w:szCs w:val="24"/>
        </w:rPr>
        <w:t xml:space="preserve">tava i tek 400 fizičkih lica posjedovalo je digitalni </w:t>
      </w:r>
      <w:r>
        <w:rPr>
          <w:sz w:val="24"/>
          <w:szCs w:val="24"/>
        </w:rPr>
        <w:t>s</w:t>
      </w:r>
      <w:r>
        <w:rPr>
          <w:color w:val="000000"/>
          <w:sz w:val="24"/>
          <w:szCs w:val="24"/>
        </w:rPr>
        <w:t>ertifikat (Nacionalni izvještaj i plan za unapređenje Crne Gore, 2020). Iako je Zakon o elektronskom dokumentu donesen jos 2008. godine, njegova primjena u praksi je izostala. Tek se uvođenjem novih ličnih karata sa čipom čije je izdavanje započeto u toku 2020. godine i predviđenim izmjenama i dopunama Zakona o elektronskom dokumentu ostvaruje mogućnost za širu upotrebu digitalnog potpisa.</w:t>
      </w:r>
    </w:p>
    <w:p w14:paraId="7022D9DB" w14:textId="77777777" w:rsidR="005B3072" w:rsidRDefault="00A46913">
      <w:pPr>
        <w:spacing w:before="240" w:after="240" w:line="276" w:lineRule="auto"/>
        <w:jc w:val="both"/>
        <w:rPr>
          <w:sz w:val="24"/>
          <w:szCs w:val="24"/>
        </w:rPr>
      </w:pPr>
      <w:r>
        <w:rPr>
          <w:sz w:val="24"/>
          <w:szCs w:val="24"/>
        </w:rPr>
        <w:t>U dijelu razvoja pružanja usluga od povjerenja, potrebno je istaći i međunarodne sporazume koje je Crna Gora potpisala. U tom dijelu posebno je važno pomenuti:</w:t>
      </w:r>
    </w:p>
    <w:p w14:paraId="040CA6EA" w14:textId="77777777" w:rsidR="005B3072" w:rsidRDefault="00A46913">
      <w:pPr>
        <w:numPr>
          <w:ilvl w:val="0"/>
          <w:numId w:val="25"/>
        </w:numPr>
        <w:spacing w:before="240" w:after="0" w:line="276" w:lineRule="auto"/>
        <w:jc w:val="both"/>
        <w:rPr>
          <w:sz w:val="24"/>
          <w:szCs w:val="24"/>
        </w:rPr>
      </w:pPr>
      <w:r>
        <w:rPr>
          <w:sz w:val="24"/>
          <w:szCs w:val="24"/>
        </w:rPr>
        <w:t>Sporazum o uzajamnom priznavanju kvalifikovanih usluga setifikovanja za elektronske transakcije koje se pružaju u Crnoj Gori i kvalifikovanih usluga od povjerenja koje se pružaju u Srbiji;</w:t>
      </w:r>
    </w:p>
    <w:p w14:paraId="746C1853" w14:textId="77777777" w:rsidR="005B3072" w:rsidRDefault="00A46913">
      <w:pPr>
        <w:numPr>
          <w:ilvl w:val="0"/>
          <w:numId w:val="25"/>
        </w:numPr>
        <w:spacing w:after="240" w:line="276" w:lineRule="auto"/>
        <w:jc w:val="both"/>
        <w:rPr>
          <w:sz w:val="24"/>
          <w:szCs w:val="24"/>
        </w:rPr>
      </w:pPr>
      <w:r>
        <w:rPr>
          <w:sz w:val="24"/>
          <w:szCs w:val="24"/>
        </w:rPr>
        <w:t>Sporazum sa Sjevernom Makedonijom, o uzajamnom priznavanju usluga sertifikovanja za elektronske transakcije koje se pružaju u Crnoj Gori i kvalifikovanih usluga od povjerenja koje se pružaju u Republici Sjevernoj Makedoniji.</w:t>
      </w:r>
    </w:p>
    <w:p w14:paraId="71EE26A1"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Kao što je već navedeno, značajna prilika za ubrzanje digitalne transformacije je uvođenje novih </w:t>
      </w:r>
      <w:r>
        <w:rPr>
          <w:b/>
          <w:color w:val="000000"/>
          <w:sz w:val="24"/>
          <w:szCs w:val="24"/>
        </w:rPr>
        <w:t>ličnih karti u</w:t>
      </w:r>
      <w:r>
        <w:rPr>
          <w:b/>
          <w:sz w:val="24"/>
          <w:szCs w:val="24"/>
        </w:rPr>
        <w:t xml:space="preserve">z koje se i besplatno izdaju digitalni sertifikati za kvalifikovani elektronski potpis i elektronsku </w:t>
      </w:r>
      <w:r>
        <w:rPr>
          <w:b/>
          <w:sz w:val="24"/>
          <w:szCs w:val="24"/>
        </w:rPr>
        <w:lastRenderedPageBreak/>
        <w:t>identifikaciju.</w:t>
      </w:r>
      <w:r>
        <w:rPr>
          <w:color w:val="000000"/>
          <w:sz w:val="24"/>
          <w:szCs w:val="24"/>
        </w:rPr>
        <w:t xml:space="preserve"> Naime, izmjenama </w:t>
      </w:r>
      <w:r>
        <w:rPr>
          <w:b/>
          <w:color w:val="000000"/>
          <w:sz w:val="24"/>
          <w:szCs w:val="24"/>
        </w:rPr>
        <w:t>Zakona o ličnoj karti</w:t>
      </w:r>
      <w:r>
        <w:rPr>
          <w:color w:val="000000"/>
          <w:sz w:val="24"/>
          <w:szCs w:val="24"/>
        </w:rPr>
        <w:t xml:space="preserve"> propisano je da je lična karta elektronska javna isprava, kao i da sadrži </w:t>
      </w:r>
      <w:r>
        <w:rPr>
          <w:sz w:val="24"/>
          <w:szCs w:val="24"/>
        </w:rPr>
        <w:t>sertifikat</w:t>
      </w:r>
      <w:r>
        <w:rPr>
          <w:color w:val="000000"/>
          <w:sz w:val="24"/>
          <w:szCs w:val="24"/>
        </w:rPr>
        <w:t xml:space="preserve"> za elektronsku identifikaciju i </w:t>
      </w:r>
      <w:r>
        <w:rPr>
          <w:sz w:val="24"/>
          <w:szCs w:val="24"/>
        </w:rPr>
        <w:t>sertifikat</w:t>
      </w:r>
      <w:r>
        <w:rPr>
          <w:color w:val="000000"/>
          <w:sz w:val="24"/>
          <w:szCs w:val="24"/>
        </w:rPr>
        <w:t xml:space="preserve"> za kvalifikovani elektronski potpis. Zbog pandemije izazvane virusom COVID-19, Ministarstvo unutrašnjih poslova počelo je sa izdavanjem elektronskih ličnih karata 1. juna 2020. godine, a do decembra 2020. godine izdalo je 68.483 elektronske lične karte građanima Crne Gore.</w:t>
      </w:r>
    </w:p>
    <w:p w14:paraId="584CDFB4"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Nova lična karta u sebi sadrži dva digitalna </w:t>
      </w:r>
      <w:r>
        <w:rPr>
          <w:sz w:val="24"/>
          <w:szCs w:val="24"/>
        </w:rPr>
        <w:t>s</w:t>
      </w:r>
      <w:r>
        <w:rPr>
          <w:color w:val="000000"/>
          <w:sz w:val="24"/>
          <w:szCs w:val="24"/>
        </w:rPr>
        <w:t xml:space="preserve">ertifikata - </w:t>
      </w:r>
      <w:r>
        <w:rPr>
          <w:sz w:val="24"/>
          <w:szCs w:val="24"/>
        </w:rPr>
        <w:t>s</w:t>
      </w:r>
      <w:r>
        <w:rPr>
          <w:color w:val="000000"/>
          <w:sz w:val="24"/>
          <w:szCs w:val="24"/>
        </w:rPr>
        <w:t xml:space="preserve">ertifikat za identifikaciju i kvalifikovani </w:t>
      </w:r>
      <w:r>
        <w:rPr>
          <w:sz w:val="24"/>
          <w:szCs w:val="24"/>
        </w:rPr>
        <w:t>s</w:t>
      </w:r>
      <w:r>
        <w:rPr>
          <w:color w:val="000000"/>
          <w:sz w:val="24"/>
          <w:szCs w:val="24"/>
        </w:rPr>
        <w:t>ertifikat za elektronski potpis kojim građanin, prilikom pristupa elektronskim servisima, može dokazati identitet i elektronski potpisati dokument na način koji ima isto pravno dejstvo kao svojeručni potpis. U Nacionalnom izvještaju i planu za unapređenje Crne Gore (2020) utvrđeno je da oko 70 hiljada gra</w:t>
      </w:r>
      <w:r>
        <w:rPr>
          <w:sz w:val="24"/>
          <w:szCs w:val="24"/>
        </w:rPr>
        <w:t>đ</w:t>
      </w:r>
      <w:r>
        <w:rPr>
          <w:color w:val="000000"/>
          <w:sz w:val="24"/>
          <w:szCs w:val="24"/>
        </w:rPr>
        <w:t>ana Crne Gore</w:t>
      </w:r>
      <w:r>
        <w:rPr>
          <w:color w:val="000000"/>
          <w:sz w:val="24"/>
          <w:szCs w:val="24"/>
          <w:vertAlign w:val="superscript"/>
        </w:rPr>
        <w:footnoteReference w:id="59"/>
      </w:r>
      <w:r>
        <w:rPr>
          <w:color w:val="000000"/>
          <w:sz w:val="24"/>
          <w:szCs w:val="24"/>
        </w:rPr>
        <w:t>, tj. nešto vi</w:t>
      </w:r>
      <w:r>
        <w:rPr>
          <w:sz w:val="24"/>
          <w:szCs w:val="24"/>
        </w:rPr>
        <w:t>š</w:t>
      </w:r>
      <w:r>
        <w:rPr>
          <w:color w:val="000000"/>
          <w:sz w:val="24"/>
          <w:szCs w:val="24"/>
        </w:rPr>
        <w:t>e od 10% ukupne populacije, posjeduje eID koji omogućava izvršenje pomenutih radnji. U cilju popularizacije ovog rješenja, MJUDDM je pokrenulo kampanju "Završi elektronski" koja za cilj ima informisanje građana o elektronskim uslugama na portalu e-uprava (www.euprava.me) i drugim elektronskim uslugama koje pružaju državni organi. Takođe, u toku 2020. godine donesena su i podzakonska akta kojima se uređuje sprovođenje Zakona o elektronskoj identifikaciji i elektronskom potpisu.</w:t>
      </w:r>
    </w:p>
    <w:p w14:paraId="182EE7EA" w14:textId="77777777" w:rsidR="005B3072" w:rsidRDefault="00A46913">
      <w:pPr>
        <w:pBdr>
          <w:top w:val="nil"/>
          <w:left w:val="nil"/>
          <w:bottom w:val="nil"/>
          <w:right w:val="nil"/>
          <w:between w:val="nil"/>
        </w:pBdr>
        <w:spacing w:after="240" w:line="276" w:lineRule="auto"/>
        <w:jc w:val="both"/>
        <w:rPr>
          <w:color w:val="FF0000"/>
          <w:sz w:val="24"/>
          <w:szCs w:val="24"/>
        </w:rPr>
      </w:pPr>
      <w:r>
        <w:rPr>
          <w:color w:val="000000"/>
          <w:sz w:val="24"/>
          <w:szCs w:val="24"/>
        </w:rPr>
        <w:t xml:space="preserve">Pouzdana elektronska identifikacija i potvrda identiteta korisnika predstavljaju preduslov za uspostavljanje kvalitetnih, sofisticiranih servisa. Ministarstvo javne uprave, digitalnog društva i medija, kao što je već navedeno, radi na uspostavljanju sistema za elektronsku identifikaciju i autentifikaciju - Nacionalnog sistema elektronske identifikacije (NS eID) koji mora integrisati usluge od povjerenja različitih </w:t>
      </w:r>
      <w:r>
        <w:rPr>
          <w:sz w:val="24"/>
          <w:szCs w:val="24"/>
        </w:rPr>
        <w:t>s</w:t>
      </w:r>
      <w:r>
        <w:rPr>
          <w:color w:val="000000"/>
          <w:sz w:val="24"/>
          <w:szCs w:val="24"/>
        </w:rPr>
        <w:t xml:space="preserve">ertifikovanih davaoca usluga od povjerenja. </w:t>
      </w:r>
    </w:p>
    <w:p w14:paraId="5A83C895"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Ovaj informacioni sistem ima za cilj da omogući elektronsku identifikaciju tj. autentifikaciju i autorizaciju korisnika prilikom korišćenja elektronskih usluga. Sistem podržava centralizovani način upravljanja i podršku upotrebe različitih elektronskih mehanizma za autentifikaciju i autorizaciju, kao i podršku različitim tehničkim rješenjima. NS eID je polazna tačka za provjeravanje identiteta različitih subjekata (građana, poslovnih subjekata, javnih službenika), koji povezuje elektronske identitete subjekata i identifikacione podatke (atribute) generisane od strane različitih davalaca elektronske identifikacije i atributa. Taj sistem je namijenjen za potrebe integracije funkcionalnosti identifikacije elektronskog identiteta u informatička rješenja koja pružaju usluge korišćenjem informaciono komunikacionih tehnologija. </w:t>
      </w:r>
    </w:p>
    <w:p w14:paraId="0CB2EE6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Lična karta kao novi eID nosilac je značajan napredak u ovoj oblasti jer se može koristiti za usluge koje zahtijevaju najviši nivo usluga od poverenja za građane. S druge strane, postoji i potreba za dodatnim i </w:t>
      </w:r>
      <w:r>
        <w:rPr>
          <w:color w:val="000000"/>
          <w:sz w:val="24"/>
          <w:szCs w:val="24"/>
        </w:rPr>
        <w:lastRenderedPageBreak/>
        <w:t>postojećim uslugama od poverenja koje se mogu koristiti na mobilnim uređajima (što trenutno nacionalna lična karta ne podržava).</w:t>
      </w:r>
    </w:p>
    <w:p w14:paraId="4770729B"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Do danas je samo određena pažnja posvećena ovom pitanju iz perspektive građanina, s obzirom da viši nivoi zrelosti e-usluga zahtijeva uvođenje i upotrebu elektronske identifikacije. Ministarstvo javne uprave, digitalnog društva i medija tek treba da izgradi nove sisteme koji uključuju upotrebu novih eID dokumenata koje će uskoro imati svaki građanin Crne Gore (do 2025. godine), pri čemu je neophodno raditi na podizanju svijesti građana o mogućnostima i prednostima eID-a. </w:t>
      </w:r>
    </w:p>
    <w:p w14:paraId="3FE97CF3" w14:textId="77777777" w:rsidR="005B3072" w:rsidRDefault="00A46913">
      <w:pPr>
        <w:spacing w:after="240" w:line="276" w:lineRule="auto"/>
        <w:jc w:val="both"/>
        <w:rPr>
          <w:sz w:val="24"/>
          <w:szCs w:val="24"/>
        </w:rPr>
      </w:pPr>
      <w:bookmarkStart w:id="29" w:name="_1pxezwc" w:colFirst="0" w:colLast="0"/>
      <w:bookmarkEnd w:id="29"/>
      <w:r>
        <w:rPr>
          <w:sz w:val="24"/>
          <w:szCs w:val="24"/>
        </w:rPr>
        <w:t xml:space="preserve">Potreba za različitim mehanizmima i rješenjima za elektronsku identifikaciju (eID) naročito dolazi do izražaja kod usluga eVlade zavisno od različitih zahtjeva i potreba davaoca usluga, pa stoga treba obezbijediti različita rješenja koja zadovoljavaju osnove standarda i platformi razvoja baziranih na zahtjevima interoperabilnost. </w:t>
      </w:r>
    </w:p>
    <w:p w14:paraId="7B6B4B8B"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Za pouzdanu implementaciju i upotrebu elektronskih identifikacionih dokumenata, potrebno je da postoji bezbjedna infrastruktura ali i povjerenje korisnika u takve sisteme. </w:t>
      </w:r>
      <w:r>
        <w:rPr>
          <w:b/>
          <w:color w:val="000000"/>
          <w:sz w:val="24"/>
          <w:szCs w:val="24"/>
        </w:rPr>
        <w:t>Strateško planiranje sajber bezbjednosti u Crnoj Gori</w:t>
      </w:r>
      <w:r>
        <w:rPr>
          <w:color w:val="000000"/>
          <w:sz w:val="24"/>
          <w:szCs w:val="24"/>
        </w:rPr>
        <w:t xml:space="preserve"> zasniva se na </w:t>
      </w:r>
      <w:r>
        <w:rPr>
          <w:b/>
          <w:color w:val="000000"/>
          <w:sz w:val="24"/>
          <w:szCs w:val="24"/>
        </w:rPr>
        <w:t>Strategiji sajber bezbjednosti za Crnu Goru 2018-2021</w:t>
      </w:r>
      <w:r>
        <w:rPr>
          <w:color w:val="000000"/>
          <w:sz w:val="24"/>
          <w:szCs w:val="24"/>
        </w:rPr>
        <w:t xml:space="preserve"> koja definiše mehanizme i instrumente za sprovođenje interesa nacionalne bezbjednosti. U institucionalnom smislu, uspostavljanje Direkcije za informacionu bezbjednost i računarske incidente (CIRT) 2012. godine bilo je ključna mjera u oblasti informacija i sajber bezbjednosti. Nacionalni CIRT predstavlja centralnu instituciju za koordinaciju prevencije i zaštite od bezbjednosnih incidenata na </w:t>
      </w:r>
      <w:r>
        <w:rPr>
          <w:sz w:val="24"/>
          <w:szCs w:val="24"/>
        </w:rPr>
        <w:t>i</w:t>
      </w:r>
      <w:r>
        <w:rPr>
          <w:color w:val="000000"/>
          <w:sz w:val="24"/>
          <w:szCs w:val="24"/>
        </w:rPr>
        <w:t xml:space="preserve">nternetu i drugih bezbjednosnih rizika. Do 2020. godine ovo tijelo je bilo organizaciona jedinica Ministarstva javne uprave, digitalnog društva i medija, i koordiniralo je radom lokalnih CIRT timova. U skladu sa Zakonom o izmjenama i dopunama Zakona o informacionoj bezbjednosti, uspostavljen je Savjet za informacionu bezbjednost, koji predstavlja okvir za praćenje i unapređenje sajber bezbjednosti u javnom i privatnom sektoru. Osim toga, Agencija za nacionalnu bezbjednost, Ministarstvo odbrane, Ministarstvo unutrašnjih poslova, Ministarstvo pravde, ljudskih i manjinskih prava i </w:t>
      </w:r>
      <w:r>
        <w:rPr>
          <w:sz w:val="24"/>
          <w:szCs w:val="24"/>
        </w:rPr>
        <w:t>Direkcija za zaštitu tajnih podataka</w:t>
      </w:r>
      <w:r>
        <w:rPr>
          <w:color w:val="000000"/>
          <w:sz w:val="24"/>
          <w:szCs w:val="24"/>
        </w:rPr>
        <w:t xml:space="preserve">, prepoznati su kao institucije odgovorne za sajber bezbjednost. Takođe, u Ministarstvu unutrašnjih poslova osnovana je </w:t>
      </w:r>
      <w:r>
        <w:rPr>
          <w:b/>
          <w:color w:val="000000"/>
          <w:sz w:val="24"/>
          <w:szCs w:val="24"/>
        </w:rPr>
        <w:t>Visokotehnološka anti-kriminalna grupa</w:t>
      </w:r>
      <w:r>
        <w:rPr>
          <w:color w:val="000000"/>
          <w:sz w:val="24"/>
          <w:szCs w:val="24"/>
        </w:rPr>
        <w:t xml:space="preserve"> sa ciljem jačanja kapaciteta državnih organa za sprovođenje zakona. Ovo institucionalno tijelo bavi se pitanjem visokotehnološkog kriminala, poput klasičnih djela računarskog kriminala, dječije pornografije, zloupotrebe platnih kartica i zloupotrebe autorskih prava. Pored toga, potpisan je memorandum o razumijevanju između Crne Gore i NATO-a, koji bi trebalo da olakša saradnju i pomoć između Crne Gore i NATO-a u oblasti sajber bezbjednosti (</w:t>
      </w:r>
      <w:r>
        <w:rPr>
          <w:i/>
          <w:color w:val="000000"/>
          <w:sz w:val="24"/>
          <w:szCs w:val="24"/>
        </w:rPr>
        <w:t>Opservatorija za digitalnu agendu, 2020</w:t>
      </w:r>
      <w:r>
        <w:rPr>
          <w:color w:val="000000"/>
          <w:sz w:val="24"/>
          <w:szCs w:val="24"/>
        </w:rPr>
        <w:t>).</w:t>
      </w:r>
    </w:p>
    <w:p w14:paraId="5E3E0875"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Otkako se Crna Gora pridružila NATO-u 5. juna 2017. godine, polje sajber bezbjednosti postalo je još važnije. Strategija sajber bezbjednosti Crne Gore 2018-2021 kreirana je u skladu sa međunarodnim standardima u cilju izgradnje integrisanog, funkcionalnog i efikasnog sajber prostora. Nacionalni savjet za informacionu bezbjednost i zaštitu važne IT infrastrukture nadgleda sprovođenje strategije kibernetičke bezbjednosti. Prema „Globalnom indeksu sajber-sigurnosti 2018“ Međunarodne unije za </w:t>
      </w:r>
      <w:r>
        <w:rPr>
          <w:color w:val="000000"/>
          <w:sz w:val="24"/>
          <w:szCs w:val="24"/>
        </w:rPr>
        <w:lastRenderedPageBreak/>
        <w:t>telekomunikacije, Crna Gora zauzima 61. mesto od 175 država članica. Crna Gora je 17. maja 2019. godine postala član Evropskog centra izvrsnosti za suzbijanje hibridnih prijetnji sa sjedištem u Finskoj.</w:t>
      </w:r>
    </w:p>
    <w:p w14:paraId="0CD75F2D" w14:textId="77777777" w:rsidR="005B3072" w:rsidRDefault="00A46913">
      <w:pPr>
        <w:pBdr>
          <w:top w:val="nil"/>
          <w:left w:val="nil"/>
          <w:bottom w:val="nil"/>
          <w:right w:val="nil"/>
          <w:between w:val="nil"/>
        </w:pBdr>
        <w:spacing w:after="240" w:line="276" w:lineRule="auto"/>
        <w:jc w:val="both"/>
        <w:rPr>
          <w:sz w:val="24"/>
          <w:szCs w:val="24"/>
        </w:rPr>
      </w:pPr>
      <w:bookmarkStart w:id="30" w:name="_49x2ik5" w:colFirst="0" w:colLast="0"/>
      <w:bookmarkEnd w:id="30"/>
      <w:r>
        <w:rPr>
          <w:color w:val="000000"/>
          <w:sz w:val="24"/>
          <w:szCs w:val="24"/>
        </w:rPr>
        <w:t>Izmjenama Zakona o tajnosti podataka (koji je usvojen krajem 2020. godine) djelatnost CIRT timova prenešena je u nadležnost Direkcije za zaštitu tajnih podataka, koja djeluje u okviru Ministarstva odbrane (MO). Važno je istaći i da je Ministarstvo javne uprave, digitalnog društva i medija u procesu konsultacija tokom razvojne faze nacrta Strategije sajber bezbjednosti Crne Gore 2022-2026, kao i Akcionog plana za 2022.</w:t>
      </w:r>
    </w:p>
    <w:p w14:paraId="3D6AFFB0" w14:textId="77777777" w:rsidR="005B3072" w:rsidRDefault="00A46913">
      <w:pPr>
        <w:pStyle w:val="Heading3"/>
        <w:rPr>
          <w:b/>
          <w:color w:val="2E75B5"/>
          <w:u w:val="single"/>
        </w:rPr>
      </w:pPr>
      <w:bookmarkStart w:id="31" w:name="_2p2csry" w:colFirst="0" w:colLast="0"/>
      <w:bookmarkEnd w:id="31"/>
      <w:r>
        <w:rPr>
          <w:b/>
          <w:color w:val="2E75B5"/>
          <w:u w:val="single"/>
        </w:rPr>
        <w:t>Ključni izazovi, problemi i nalazi</w:t>
      </w:r>
    </w:p>
    <w:p w14:paraId="4CDFE192" w14:textId="77777777" w:rsidR="005B3072" w:rsidRDefault="005B3072"/>
    <w:p w14:paraId="43DD87B0" w14:textId="77777777" w:rsidR="005B3072" w:rsidRDefault="00A46913">
      <w:pPr>
        <w:numPr>
          <w:ilvl w:val="0"/>
          <w:numId w:val="18"/>
        </w:numPr>
        <w:spacing w:after="0" w:line="276" w:lineRule="auto"/>
        <w:jc w:val="both"/>
        <w:rPr>
          <w:sz w:val="24"/>
          <w:szCs w:val="24"/>
        </w:rPr>
      </w:pPr>
      <w:r>
        <w:rPr>
          <w:sz w:val="24"/>
          <w:szCs w:val="24"/>
        </w:rPr>
        <w:t xml:space="preserve">Relativno visoke cijene usluga od povjerenja navedene su kao važna prepreka masovnom korišćenju usluga, pa bi trebalo razmotriti što širu upotrebu besplatnih usluga od poverenja na novoj ličnoj karti. </w:t>
      </w:r>
    </w:p>
    <w:p w14:paraId="24AB4920" w14:textId="77777777" w:rsidR="005B3072" w:rsidRDefault="00A46913">
      <w:pPr>
        <w:numPr>
          <w:ilvl w:val="0"/>
          <w:numId w:val="18"/>
        </w:numPr>
        <w:spacing w:after="0" w:line="276" w:lineRule="auto"/>
        <w:jc w:val="both"/>
        <w:rPr>
          <w:sz w:val="24"/>
          <w:szCs w:val="24"/>
        </w:rPr>
      </w:pPr>
      <w:r>
        <w:rPr>
          <w:sz w:val="24"/>
          <w:szCs w:val="24"/>
        </w:rPr>
        <w:t>Neophodno je insistirati na obaveznom korišćenju usluga od povjerenja za cjelokupnu javnu upravu kako bi se racionalizovale procedure javne uprave, a što bi služilo kao primjer ostalim sektorima.</w:t>
      </w:r>
    </w:p>
    <w:p w14:paraId="5A211076" w14:textId="77777777" w:rsidR="005B3072" w:rsidRDefault="00A46913">
      <w:pPr>
        <w:numPr>
          <w:ilvl w:val="0"/>
          <w:numId w:val="18"/>
        </w:numPr>
        <w:spacing w:after="0" w:line="276" w:lineRule="auto"/>
        <w:jc w:val="both"/>
        <w:rPr>
          <w:sz w:val="24"/>
          <w:szCs w:val="24"/>
        </w:rPr>
      </w:pPr>
      <w:r>
        <w:rPr>
          <w:sz w:val="24"/>
          <w:szCs w:val="24"/>
        </w:rPr>
        <w:t>Još jedan važan i dostižan cilj zasnovan na iskustvima iz drugih zemalja trebalo bi da bude potpuna digitalizacija postupaka prema pravnim licima. Korišćenje e-usluga od strane kompanija u Crnoj Gori, počev od onih preko kojih se najčešće ostvaruje interakcija sa organima javne uprave, osiguralo bi punu upotrebu digitalnog identiteta barem za poslovni sektor odnosno pravna lica.</w:t>
      </w:r>
    </w:p>
    <w:p w14:paraId="418175C7" w14:textId="77777777" w:rsidR="005B3072" w:rsidRDefault="00A46913">
      <w:pPr>
        <w:numPr>
          <w:ilvl w:val="0"/>
          <w:numId w:val="18"/>
        </w:numPr>
        <w:spacing w:after="0" w:line="276" w:lineRule="auto"/>
        <w:jc w:val="both"/>
        <w:rPr>
          <w:sz w:val="24"/>
          <w:szCs w:val="24"/>
        </w:rPr>
      </w:pPr>
      <w:bookmarkStart w:id="32" w:name="_147n2zr" w:colFirst="0" w:colLast="0"/>
      <w:bookmarkEnd w:id="32"/>
      <w:r>
        <w:rPr>
          <w:sz w:val="24"/>
          <w:szCs w:val="24"/>
        </w:rPr>
        <w:t>Nepostojeća veza između eID-a i postojećih usluga od povjerenja, kao i jedinstvenog matičnog broja (JMB) i ostalih identifikatora za građane uključujući i vezu između PDV-a, PIB-a i eID-a za pravna lica jedna je od ključnih prepreka za širu upotrebu e-usluga.</w:t>
      </w:r>
    </w:p>
    <w:p w14:paraId="1E903740" w14:textId="77777777" w:rsidR="005B3072" w:rsidRDefault="00A46913">
      <w:pPr>
        <w:numPr>
          <w:ilvl w:val="0"/>
          <w:numId w:val="18"/>
        </w:numPr>
        <w:spacing w:before="240" w:after="240" w:line="276" w:lineRule="auto"/>
        <w:jc w:val="both"/>
        <w:rPr>
          <w:sz w:val="24"/>
          <w:szCs w:val="24"/>
        </w:rPr>
      </w:pPr>
      <w:bookmarkStart w:id="33" w:name="_3o7alnk" w:colFirst="0" w:colLast="0"/>
      <w:bookmarkEnd w:id="33"/>
      <w:r>
        <w:rPr>
          <w:sz w:val="24"/>
          <w:szCs w:val="24"/>
        </w:rPr>
        <w:t>Neophodno je unaprijediti i prilagoditi postojeće kao i razviti nove eID sisteme i mehanzime u cilju zadovoljenja zahtjeva od strane davaoca usluga tj tipa i nivoa e-usluge. Posebnu pažnju treba posvetiti sistemima koji funkcionišu na "mobilnoj platformi", “pametnim” telefonima i drugim prenosivim ličnim uređajima i u tom smislu unaprijediti sistem elektronske identifikacije za korišćenje mobilnih tehnologija. (Prema posljednjem objavljenom mjesečnom Izvještaju koji sprovodi EKIP, na kraju oktobra 2021. godine broj korisnika mobilne telefonije u Crnoj Gori iznosio je 1.241.241 što odgovara penetraciji od 200,19%.)</w:t>
      </w:r>
    </w:p>
    <w:p w14:paraId="1DA45191" w14:textId="77777777" w:rsidR="005B3072" w:rsidRDefault="005B3072">
      <w:pPr>
        <w:spacing w:after="0" w:line="276" w:lineRule="auto"/>
        <w:jc w:val="both"/>
        <w:rPr>
          <w:b/>
          <w:color w:val="FF0000"/>
          <w:sz w:val="24"/>
          <w:szCs w:val="24"/>
        </w:rPr>
      </w:pPr>
    </w:p>
    <w:p w14:paraId="43D9EDCF" w14:textId="77777777" w:rsidR="005B3072" w:rsidRDefault="00A46913">
      <w:pPr>
        <w:spacing w:after="0" w:line="276" w:lineRule="auto"/>
        <w:jc w:val="both"/>
        <w:rPr>
          <w:b/>
          <w:color w:val="2E75B5"/>
          <w:sz w:val="28"/>
          <w:szCs w:val="28"/>
          <w:highlight w:val="yellow"/>
        </w:rPr>
      </w:pPr>
      <w:r>
        <w:rPr>
          <w:b/>
          <w:color w:val="2E75B5"/>
          <w:sz w:val="28"/>
          <w:szCs w:val="28"/>
        </w:rPr>
        <w:t>Dostupnost, interoperabilnost i upravljanje podacima</w:t>
      </w:r>
    </w:p>
    <w:p w14:paraId="1A84F8A4" w14:textId="77777777" w:rsidR="005B3072" w:rsidRDefault="00A46913">
      <w:pPr>
        <w:spacing w:before="240" w:after="240" w:line="276" w:lineRule="auto"/>
        <w:jc w:val="both"/>
        <w:rPr>
          <w:b/>
          <w:i/>
          <w:sz w:val="24"/>
          <w:szCs w:val="24"/>
        </w:rPr>
      </w:pPr>
      <w:r>
        <w:rPr>
          <w:b/>
          <w:i/>
          <w:sz w:val="24"/>
          <w:szCs w:val="24"/>
        </w:rPr>
        <w:t>Vrijednost i dostupnost podataka</w:t>
      </w:r>
    </w:p>
    <w:p w14:paraId="7A436844" w14:textId="77777777" w:rsidR="005B3072" w:rsidRDefault="00A46913">
      <w:pPr>
        <w:spacing w:before="240" w:after="240" w:line="276" w:lineRule="auto"/>
        <w:jc w:val="both"/>
        <w:rPr>
          <w:sz w:val="24"/>
          <w:szCs w:val="24"/>
        </w:rPr>
      </w:pPr>
      <w:r>
        <w:rPr>
          <w:sz w:val="24"/>
          <w:szCs w:val="24"/>
        </w:rPr>
        <w:t xml:space="preserve">Podaci su pokretač i osnovni resurs ekonomskog razvoja zasnovanog na znanju i inovacijama. Upotrebom podataka kreiraju se novi proizvodi i usluge zasnovani na stvarnim potrebama korisnika, povećava </w:t>
      </w:r>
      <w:r>
        <w:rPr>
          <w:sz w:val="24"/>
          <w:szCs w:val="24"/>
        </w:rPr>
        <w:lastRenderedPageBreak/>
        <w:t>produktivnost i efikasnost poslovanja, osigurava kreiranje politika zasnovanih na dokazima i unapređenje usluga javne uprave. Međutim, upotrebom podataka takođe postavljaju se važna pitanja o povjerenju, privatnosti i sigurnosti, te kako se benefiti od upotrebe podataka distribuiraju. U cilju kreiranja dodatne tržišne vrijednosti, neophodno je da privredni sektor i Vlada koriste dostupne i validne podatke za inovativna rješenja i donošenje dobrih odluka, što podrazumijeva postojanje infrastrukture za prikupljanje, obradu i dostupnost podataka, uz poštovanje principa povjerenja i zaštite.</w:t>
      </w:r>
    </w:p>
    <w:p w14:paraId="0703FDDB" w14:textId="77777777" w:rsidR="005B3072" w:rsidRDefault="00A46913">
      <w:pPr>
        <w:spacing w:before="240" w:after="240" w:line="276" w:lineRule="auto"/>
        <w:jc w:val="both"/>
        <w:rPr>
          <w:sz w:val="24"/>
          <w:szCs w:val="24"/>
        </w:rPr>
      </w:pPr>
      <w:r>
        <w:rPr>
          <w:sz w:val="24"/>
          <w:szCs w:val="24"/>
        </w:rPr>
        <w:t>Kako bi Vlada bila na usluzi građanima i privredi, neophodno je da na web platformama koje prate statistiku i kroz istraživačke izvještaje obezbjedi prikupljanje pouzdanih i pravovremenih (real-time) podataka, zbog čega je pristup “podacima od velikog značaja” važniji nego ikada. Iako podaci često nijesu dostupni u realnom vremenu ili odgovarajućem formatu, Vlada treba da preduzme aktivnosti i uz odgovoran pristup obezbijedi podatke dostupne svima. Sa druge strane, privredni sektor efikasnijom upotrebom podataka, ne samo da generiše ubrzani ekonomski razvoj, već stvara dodatnu vrijednost na tržišu i značajne benefite za svoje poslovanje.</w:t>
      </w:r>
    </w:p>
    <w:p w14:paraId="3F2E657E" w14:textId="77777777" w:rsidR="005B3072" w:rsidRDefault="00A46913">
      <w:pPr>
        <w:spacing w:before="240" w:after="240" w:line="276" w:lineRule="auto"/>
        <w:jc w:val="both"/>
        <w:rPr>
          <w:sz w:val="24"/>
          <w:szCs w:val="24"/>
        </w:rPr>
      </w:pPr>
      <w:r>
        <w:rPr>
          <w:sz w:val="24"/>
          <w:szCs w:val="24"/>
        </w:rPr>
        <w:t>Podaci treba da budu tretirani kao javno dobro, samim tim što su generisani od strane zajednice, a njihova vrijednost je u upotrebi i ponovnoj obradi u cilju stvaranja društvenih benefita. Podaci koje kreiraju institucije treba da budu dostupniji svima, kako drugim institucijama i organima, tako i istraživačima, privrednom i civilnom sektoru, akademiji i građanima. Pored dostupnosti, dijeljenje podataka i pristup istim, treba da bude dvosmjeran. To znači da javni sektor treba da osigura pristup podacima od javnog značaja, ali i da privredni sektor obezbijedi pristup svojim podacima Vladi, uz poštovanje principa povjerenja i privatnosti, kako bi se osigurao bolji uvid u razvoj pojedinačnih ekonomskih sektora i na taj način kreirale javne politike zasnovane na dokazima. Vlada, privredni sektor i svi koji koriste podatke treba da izgrade povjerenje da će bezbjedno, pouzdano i etički upravljati ličnim podacima, kao i da će podaci biti zaštićeni u skladu sa zakonom.</w:t>
      </w:r>
    </w:p>
    <w:p w14:paraId="71F86FAF" w14:textId="77777777" w:rsidR="005B3072" w:rsidRDefault="00A46913">
      <w:pPr>
        <w:spacing w:before="240" w:after="240" w:line="276" w:lineRule="auto"/>
        <w:jc w:val="both"/>
        <w:rPr>
          <w:sz w:val="24"/>
          <w:szCs w:val="24"/>
        </w:rPr>
      </w:pPr>
      <w:r>
        <w:rPr>
          <w:sz w:val="24"/>
          <w:szCs w:val="24"/>
        </w:rPr>
        <w:t xml:space="preserve">Trenutno nema dovoljno raspoloživih podataka koji se mogu ponovno iskoristiti na inovativan način u cilju stvaranja dodatne vrijednosti, uključujući i one potrebne za razvoj vještačke inteligencije. Upravo je vještačka inteligencija (Artificial Intelligence – AI) vrlo koristan alat za sortiranje podataka, kreiranje šema za njihovu upotrebu i prepoznavanje trendova za donošenje poslovnih i drugih odluka. Otvaranje podataka i njihova ponovna upotreba u produktivne svrhe je osnova upravljanja podacima u cilju potpunog iskorišćenja njihove vrijednosti i dostupnosti. Otvaranje podataka ima direktne implikacije na privredni i javni sektor da inoviraju i generisanjem nove ekonomske vrijednosti podrže kreiranje digitalnih proizvoda i usluga koji poboljšavaju život građana. Podaci su kreirani novcem svih građana i upravo zbog toga njihovo otvaranje treba da bude glavni benefit za zajednicu, kako bi pristupom podacima donosili odluke od životnog značaja. Nedavno usvojena Direktiva 2019/1024 Evropskog parlamenta i Komisije o otvorenim podacima javne uprave i njihovoj ponovnoj upotrebi osigurava da javni sektor učini što više podataka lako dostupnim za korištenje, posebno privrednom sektoru, ali i civilnom društvu i naučnoj zajednici, jačajući tako transparentnost sistema i institucionalnu odgovornost. Javna uprava u Crnoj Gori </w:t>
      </w:r>
      <w:r>
        <w:rPr>
          <w:sz w:val="24"/>
          <w:szCs w:val="24"/>
        </w:rPr>
        <w:lastRenderedPageBreak/>
        <w:t>proizvodi i sakuplja veliki broj informacija i podataka koje imaju značajan ekonomski potencijal i njihovim objavljivanjem u otvorenom formatu oni postaju dostupni širem krugu korisnika.   U avgustu 2018. godine pokrenut je Portal otvorenih podataka (data.gov.me) na kojem je započelo proaktivno objavljivanje državnih podataka u mašinski čitljivom formatu. Tokom 2018. godine objavljeno je 39 skupova podataka koji se kontinuirano ažuriraju, dok je 2019. godine portal unaprijeđen novim funkcionalnostima, u skladu sa smjernicama web pristupačnosti. U junu 2020. godine portal je integrisan sa evropskim portalom otvorenih podataka, tako da su od trenutka integracije nacionalni skupovi podataka dostupni široj, evropskoj javnosti. Tokom 2021. godine, portal je redizajniran, i radi se na njegovom unapređenju, kako po pitanju funkcionalnosti, tako i u smislu unapređenja skupova otvorenih podataka. Trenutno, Portal sadrži 147 setova otvorenih podataka, objavljenih od strane 20 institucija iz 15 različitih tematskih oblasti. Ukupan broj preuzetih podataka do trenutka pripreme Strategije je 61.672, a podaci su dostupni u formatu excel, cvs, xml, json. Portal sadrži informacije dostupne za ponovnu upotrebu zajedno sa metapodacima u mašinski čitljivom i otvorenom formatu, u skladu sa standardima otvorenosti, na način koji olakšava pretragu. Upravo ovaj otvoreni format dokumenata je nezavisan od softverske platforme, dok su mašinski čitljivi podaci strukturirani tako da ih softverska aplikacija može lako identifikovati, prepoznati i preuzeti podatke koji se mogu ponovo koristiti.</w:t>
      </w:r>
    </w:p>
    <w:p w14:paraId="62E16F67" w14:textId="77777777" w:rsidR="005B3072" w:rsidRDefault="00A46913">
      <w:pPr>
        <w:spacing w:before="240" w:after="240" w:line="276" w:lineRule="auto"/>
        <w:jc w:val="both"/>
        <w:rPr>
          <w:sz w:val="24"/>
          <w:szCs w:val="24"/>
        </w:rPr>
      </w:pPr>
      <w:r>
        <w:rPr>
          <w:sz w:val="24"/>
          <w:szCs w:val="24"/>
        </w:rPr>
        <w:t>Uspostavljanje Portala otvorenih podataka i objavljivanje podataka organa javne uprave u otvorenom formatu, značajno doprinosi unapređenju transparentnosti, dostupnosti, kao i efikasnosti u radu Vlade i organa javne uprave.</w:t>
      </w:r>
    </w:p>
    <w:p w14:paraId="7D7BB2BB" w14:textId="77777777" w:rsidR="005B3072" w:rsidRDefault="00A46913">
      <w:pPr>
        <w:spacing w:before="240" w:after="240" w:line="276" w:lineRule="auto"/>
        <w:jc w:val="both"/>
        <w:rPr>
          <w:sz w:val="24"/>
          <w:szCs w:val="24"/>
        </w:rPr>
      </w:pPr>
      <w:r>
        <w:rPr>
          <w:sz w:val="24"/>
          <w:szCs w:val="24"/>
        </w:rPr>
        <w:t>Prema Studiji o implementaciji koncepta otvorenih podataka u crnogorskim institucijama koju je objavila Privredna komora, u okviru projekta ODEON, u martu 2021. godine, najzastupljenija institucija koja objavljuje otvorene podatke je Uprava za statistiku (MONSTAT), koja na portal objavljuje 30 grupa skupova podataka (što je nešto manje u odnosu na ukupan broj skupova podataka kojima oni raspolažu). Ministarstvo prosvjete, nauke, kulture i sporta je na drugom mjestu sa 28 skupova podataka u kojima su predstavljeni detalji o broju djece u predškolskim i školskim ustanovama u Crnoj Gori. Najčešći podaci na portalu su oni iz domena statistike (30), rada i socijalne zaštite (29) i obrazovanja (28), dok su najmanje zastupljeni skupovi podataka iz oblasti finansija, energetike, rudarstva i ljudskih prava.</w:t>
      </w:r>
    </w:p>
    <w:p w14:paraId="0D84BADB" w14:textId="77777777" w:rsidR="005B3072" w:rsidRDefault="00A46913">
      <w:pPr>
        <w:spacing w:before="240" w:after="240" w:line="276" w:lineRule="auto"/>
        <w:jc w:val="both"/>
        <w:rPr>
          <w:sz w:val="24"/>
          <w:szCs w:val="24"/>
        </w:rPr>
      </w:pPr>
      <w:r>
        <w:rPr>
          <w:sz w:val="24"/>
          <w:szCs w:val="24"/>
        </w:rPr>
        <w:t>Kada je riječ o informacijama koje se najčešće preuzimaju sa Portala, u Nacionalnom izvještaju i planu za unapređenje Crne Gore (2020) je navedeno da su to:</w:t>
      </w:r>
    </w:p>
    <w:p w14:paraId="38010E0B" w14:textId="77777777" w:rsidR="005B3072" w:rsidRDefault="00A46913">
      <w:pPr>
        <w:spacing w:before="240" w:after="0" w:line="276" w:lineRule="auto"/>
        <w:ind w:left="1080" w:hanging="360"/>
        <w:jc w:val="both"/>
        <w:rPr>
          <w:sz w:val="24"/>
          <w:szCs w:val="24"/>
        </w:rPr>
      </w:pPr>
      <w:r>
        <w:rPr>
          <w:sz w:val="24"/>
          <w:szCs w:val="24"/>
        </w:rPr>
        <w:t>●</w:t>
      </w:r>
      <w:r>
        <w:rPr>
          <w:sz w:val="14"/>
          <w:szCs w:val="14"/>
        </w:rPr>
        <w:t xml:space="preserve">       </w:t>
      </w:r>
      <w:r>
        <w:rPr>
          <w:sz w:val="24"/>
          <w:szCs w:val="24"/>
        </w:rPr>
        <w:t>Zarade poslanika, imenovanih, izabranih i postavljenih lica u Skupštini Crne Gore (1559)</w:t>
      </w:r>
    </w:p>
    <w:p w14:paraId="1B849577" w14:textId="77777777" w:rsidR="005B3072" w:rsidRDefault="00A46913">
      <w:pPr>
        <w:spacing w:after="0" w:line="276" w:lineRule="auto"/>
        <w:ind w:left="1080" w:hanging="360"/>
        <w:jc w:val="both"/>
        <w:rPr>
          <w:sz w:val="24"/>
          <w:szCs w:val="24"/>
        </w:rPr>
      </w:pPr>
      <w:r>
        <w:rPr>
          <w:sz w:val="24"/>
          <w:szCs w:val="24"/>
        </w:rPr>
        <w:t>●</w:t>
      </w:r>
      <w:r>
        <w:rPr>
          <w:sz w:val="14"/>
          <w:szCs w:val="14"/>
        </w:rPr>
        <w:t xml:space="preserve">       </w:t>
      </w:r>
      <w:r>
        <w:rPr>
          <w:sz w:val="24"/>
          <w:szCs w:val="24"/>
        </w:rPr>
        <w:t>Obrazovno-vaspitne ustanove u školskoj 2019/20. godini (887)</w:t>
      </w:r>
    </w:p>
    <w:p w14:paraId="4866A50F" w14:textId="77777777" w:rsidR="005B3072" w:rsidRDefault="00A46913">
      <w:pPr>
        <w:spacing w:after="0" w:line="276" w:lineRule="auto"/>
        <w:ind w:left="1080" w:hanging="360"/>
        <w:jc w:val="both"/>
        <w:rPr>
          <w:sz w:val="24"/>
          <w:szCs w:val="24"/>
        </w:rPr>
      </w:pPr>
      <w:r>
        <w:rPr>
          <w:sz w:val="24"/>
          <w:szCs w:val="24"/>
        </w:rPr>
        <w:t>●</w:t>
      </w:r>
      <w:r>
        <w:rPr>
          <w:sz w:val="14"/>
          <w:szCs w:val="14"/>
        </w:rPr>
        <w:t xml:space="preserve">       </w:t>
      </w:r>
      <w:r>
        <w:rPr>
          <w:sz w:val="24"/>
          <w:szCs w:val="24"/>
        </w:rPr>
        <w:t>Broj učenika u osnovnim školama - ukupno po polu, nastavnom jeziku i tipu svojine</w:t>
      </w:r>
    </w:p>
    <w:p w14:paraId="24D71E72" w14:textId="77777777" w:rsidR="005B3072" w:rsidRDefault="00A46913">
      <w:pPr>
        <w:spacing w:before="240" w:after="240"/>
        <w:ind w:left="720"/>
        <w:jc w:val="both"/>
        <w:rPr>
          <w:sz w:val="24"/>
          <w:szCs w:val="24"/>
        </w:rPr>
      </w:pPr>
      <w:r>
        <w:rPr>
          <w:sz w:val="24"/>
          <w:szCs w:val="24"/>
        </w:rPr>
        <w:t>obrazovne ustanove u školskoj 2020/21. godini (864)</w:t>
      </w:r>
    </w:p>
    <w:p w14:paraId="6BB7C7C3" w14:textId="77777777" w:rsidR="005B3072" w:rsidRDefault="00A46913">
      <w:pPr>
        <w:spacing w:after="0" w:line="276" w:lineRule="auto"/>
        <w:ind w:left="1080" w:hanging="360"/>
        <w:jc w:val="both"/>
        <w:rPr>
          <w:sz w:val="24"/>
          <w:szCs w:val="24"/>
        </w:rPr>
      </w:pPr>
      <w:r>
        <w:rPr>
          <w:sz w:val="24"/>
          <w:szCs w:val="24"/>
        </w:rPr>
        <w:t>●</w:t>
      </w:r>
      <w:r>
        <w:rPr>
          <w:sz w:val="14"/>
          <w:szCs w:val="14"/>
        </w:rPr>
        <w:t xml:space="preserve">       </w:t>
      </w:r>
      <w:r>
        <w:rPr>
          <w:sz w:val="24"/>
          <w:szCs w:val="24"/>
        </w:rPr>
        <w:t>Obveznici elektronske Fiskalizacije (860)</w:t>
      </w:r>
    </w:p>
    <w:p w14:paraId="04778791" w14:textId="77777777" w:rsidR="005B3072" w:rsidRDefault="00A46913">
      <w:pPr>
        <w:spacing w:after="240" w:line="276" w:lineRule="auto"/>
        <w:ind w:left="1080" w:hanging="360"/>
        <w:jc w:val="both"/>
        <w:rPr>
          <w:sz w:val="24"/>
          <w:szCs w:val="24"/>
        </w:rPr>
      </w:pPr>
      <w:r>
        <w:rPr>
          <w:sz w:val="24"/>
          <w:szCs w:val="24"/>
        </w:rPr>
        <w:lastRenderedPageBreak/>
        <w:t>●</w:t>
      </w:r>
      <w:r>
        <w:rPr>
          <w:sz w:val="14"/>
          <w:szCs w:val="14"/>
        </w:rPr>
        <w:t xml:space="preserve">   </w:t>
      </w:r>
      <w:r>
        <w:rPr>
          <w:sz w:val="14"/>
          <w:szCs w:val="14"/>
        </w:rPr>
        <w:tab/>
      </w:r>
      <w:r>
        <w:rPr>
          <w:sz w:val="24"/>
          <w:szCs w:val="24"/>
        </w:rPr>
        <w:t>Ugostiteljski objekti za pružanje usluga smještaja, hrane i pića (860.4)</w:t>
      </w:r>
    </w:p>
    <w:p w14:paraId="789885BD" w14:textId="77777777" w:rsidR="005B3072" w:rsidRDefault="00A46913">
      <w:pPr>
        <w:spacing w:before="240" w:after="240" w:line="276" w:lineRule="auto"/>
        <w:jc w:val="both"/>
        <w:rPr>
          <w:sz w:val="24"/>
          <w:szCs w:val="24"/>
        </w:rPr>
      </w:pPr>
      <w:r>
        <w:rPr>
          <w:sz w:val="24"/>
          <w:szCs w:val="24"/>
        </w:rPr>
        <w:t>Međutim, i pored gore navedenih ohrabrujućih podataka, i dalje je prisutan problem da je oko polovine baza podataka obezbijeđeno od strane samo dvije institucije i to Uprave za statistiku i Ministarstva prosvjete, nauke, kulture i sporta i to su većinom skupovi podataka koji su standardni statistički podaci i koji se, zbog načina prikupljanja i dalje obrade, najlakše mogu pretvoriti u otvorene skupove podataka.</w:t>
      </w:r>
    </w:p>
    <w:p w14:paraId="0E4F891E" w14:textId="77777777" w:rsidR="005B3072" w:rsidRDefault="00A46913">
      <w:pPr>
        <w:spacing w:before="240" w:after="240"/>
        <w:jc w:val="both"/>
        <w:rPr>
          <w:sz w:val="24"/>
          <w:szCs w:val="24"/>
        </w:rPr>
      </w:pPr>
      <w:r>
        <w:rPr>
          <w:sz w:val="24"/>
          <w:szCs w:val="24"/>
        </w:rPr>
        <w:t>Ovo su pokazatelji da treba djelovati u skladu sa EU Direktivom i pored standardnih skupova otvorenih podataka, identifikovati skupove podataka visoke vrijednosti i značaja, kategorisanih po utvrđenoj metodologiji: geoprostorni podaci, podaci o zaštiti životne sredine, meteorološki podaci, statistički podaci, podaci o preduzećima i vlasništvu, mobilnost. Identifikovanjem i objavljivanjem skupova podataka od velikog značaja doprinosi se direktnom odgovoru na potrebe civilnog društva, privrede, akademije i građana i značajno se smanjuje broj podnošenja zahtjeva za dobijanjem informacija u skladu sa Zakonom o slobodnom pristupu informacijama. Ipak, bez obzira na zakonsku obavezu, još uvijek većina javnih institucija ne objavljuje podatke u otvorenom formatu. Objavljivanje podataka u otvorenom formatu regulisano je Zakonom o slobodnom pristupu informacijama. Izmjene ovog Zakona su u pripremi i utvrđeni su glavni izazovi, uključujući tehničke uslove za digitalizovani proces za pristup informacijama. Zakon će predstaviti dodatni napredak u pristupu podacima i informacijama, međutim, neohodno je razmotriti uvođenje kaznene odredbe za neobjavljivanje podataka u otvorenom i mašinski čitljivom formatu, kako bi institucije bile ažurnije i odgovornije prilikom priprema otvorenih skupova podataka. Pored samih skupova podataka, važno je obezbijediti njihovo konstantno ažuriranje, kako bi se prevazišao problem prekasne statističke obrade skupova podataka od velikog značaja i osigurala njihova upotrebna vrijednost u realnom vremenu. Međutim, dijeljenje podataka ne mora biti ograničeno samo na relevantne institucije unutar Crne Gore. Podaci se mogu dijeliti i sa drugim subjektima, kao što su Evropska unija, za potrebe kreiranja elektronskih usluga koje građani Crne Gore mogu koristiti pod istim uslovima kao i građani država članica EU.</w:t>
      </w:r>
    </w:p>
    <w:p w14:paraId="1C4BF547" w14:textId="77777777" w:rsidR="005B3072" w:rsidRDefault="00A46913">
      <w:pPr>
        <w:spacing w:before="240" w:after="240"/>
        <w:jc w:val="both"/>
        <w:rPr>
          <w:sz w:val="24"/>
          <w:szCs w:val="24"/>
        </w:rPr>
      </w:pPr>
      <w:r>
        <w:rPr>
          <w:sz w:val="24"/>
          <w:szCs w:val="24"/>
        </w:rPr>
        <w:t>U tom smislu, u Crnoj Gori se, u trenutku pisanja strategije, kreiraju EU-covid19 platforma i aplikacija koje će biti povezane za postojećim sistemom Evropske unije. Time će se registri kojima upravljaju crnogorske institucije povezuju sa registrima država članica Evropske unije koji posjeduju relevantne informacije u oblasti zdravstva.</w:t>
      </w:r>
    </w:p>
    <w:p w14:paraId="290D732B" w14:textId="77777777" w:rsidR="005B3072" w:rsidRDefault="00A46913">
      <w:pPr>
        <w:spacing w:before="240" w:after="240"/>
        <w:jc w:val="both"/>
        <w:rPr>
          <w:sz w:val="24"/>
          <w:szCs w:val="24"/>
        </w:rPr>
      </w:pPr>
      <w:r>
        <w:rPr>
          <w:sz w:val="24"/>
          <w:szCs w:val="24"/>
        </w:rPr>
        <w:t>Ovo je prva usluga ovakvog tipa u Crnoj Gori, koja pokazuje kako će se povezanost podataka registara u vlasništvu različitih država odraziti na kreiranje dodatne vrijednosti za građane Crne Gore, jer će biti u mogućnosti da koriste istu uslugu kao i građani država članica EU.  Slijedeći ovaj primjer, Crna Gora bi trebalo da nastavi sa povećanjem broja usluga koja će biti bazirane na pristupu platformama podataka drugih država EU.</w:t>
      </w:r>
    </w:p>
    <w:p w14:paraId="04081250" w14:textId="77777777" w:rsidR="005B3072" w:rsidRDefault="00A46913">
      <w:pPr>
        <w:spacing w:before="240" w:after="240"/>
        <w:jc w:val="both"/>
        <w:rPr>
          <w:sz w:val="24"/>
          <w:szCs w:val="24"/>
        </w:rPr>
      </w:pPr>
      <w:r>
        <w:rPr>
          <w:sz w:val="24"/>
          <w:szCs w:val="24"/>
        </w:rPr>
        <w:t xml:space="preserve">U tom smislu, u Evropskoj strategiji za podatke izložen je plan kreiranja Jedinstvenog Evropskog prostora za podatke, koji bi bio otvoren za podatke bez granica, koji bi sadržao sve podatke, uključujući i lične i osjetljive poslovne podatke. Ovaj prostor bio bi bezbjedan i zaštićen, a privreda bi imala pristup velikim </w:t>
      </w:r>
      <w:r>
        <w:rPr>
          <w:sz w:val="24"/>
          <w:szCs w:val="24"/>
        </w:rPr>
        <w:lastRenderedPageBreak/>
        <w:t>setovima visokokvalitetnih podataka iz oblasti industrije, što bi podstaklo rast i podržalo stvaranje nove ekonomske vrijednosti.</w:t>
      </w:r>
    </w:p>
    <w:p w14:paraId="44B34ACC" w14:textId="77777777" w:rsidR="005B3072" w:rsidRDefault="00A46913">
      <w:pPr>
        <w:spacing w:before="240" w:after="240" w:line="276" w:lineRule="auto"/>
        <w:jc w:val="both"/>
        <w:rPr>
          <w:sz w:val="24"/>
          <w:szCs w:val="24"/>
        </w:rPr>
      </w:pPr>
      <w:r>
        <w:rPr>
          <w:sz w:val="24"/>
          <w:szCs w:val="24"/>
        </w:rPr>
        <w:t>Jedan od ključnih izazova u vremenu tehnološkog napretka je način upotrebe ličnih podataka. Vlada treba da osigura da zakoni o zaštiti podataka odgovaraju intenzivnom tempu promjena, te da inovacije kreirane upotrebom ličnih podataka budu etičke i odgovorne. Legitimno prikupljeni i sačuvani lični podaci mogli bi biti svjesno ili namjerno otkriveni, rizikujući povjerljivost pojedinaca, što je naročito rizično u sektorima zdravstvene zaštite gdje su, u suštini, i najosjetljiviji lični podaci. Zbog toga treba preispitati prekršaje u vezi sa zaštitom podataka, i uvesti strože sankcije za namjernu i nemarnu upotrebu ličnih podataka. Zaštita podataka u Crnoj Gori obavezuje bilo koje Vladino tijelo da obavijesti subjekte/vlasnike podataka u slučaju da njihovi lični podaci nijesu prikupljeni direktno od subjekta i planira se njihova dodatna obrada. Obavještenje mora biti objavljeno prije početka obrade ličnih podataka. Ono sadrži informacije o tome koji će se konkretni podaci obrađivati i kojoj trećoj strani će se prenositi. Subjekt podataka ima pravo da podnese pisani zahtjev bilo kom Vladinom tijelu radi obavještavanja o tome da li obrađuju neki od njegovih ličnih podataka i da očekuje odgovor u roku od 15 dana. Ovo pravo se može ograničiti ako je to potrebno u svrhu nacionalne odbrane, nacionalne i javne bezbjednosti, sprječavanja zločina, otkrivanja i gonjenja počinilaca zločina, zaštite ekonomskih i finansijskih interesa, kao i zaštite drugih ljudi, njihovih prava i slobode, do stepena koji je potreban za postizanje svrha zbog kojih se uvodi ograničenje. Kada je riječ o nadgledanju zaštite privatnosti, Agencija za zaštitu ličnih podataka i slobodan pristup informacijama odgovorna je za nadgledanje primjene Zakona o zaštiti ličnih podataka. U izvršavanju zadataka iz svog djelokruga, Agencija je nezavisna i ima status pravnog lica, sa savjetodavnim ovlašćenjima. (</w:t>
      </w:r>
      <w:r>
        <w:rPr>
          <w:i/>
          <w:sz w:val="24"/>
          <w:szCs w:val="24"/>
        </w:rPr>
        <w:t>Opservatorija Digitalne agende, 2020</w:t>
      </w:r>
      <w:r>
        <w:rPr>
          <w:sz w:val="24"/>
          <w:szCs w:val="24"/>
        </w:rPr>
        <w:t>).</w:t>
      </w:r>
    </w:p>
    <w:p w14:paraId="2D4955BE" w14:textId="77777777" w:rsidR="005B3072" w:rsidRDefault="00A46913">
      <w:pPr>
        <w:spacing w:before="240" w:after="240" w:line="276" w:lineRule="auto"/>
        <w:jc w:val="both"/>
        <w:rPr>
          <w:b/>
          <w:i/>
          <w:sz w:val="24"/>
          <w:szCs w:val="24"/>
        </w:rPr>
      </w:pPr>
      <w:r>
        <w:rPr>
          <w:b/>
          <w:i/>
          <w:sz w:val="24"/>
          <w:szCs w:val="24"/>
        </w:rPr>
        <w:t>Upravljanje podacima</w:t>
      </w:r>
    </w:p>
    <w:p w14:paraId="716B277F" w14:textId="77777777" w:rsidR="005B3072" w:rsidRDefault="00A46913">
      <w:pPr>
        <w:spacing w:before="240" w:after="240" w:line="276" w:lineRule="auto"/>
        <w:jc w:val="both"/>
        <w:rPr>
          <w:sz w:val="24"/>
          <w:szCs w:val="24"/>
        </w:rPr>
      </w:pPr>
      <w:r>
        <w:rPr>
          <w:sz w:val="24"/>
          <w:szCs w:val="24"/>
        </w:rPr>
        <w:t>Podaci u javnom sektoru generišu se i čuvaju u brojnim institucijama. Da bi Vlada kontinuirano i kvalitetno pružala usluge korisnicima, potrebno je da postoji infrastruktura koja će omogućiti dostupnost pravih informacija u pravo vrijeme, što znači da se mora obezbijediti puna interoperabilnost sistema kroz povezanost registara. Povezanost i interoperabilnost su osnovni preduslov za kreiranje kompleksnih elektronskih usluga (nivoa 4 i 5) u potpunosti usklađenih sa identifikovanim potrebama građana i privrede.</w:t>
      </w:r>
    </w:p>
    <w:p w14:paraId="36D72C4C" w14:textId="77777777" w:rsidR="005B3072" w:rsidRDefault="00A46913">
      <w:pPr>
        <w:spacing w:before="240" w:after="240" w:line="276" w:lineRule="auto"/>
        <w:jc w:val="both"/>
        <w:rPr>
          <w:sz w:val="24"/>
          <w:szCs w:val="24"/>
        </w:rPr>
      </w:pPr>
      <w:r>
        <w:rPr>
          <w:sz w:val="24"/>
          <w:szCs w:val="24"/>
        </w:rPr>
        <w:t>Evropska strategija za podatke definiše okvir za međusektorsko upravljanje, pristup i korišćenje podataka koji ima za cilj da olakša upotrebu podataka za inovativno poslovanje. U novembru 2020. Evropska komisija je usvojila Evropski akt o upravljaju podacima. Ova regulativa teži unapređenju dostupnosti podataka u EU i to povećanjem razmjene javnih podataka, jačanjem povjerenja u posrednike podataka, te jačanjem mehanizama razmjene.</w:t>
      </w:r>
      <w:r>
        <w:t xml:space="preserve"> </w:t>
      </w:r>
      <w:r>
        <w:rPr>
          <w:sz w:val="24"/>
          <w:szCs w:val="24"/>
        </w:rPr>
        <w:t xml:space="preserve">Takođe, akt ukazuje da su interoperabilnost i kvalitet podataka, kao i njihova struktura, autentičnost i integritet ključni za iskorištavanje vrijednosti podataka, posebno u kontekstu primjene AI. Da bi upotreba interoperabilnosti bila podstaknuta u javnom sektoru i šire, neophodno je uvesti niz digitalnih alata kako bi se njena primjena učinila što jednostavnijom. Kroz odredbe ovog akta, Evropska komisija podstiče razmjenu podataka između privrede i Vlade u javnom </w:t>
      </w:r>
      <w:r>
        <w:rPr>
          <w:sz w:val="24"/>
          <w:szCs w:val="24"/>
        </w:rPr>
        <w:lastRenderedPageBreak/>
        <w:t>interesu, podržava razmjenu podataka između privrednih subjekata međusobno, posebno rješavajući pitanja vezana za prava na korištenje zajednički generiranih podataka. Takođe, samo tamo gdje posebne okolnosti to nalažu, Evropska komisija teži pristup podacima učiniti obaveznim, pod pravičnim, transparentnim, proporcionalnim i/ili nediskriminatornim uslovima.</w:t>
      </w:r>
    </w:p>
    <w:p w14:paraId="77CB2E81" w14:textId="77777777" w:rsidR="005B3072" w:rsidRDefault="00A46913">
      <w:pPr>
        <w:pBdr>
          <w:top w:val="nil"/>
          <w:left w:val="nil"/>
          <w:bottom w:val="nil"/>
          <w:right w:val="nil"/>
          <w:between w:val="nil"/>
        </w:pBdr>
        <w:spacing w:after="240" w:line="276" w:lineRule="auto"/>
        <w:jc w:val="both"/>
        <w:rPr>
          <w:color w:val="000000"/>
          <w:sz w:val="24"/>
          <w:szCs w:val="24"/>
        </w:rPr>
      </w:pPr>
      <w:bookmarkStart w:id="34" w:name="_23ckvvd" w:colFirst="0" w:colLast="0"/>
      <w:bookmarkEnd w:id="34"/>
      <w:r>
        <w:rPr>
          <w:color w:val="000000"/>
          <w:sz w:val="24"/>
          <w:szCs w:val="24"/>
        </w:rPr>
        <w:t>Zakon o upravnom postupku (ZUP) i Zakon o elektronskoj upravi uveli su princip prikupljanja podataka po službenoj dužnosti. Ova dva zakonska rješenja omogućavaju efikasniji rad organa javne uprave i utiču na poboljšanje kvaliteta javnih usluga koje pruža javna uprava, ali uvedeni princip dobijanja informacija po službenoj dužnosti nije dovoljno primijenjen.</w:t>
      </w:r>
    </w:p>
    <w:p w14:paraId="48C41555"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Kako je ZUP-om uvedena službena odgovornost za razmjenu informacija, sada za to postoji zakonska obaveza. Međutim, ovaj Zakon ne zahtijeva upotrebu određene platforme za razmjenu ili dijeljenje informacija elektronskim putem, ali zato Zakon o elektronskoj upravi propisuje da svi organi javne uprave koji vode evidencije i registre iz okvira svoje nadležnosti u elektronskoj formi i upravljaju informacionim sistema su dužni da podatke razmjenjuju elektronski preko Jedinstvenog sistema za elektronsku razmjenu podataka (JSERP).</w:t>
      </w:r>
    </w:p>
    <w:p w14:paraId="25732B22" w14:textId="77777777" w:rsidR="005B3072" w:rsidRDefault="00A46913">
      <w:pPr>
        <w:pBdr>
          <w:top w:val="nil"/>
          <w:left w:val="nil"/>
          <w:bottom w:val="nil"/>
          <w:right w:val="nil"/>
          <w:between w:val="nil"/>
        </w:pBdr>
        <w:spacing w:after="240" w:line="276" w:lineRule="auto"/>
        <w:jc w:val="both"/>
        <w:rPr>
          <w:color w:val="000000"/>
          <w:sz w:val="24"/>
          <w:szCs w:val="24"/>
        </w:rPr>
      </w:pPr>
      <w:bookmarkStart w:id="35" w:name="_ihv636" w:colFirst="0" w:colLast="0"/>
      <w:bookmarkEnd w:id="35"/>
      <w:r>
        <w:rPr>
          <w:color w:val="000000"/>
          <w:sz w:val="24"/>
          <w:szCs w:val="24"/>
        </w:rPr>
        <w:t>Infrastruktura za elektronsku razmjenu informacija je uspostavljena krajem 2018. godine, i trenutno postoji razmjena podataka između nekoliko važnih državnih registara poput Centralnog registra stanovništva, Centralnog registra privrednih subjekata, Registra korisnika materijalnog davanja, Registra obrazovanja, Centralnog registra obveznika i osiguranika. Razmjena podataka u praksi se i dalje često odvija na tradicionalan način - na papiru ili na CD-u - što uključuje rizik da se podaci ugroze ili da podaci nestanu. Istovremeno, postoji elektronska razmjena izmedju pojedinih organa preko web servisa, koristeći tzv. peer-to-peer princip (P2P), i procjenjuje se da je takvih 50-ak web servisa koji su trenutno funkcionalni. Kako se radi o međusobno regulisanim razmjenama između pojedinih organa putem raznih sporazuma, koji obezbjeđuju funkcionalne i sigurnosne aspekte razmjene, vrlo je teško te institucije ubijediti da pređu na razmjenu preko nove centralne platforme JSERP koja sa svojom infrastrukturom nudi centralizovan, bezbjedonosno siguran sistem sa mogućnošću čuvanja logova razmjene i sa monitoringom koji na dnevnom i mjesečnom nivou prikazuje broj izvršenih upita.</w:t>
      </w:r>
    </w:p>
    <w:p w14:paraId="4E4A753E" w14:textId="77777777" w:rsidR="005B3072" w:rsidRDefault="00A46913">
      <w:pPr>
        <w:pBdr>
          <w:top w:val="nil"/>
          <w:left w:val="nil"/>
          <w:bottom w:val="nil"/>
          <w:right w:val="nil"/>
          <w:between w:val="nil"/>
        </w:pBdr>
        <w:spacing w:after="240" w:line="276" w:lineRule="auto"/>
        <w:jc w:val="both"/>
        <w:rPr>
          <w:color w:val="000000"/>
          <w:sz w:val="24"/>
          <w:szCs w:val="24"/>
        </w:rPr>
      </w:pPr>
      <w:bookmarkStart w:id="36" w:name="_32hioqz" w:colFirst="0" w:colLast="0"/>
      <w:bookmarkEnd w:id="36"/>
      <w:r>
        <w:rPr>
          <w:color w:val="000000"/>
          <w:sz w:val="24"/>
          <w:szCs w:val="24"/>
        </w:rPr>
        <w:t>Nevoljnost u pogledu razmjene podataka takođe je povezana sa organizacionim aspektima, kao što je jasno razgraničenje odgovornosti u cijelom lancu vrijednosti e-usluga. Ugovori o nivou usluga još uvijek nijesu formulisani, što uzrokuje svakodnevne probleme između državnih institucija. Kako ovi sporazumi određuju ko može pristupiti podacima, koja ograničenja postoje i kako podatke treba zaštititi, oni su vrlo važni sa stanovišta sigurne razmjene podataka. Istovremeno, postojanje takvih sporazuma je važno za promociju razmjene podataka i stavljanje podataka u specifičan i jasan kontekst. U nedostatku sporazuma o nivou usluge, kada se incident dogodi tokom pružanja e-usluge, strane možda neće znati ko je odgovoran za rješavanje problema. Takođe, služba za pomoć koja je prepuštena spoljnim saradnicima radi po rasporedu svakodnevno u kancelariji od 8 do 17 sati, umesto da bude dostupna 24/7. Budući da pružaoci javnih usluga preuzimaju punu odgovornost, neizvjesnost i nedostatak kontrole u ​​pružanju e-</w:t>
      </w:r>
      <w:r>
        <w:rPr>
          <w:color w:val="000000"/>
          <w:sz w:val="24"/>
          <w:szCs w:val="24"/>
        </w:rPr>
        <w:lastRenderedPageBreak/>
        <w:t>usluga ključna su prepreka jačanju interoperabilnosti putem Jedinstvenog informacionog sistema za elektronsku razmjenu podataka (SISEDE). Kao takav, uspostavljanje SLA (eng. Service Level Agreement) između vlasnika usluga i vlasnika sistema za razmjenu podataka sa jasnim odgovornostima i zahtjevima usluga je od suštinske važnosti, zajedno sa odgovarajućim finansijskim sredstvima za podršku u ispunjavanju tih zahtjeva.</w:t>
      </w:r>
    </w:p>
    <w:p w14:paraId="1980A6B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Na osnovu podataka </w:t>
      </w:r>
      <w:r>
        <w:rPr>
          <w:sz w:val="24"/>
          <w:szCs w:val="24"/>
        </w:rPr>
        <w:t>Uprave</w:t>
      </w:r>
      <w:r>
        <w:rPr>
          <w:color w:val="000000"/>
          <w:sz w:val="24"/>
          <w:szCs w:val="24"/>
        </w:rPr>
        <w:t xml:space="preserve"> za statistiku Crne Gore, zvanična statistika Crne Gore zasniva se na podacima koji se prikupljaju sa zakašnjenjem od trenutka nastanka pojave koju pokazuju. Objavljivanje podataka do 9 mjeseci nakon završetka perioda na koji se odnose, smanjuje njihovu upotrebnu vrijednost za kreiranje trenutnih politika, pa se stoga više koriste za kvantifikovanje efekata politika. Globalne krize (finansijske, migrantske, COVID-19) pokazale su da je za njihovo efikasno rješavanje neophodno imati podatke u praktično realnom vremenu. Stoga bi digitalizacija Crne Gore u periodu 2022-2026. godine trebala stvoriti nove mogućnosti za sistem zvanične statistike Crne Gore kroz objedinjavanje podataka i potpunu primjenu principa „samo jednom“.</w:t>
      </w:r>
    </w:p>
    <w:p w14:paraId="77887020" w14:textId="77777777" w:rsidR="005B3072" w:rsidRDefault="00A46913">
      <w:pPr>
        <w:spacing w:before="240" w:after="240" w:line="276" w:lineRule="auto"/>
        <w:jc w:val="both"/>
        <w:rPr>
          <w:sz w:val="24"/>
          <w:szCs w:val="24"/>
        </w:rPr>
      </w:pPr>
      <w:r>
        <w:rPr>
          <w:sz w:val="24"/>
          <w:szCs w:val="24"/>
        </w:rPr>
        <w:t>U dijelu razvoja interoperabilnosti, potrebno je istaći i međunarodne sporazume koje je Crna Gora potpisala. U tom dijelu posebno je važno naglasiti:</w:t>
      </w:r>
    </w:p>
    <w:p w14:paraId="48427DED" w14:textId="77777777" w:rsidR="005B3072" w:rsidRDefault="00A46913">
      <w:pPr>
        <w:numPr>
          <w:ilvl w:val="0"/>
          <w:numId w:val="28"/>
        </w:numPr>
        <w:spacing w:before="240" w:after="0" w:line="276" w:lineRule="auto"/>
        <w:jc w:val="both"/>
        <w:rPr>
          <w:sz w:val="24"/>
          <w:szCs w:val="24"/>
        </w:rPr>
      </w:pPr>
      <w:r>
        <w:rPr>
          <w:sz w:val="24"/>
          <w:szCs w:val="24"/>
        </w:rPr>
        <w:t>Memorandum o razumijevanju sa EU o učešću Crne Gore u programu za rješenja interoperabilnosti i zajedničke okvire za evropsku javnu upravu, privredu i građane - ISA2 program;</w:t>
      </w:r>
    </w:p>
    <w:p w14:paraId="39E5C224" w14:textId="77777777" w:rsidR="005B3072" w:rsidRDefault="00A46913">
      <w:pPr>
        <w:numPr>
          <w:ilvl w:val="0"/>
          <w:numId w:val="28"/>
        </w:numPr>
        <w:spacing w:after="240" w:line="276" w:lineRule="auto"/>
        <w:jc w:val="both"/>
        <w:rPr>
          <w:sz w:val="24"/>
          <w:szCs w:val="24"/>
        </w:rPr>
      </w:pPr>
      <w:r>
        <w:rPr>
          <w:sz w:val="24"/>
          <w:szCs w:val="24"/>
        </w:rPr>
        <w:t>Memorandum o razumijevanju o regionalnoj interoperabilnosti i uslugama povjerenja u regionu Zapadnog Balkana - Jačanje regionalne saradnje u oblasti digitalizacije.</w:t>
      </w:r>
    </w:p>
    <w:p w14:paraId="3E55BF23" w14:textId="77777777" w:rsidR="005B3072" w:rsidRDefault="00A46913">
      <w:pPr>
        <w:pStyle w:val="Heading3"/>
        <w:rPr>
          <w:b/>
          <w:color w:val="2E75B5"/>
          <w:u w:val="single"/>
        </w:rPr>
      </w:pPr>
      <w:bookmarkStart w:id="37" w:name="_1hmsyys" w:colFirst="0" w:colLast="0"/>
      <w:bookmarkEnd w:id="37"/>
      <w:r>
        <w:rPr>
          <w:b/>
          <w:color w:val="2E75B5"/>
          <w:u w:val="single"/>
        </w:rPr>
        <w:t>Ključni izazovi, problemi i nalazi</w:t>
      </w:r>
    </w:p>
    <w:p w14:paraId="7A92764E" w14:textId="77777777" w:rsidR="005B3072" w:rsidRDefault="005B3072"/>
    <w:p w14:paraId="5FD1914F" w14:textId="77777777" w:rsidR="005B3072" w:rsidRDefault="00A46913">
      <w:pPr>
        <w:numPr>
          <w:ilvl w:val="0"/>
          <w:numId w:val="15"/>
        </w:numPr>
        <w:spacing w:after="0" w:line="276" w:lineRule="auto"/>
        <w:jc w:val="both"/>
        <w:rPr>
          <w:sz w:val="24"/>
          <w:szCs w:val="24"/>
        </w:rPr>
      </w:pPr>
      <w:r>
        <w:rPr>
          <w:sz w:val="24"/>
          <w:szCs w:val="24"/>
        </w:rPr>
        <w:t>Postoje zakonski osnovi u postojećem zakonodavstvu koji omogućavaju pristup javnim informacijama i uvid u lične podatke, ali u praksi se odgovori na te zahtjeve „ručno izrađuju“. Katalogizovane i dostupne informacije omogućile bi brze i automatizovane odgovore javnih tijela i rasteretile ih u pripremi odgovora, što bi značajno doprinijelo zadovoljstvu korisnika i optimizaciji postupaka javne uprave.</w:t>
      </w:r>
    </w:p>
    <w:p w14:paraId="05C07106" w14:textId="77777777" w:rsidR="005B3072" w:rsidRDefault="00A46913">
      <w:pPr>
        <w:numPr>
          <w:ilvl w:val="0"/>
          <w:numId w:val="15"/>
        </w:numPr>
        <w:spacing w:after="0" w:line="276" w:lineRule="auto"/>
        <w:jc w:val="both"/>
        <w:rPr>
          <w:sz w:val="24"/>
          <w:szCs w:val="24"/>
        </w:rPr>
      </w:pPr>
      <w:r>
        <w:rPr>
          <w:sz w:val="24"/>
          <w:szCs w:val="24"/>
        </w:rPr>
        <w:t>Portal otvorenih podataka postoji i održava se i nudi mogućnosti za fokusiranje na relevantnije, zanimljivije i automatizovane skupove podataka. Proaktivno automatsko objavljivanje skupova podataka može poboljšati upotrebu i ponovnu upotrebu podataka. Preusmjerenje sa objavljivanja generisanih izvještaja nakon određenog perioda (kao u slučaju statističkih podataka do 9 mjeseci) na objavljivanje sirovih podataka u realnom vremenu povećaće upotrebljivost podataka i njihovu vrijednost za donošenje odluka. Time će se poboljšati kapacitet za kvalitetnije i proaktivnije reagovanje javnih politika, ekonomije, nauke, nevladinih organizacija. Standardizovani, dobro opisani, pouzdani i podaci u stvarnom vremenu, moraju imati za cilj da se poveća široka upotreba podataka i shodno tome poboljšaju procesi u svim segmentima društva.</w:t>
      </w:r>
    </w:p>
    <w:p w14:paraId="42BCA72E" w14:textId="77777777" w:rsidR="005B3072" w:rsidRDefault="00A46913">
      <w:pPr>
        <w:numPr>
          <w:ilvl w:val="0"/>
          <w:numId w:val="15"/>
        </w:numPr>
        <w:spacing w:after="0" w:line="276" w:lineRule="auto"/>
        <w:jc w:val="both"/>
        <w:rPr>
          <w:sz w:val="24"/>
          <w:szCs w:val="24"/>
        </w:rPr>
      </w:pPr>
      <w:r>
        <w:rPr>
          <w:sz w:val="24"/>
          <w:szCs w:val="24"/>
        </w:rPr>
        <w:lastRenderedPageBreak/>
        <w:t xml:space="preserve">Nedovoljan broj (kvalitetnih) data setova na Portalu otvorenih podataka. Iako nova Direktiva o otvorenim podacima daje preporuku i specifikaciju za objavljivanje skupova podataka visoke vrijednosti (kao što su geoprostorni podaci, podaci o zaštiti životne sredine, meteorološki podaci, statistički podaci, preduzeća i vlasništvo nad njima, mobilnost), te iako se radilo na podizanju kvaliteta i količini podataka, to ipak nije bilo dovoljno da se postigne veći broj ovakvih data setova koje povećava puni potencijal otvorenih podataka. </w:t>
      </w:r>
    </w:p>
    <w:p w14:paraId="5A666BCC" w14:textId="77777777" w:rsidR="005B3072" w:rsidRDefault="00A46913">
      <w:pPr>
        <w:numPr>
          <w:ilvl w:val="0"/>
          <w:numId w:val="15"/>
        </w:numPr>
        <w:spacing w:after="0" w:line="276" w:lineRule="auto"/>
        <w:jc w:val="both"/>
        <w:rPr>
          <w:sz w:val="24"/>
          <w:szCs w:val="24"/>
        </w:rPr>
      </w:pPr>
      <w:r>
        <w:rPr>
          <w:sz w:val="24"/>
          <w:szCs w:val="24"/>
        </w:rPr>
        <w:t xml:space="preserve">Sve usluge vezane za sajber bezbjednost treba da budu u potpunosti funkcionalne 24 sata dnevno, 7 dana u nedjelji. </w:t>
      </w:r>
    </w:p>
    <w:p w14:paraId="26425404" w14:textId="77777777" w:rsidR="005B3072" w:rsidRDefault="00A46913">
      <w:pPr>
        <w:numPr>
          <w:ilvl w:val="0"/>
          <w:numId w:val="15"/>
        </w:numPr>
        <w:spacing w:after="0" w:line="276" w:lineRule="auto"/>
        <w:jc w:val="both"/>
        <w:rPr>
          <w:sz w:val="24"/>
          <w:szCs w:val="24"/>
        </w:rPr>
      </w:pPr>
      <w:r>
        <w:rPr>
          <w:sz w:val="24"/>
          <w:szCs w:val="24"/>
        </w:rPr>
        <w:t>Stvaranje pretpostavki za stavljanje podataka javne uprave na raspolaganje za ponovnu upotrebu i sigurnu razmjenu određenih kategorija podataka prateći preporuke Evropske strategije za podatke i Evropskog akta o upravljanju podacima.</w:t>
      </w:r>
    </w:p>
    <w:p w14:paraId="599DEE4D" w14:textId="77777777" w:rsidR="005B3072" w:rsidRDefault="00A46913">
      <w:pPr>
        <w:numPr>
          <w:ilvl w:val="0"/>
          <w:numId w:val="15"/>
        </w:numPr>
        <w:spacing w:after="0" w:line="276" w:lineRule="auto"/>
        <w:jc w:val="both"/>
        <w:rPr>
          <w:sz w:val="24"/>
          <w:szCs w:val="24"/>
        </w:rPr>
      </w:pPr>
      <w:r>
        <w:rPr>
          <w:sz w:val="24"/>
          <w:szCs w:val="24"/>
        </w:rPr>
        <w:t xml:space="preserve">Treba omogućiti uvid krajnjeg korisnika u lične podatke koje prikupljaju i koriste javni organi, obezbijediti mogućnost podsjetnika na lična dokumenta kojima ističe rok i unaprijediti ostalu formalnu komunikaciju sa javnom upravom. </w:t>
      </w:r>
    </w:p>
    <w:p w14:paraId="1ACBD971" w14:textId="77777777" w:rsidR="005B3072" w:rsidRDefault="00A46913">
      <w:pPr>
        <w:numPr>
          <w:ilvl w:val="0"/>
          <w:numId w:val="15"/>
        </w:numPr>
        <w:spacing w:after="0" w:line="276" w:lineRule="auto"/>
        <w:jc w:val="both"/>
        <w:rPr>
          <w:sz w:val="24"/>
          <w:szCs w:val="24"/>
        </w:rPr>
      </w:pPr>
      <w:r>
        <w:rPr>
          <w:sz w:val="24"/>
          <w:szCs w:val="24"/>
        </w:rPr>
        <w:t>Uključiti organ za zaštitu podataka u sva važna dešavanja vezana za e-usluge i e-upravljanje. Povećati kontrolu nad podacima i zaštitu privatnosti koja je potrebna da se poveća povjerenje u informaciono društvo.</w:t>
      </w:r>
    </w:p>
    <w:p w14:paraId="196172E2" w14:textId="77777777" w:rsidR="005B3072" w:rsidRDefault="00A46913">
      <w:pPr>
        <w:numPr>
          <w:ilvl w:val="0"/>
          <w:numId w:val="15"/>
        </w:numPr>
        <w:spacing w:after="0" w:line="276" w:lineRule="auto"/>
        <w:jc w:val="both"/>
        <w:rPr>
          <w:sz w:val="24"/>
          <w:szCs w:val="24"/>
        </w:rPr>
      </w:pPr>
      <w:r>
        <w:rPr>
          <w:sz w:val="24"/>
          <w:szCs w:val="24"/>
        </w:rPr>
        <w:t>Treba stvoriti nove mogućnosti za sistem zvanične statistike Crne Gore kroz stvaranje jedinstvenog Centra podataka, kojim bi upravljao MONSTAT, a bio bi otvorenog tipa i služio za analitičke potrebe privatnog, javnog, naučno-istraživačkog sektora Crne Gore i šire.</w:t>
      </w:r>
    </w:p>
    <w:p w14:paraId="4A810FBC" w14:textId="77777777" w:rsidR="005B3072" w:rsidRDefault="005B3072">
      <w:pPr>
        <w:rPr>
          <w:sz w:val="24"/>
          <w:szCs w:val="24"/>
        </w:rPr>
      </w:pPr>
    </w:p>
    <w:p w14:paraId="54456BA6" w14:textId="77777777" w:rsidR="005B3072" w:rsidRDefault="00A46913">
      <w:pPr>
        <w:pStyle w:val="Heading2"/>
        <w:spacing w:after="240"/>
        <w:rPr>
          <w:b/>
          <w:color w:val="2E75B5"/>
          <w:sz w:val="28"/>
          <w:szCs w:val="28"/>
        </w:rPr>
      </w:pPr>
      <w:bookmarkStart w:id="38" w:name="_41mghml" w:colFirst="0" w:colLast="0"/>
      <w:bookmarkEnd w:id="38"/>
      <w:r>
        <w:rPr>
          <w:b/>
          <w:color w:val="2E75B5"/>
          <w:sz w:val="28"/>
          <w:szCs w:val="28"/>
        </w:rPr>
        <w:t xml:space="preserve">Digitalna povezanost </w:t>
      </w:r>
    </w:p>
    <w:p w14:paraId="063F9CAB" w14:textId="77777777" w:rsidR="005B3072" w:rsidRDefault="00A46913">
      <w:pPr>
        <w:pBdr>
          <w:top w:val="nil"/>
          <w:left w:val="nil"/>
          <w:bottom w:val="nil"/>
          <w:right w:val="nil"/>
          <w:between w:val="nil"/>
        </w:pBdr>
        <w:spacing w:after="240" w:line="276" w:lineRule="auto"/>
        <w:jc w:val="both"/>
        <w:rPr>
          <w:color w:val="000000"/>
          <w:sz w:val="24"/>
          <w:szCs w:val="24"/>
        </w:rPr>
      </w:pPr>
      <w:bookmarkStart w:id="39" w:name="_2grqrue" w:colFirst="0" w:colLast="0"/>
      <w:bookmarkEnd w:id="39"/>
      <w:r>
        <w:rPr>
          <w:color w:val="000000"/>
          <w:sz w:val="24"/>
          <w:szCs w:val="24"/>
        </w:rPr>
        <w:t xml:space="preserve">Razvoj širokopojasnog pristupa u periodu sprovođenja Strategije razvoja informacionog društva 2016 – 2020, obilježen je značajnim povećanjem dostupnosti brzim </w:t>
      </w:r>
      <w:r>
        <w:rPr>
          <w:sz w:val="24"/>
          <w:szCs w:val="24"/>
        </w:rPr>
        <w:t>širokopojasnim</w:t>
      </w:r>
      <w:r>
        <w:rPr>
          <w:color w:val="000000"/>
          <w:sz w:val="24"/>
          <w:szCs w:val="24"/>
        </w:rPr>
        <w:t xml:space="preserve"> pristupnim mrežama (brzine pristupa koje su veće od 30Mb/s) u dijelu fiksnih elektronskih komunikacionih mreža, pri čemu posebno treba istaći značajan razvoj pristupnih mreža sa optičkim vlaknima (FTTH) u svim opštinama u Crnoj Gori (pretežno u urbanim i suburbanim dijelovima). U dijelu mobilnih elektronskih komunikacionih mreža i usluga, navedeni period je obilježilo unapređenje dostupnosti i povećanje kapaciteta mobilnih širokopojasnih usluga prenosa podataka preko 4G mreža.</w:t>
      </w:r>
    </w:p>
    <w:p w14:paraId="516A0C0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Navedene aktivnosti su sprovedene zahvaljujući značajnim investicijama koje su realizovali operatori elektronskih komunikacionih mreža i usluga u Crnoj Gori. U petogodišnjem periodu (2016 - 2020) investicije su iznosile nešto više od 440 miliona Eura, ili u prosjeku oko 39% od ukupno ostv</w:t>
      </w:r>
      <w:r>
        <w:rPr>
          <w:sz w:val="24"/>
          <w:szCs w:val="24"/>
        </w:rPr>
        <w:t>a</w:t>
      </w:r>
      <w:r>
        <w:rPr>
          <w:color w:val="000000"/>
          <w:sz w:val="24"/>
          <w:szCs w:val="24"/>
        </w:rPr>
        <w:t>renog prihoda u sektoru elektronskih komunikacija, osim u 2020. godini, kada su zbog COVID-19 pandemije bile nešto manje. Takav nivo investicija je značajno iznad prosjeka u članicama EU. Ovako visok stepen investicija u sektoru elektronskih komunikacija potvrđuje činjenicu da u Crnoj Gori postoji predvidljiv i stabilan regulatorni okvir, koji je stvorio jednake uslove za sve učesnike na tržištu elektronskih komunikacija i koji podstiče konkurenciju kao najbolji vid regulacije.</w:t>
      </w:r>
    </w:p>
    <w:p w14:paraId="6C5C8CC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Strategija razvoja informacionog društva 2016-2020 definisala je jasne ciljeve za postizanje napretka u oblastima širokopojasne infrastrukture, koji su u najvećoj mjeri bili usaglašeni sa ciljevima Digitalne agenda za Evropu, i to:</w:t>
      </w:r>
    </w:p>
    <w:p w14:paraId="3591DADB" w14:textId="77777777" w:rsidR="005B3072" w:rsidRDefault="00A46913">
      <w:pPr>
        <w:numPr>
          <w:ilvl w:val="0"/>
          <w:numId w:val="50"/>
        </w:numPr>
        <w:spacing w:before="240" w:after="0" w:line="276" w:lineRule="auto"/>
        <w:ind w:left="425"/>
        <w:jc w:val="both"/>
        <w:rPr>
          <w:sz w:val="24"/>
          <w:szCs w:val="24"/>
        </w:rPr>
      </w:pPr>
      <w:r>
        <w:rPr>
          <w:sz w:val="24"/>
          <w:szCs w:val="24"/>
        </w:rPr>
        <w:t>osnovni širokopojasni pristup - pokrivenost: 100% stanovništva do 2018. godine,</w:t>
      </w:r>
    </w:p>
    <w:p w14:paraId="3785C353" w14:textId="77777777" w:rsidR="005B3072" w:rsidRDefault="00A46913">
      <w:pPr>
        <w:numPr>
          <w:ilvl w:val="0"/>
          <w:numId w:val="50"/>
        </w:numPr>
        <w:spacing w:after="0" w:line="276" w:lineRule="auto"/>
        <w:ind w:left="425"/>
        <w:jc w:val="both"/>
        <w:rPr>
          <w:sz w:val="24"/>
          <w:szCs w:val="24"/>
        </w:rPr>
      </w:pPr>
      <w:r>
        <w:rPr>
          <w:sz w:val="24"/>
          <w:szCs w:val="24"/>
        </w:rPr>
        <w:t>brzi širokopojasni pristup (30 Mbit/s ili više) - pokrivenost: 100% stanovništva do 2020. godine,</w:t>
      </w:r>
    </w:p>
    <w:p w14:paraId="21A310BC" w14:textId="77777777" w:rsidR="005B3072" w:rsidRDefault="00A46913">
      <w:pPr>
        <w:numPr>
          <w:ilvl w:val="0"/>
          <w:numId w:val="50"/>
        </w:numPr>
        <w:spacing w:after="240" w:line="276" w:lineRule="auto"/>
        <w:ind w:left="425"/>
        <w:jc w:val="both"/>
        <w:rPr>
          <w:sz w:val="24"/>
          <w:szCs w:val="24"/>
        </w:rPr>
      </w:pPr>
      <w:r>
        <w:rPr>
          <w:sz w:val="24"/>
          <w:szCs w:val="24"/>
        </w:rPr>
        <w:t>ultra-brzi širokopojasni pristup (100 Mbit/s ili više) - korišćenje: 50% domaćinstava do 2020. godine.</w:t>
      </w:r>
    </w:p>
    <w:p w14:paraId="07C5BE03"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Navedeni ciljevi su bili previše ambiciozno postavljeni, jer u pomenutoj strategiji, kao ni u pratećim dokumentima, nijesu bili predviđeni svi raspoloživi mehanizmi koji se primjenjuju u EU kao podsticaj za finansiranje dostupnosti za područja za koja ne postoji komercijalni interes za njihovo pokrivanje (prije svega ruralne oblasti).</w:t>
      </w:r>
    </w:p>
    <w:p w14:paraId="48173808" w14:textId="77777777" w:rsidR="005B3072" w:rsidRDefault="00A46913">
      <w:pPr>
        <w:pBdr>
          <w:top w:val="nil"/>
          <w:left w:val="nil"/>
          <w:bottom w:val="nil"/>
          <w:right w:val="nil"/>
          <w:between w:val="nil"/>
        </w:pBdr>
        <w:spacing w:after="240" w:line="276" w:lineRule="auto"/>
        <w:jc w:val="both"/>
        <w:rPr>
          <w:color w:val="000000"/>
          <w:sz w:val="24"/>
          <w:szCs w:val="24"/>
          <w:highlight w:val="yellow"/>
        </w:rPr>
      </w:pPr>
      <w:bookmarkStart w:id="40" w:name="_vx1227" w:colFirst="0" w:colLast="0"/>
      <w:bookmarkEnd w:id="40"/>
      <w:r>
        <w:rPr>
          <w:color w:val="000000"/>
          <w:sz w:val="24"/>
          <w:szCs w:val="24"/>
        </w:rPr>
        <w:t>Na osnovu podataka koje prikuplja Agencija za elektronske komunikacije i poštansku djelatnost, a koje dostavljaju operatori elektronskih komunikacionih mreža i usluga, i atlasa demografskih podataka o broju domaćinstava i stanovnika po objektima (podaci MONSTAT-a i Uprave za nekretnine), na kraju 2020. godine dostupnost brzog širokopojasnog pristupa je iznosila 80%. Pri tome, posebno je važno istaći podatak da su pristupne mreže sa optičkim vlaknima (FTTH) dostupne u 66,7% domaćinstava u Crnoj Gori.</w:t>
      </w:r>
    </w:p>
    <w:p w14:paraId="3DCD5490" w14:textId="77777777" w:rsidR="005B3072" w:rsidRDefault="00A46913">
      <w:pPr>
        <w:pBdr>
          <w:top w:val="nil"/>
          <w:left w:val="nil"/>
          <w:bottom w:val="nil"/>
          <w:right w:val="nil"/>
          <w:between w:val="nil"/>
        </w:pBdr>
        <w:spacing w:after="240" w:line="276" w:lineRule="auto"/>
        <w:jc w:val="both"/>
        <w:rPr>
          <w:color w:val="000000"/>
          <w:sz w:val="24"/>
          <w:szCs w:val="24"/>
        </w:rPr>
      </w:pPr>
      <w:bookmarkStart w:id="41" w:name="_3fwokq0" w:colFirst="0" w:colLast="0"/>
      <w:bookmarkEnd w:id="41"/>
      <w:r>
        <w:rPr>
          <w:color w:val="000000"/>
          <w:sz w:val="24"/>
          <w:szCs w:val="24"/>
        </w:rPr>
        <w:t>Pokazatelj penetracije širokopojasnih priključaka u odnosu na broj domaćinstava iznosi 93,19%, Zastupljenost brzih širokopojasnih priključaka sa brzinama pristupa većim od 30Mb/s (tzv. NGA priključaka) u ukupnom broju širokopojasnih priključaka na kraju 2020. godine je iznosila 67,38%, dok udio domaćinstava koja koriste ultrabrzi širokopojasni pristup, sa brzinama pristupa od preko 100 Mb/s je iznosio 28,79%</w:t>
      </w:r>
      <w:r>
        <w:rPr>
          <w:color w:val="000000"/>
          <w:sz w:val="24"/>
          <w:szCs w:val="24"/>
          <w:vertAlign w:val="superscript"/>
        </w:rPr>
        <w:footnoteReference w:id="60"/>
      </w:r>
      <w:r>
        <w:rPr>
          <w:color w:val="000000"/>
          <w:sz w:val="24"/>
          <w:szCs w:val="24"/>
        </w:rPr>
        <w:t>.</w:t>
      </w:r>
    </w:p>
    <w:p w14:paraId="0931E0FF"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Kompozitna pokrivenost stanovništva Crne Gore signalom mobilnih mreža na kraju 2020. godine je iznosila cca. 99% za GSM tehnologiju (2G), cca. 98% za UMTS tehnologiju (3G) i cca. 98,5% za LTE tehnologiju (4G). Broj korisnika mobilnih elektronskih komunikacionih usluga koji su, na kraju 2020. godine, pristupali internetu iznosio je 539.547, što predstavlja penetraciju mobilnog širokopojasnog pristupa u odnosu na ukupan broj stanovnika od 87%. LTE tehnologija implementirana u mrežama mobilnih operatora u Crnoj Gori omogućava maksimalne brzine prenosa od 150 Mb/s ka korisniku (</w:t>
      </w:r>
      <w:r>
        <w:rPr>
          <w:i/>
          <w:color w:val="000000"/>
          <w:sz w:val="24"/>
          <w:szCs w:val="24"/>
        </w:rPr>
        <w:t>downlink</w:t>
      </w:r>
      <w:r>
        <w:rPr>
          <w:color w:val="000000"/>
          <w:sz w:val="24"/>
          <w:szCs w:val="24"/>
        </w:rPr>
        <w:t>) i 50-75 Mb/s od korisnika (</w:t>
      </w:r>
      <w:r>
        <w:rPr>
          <w:i/>
          <w:color w:val="000000"/>
          <w:sz w:val="24"/>
          <w:szCs w:val="24"/>
        </w:rPr>
        <w:t>uplink</w:t>
      </w:r>
      <w:r>
        <w:rPr>
          <w:color w:val="000000"/>
          <w:sz w:val="24"/>
          <w:szCs w:val="24"/>
        </w:rPr>
        <w:t>), u kanalu širine 2x20 MHz i uz primjenu 64-QAM modulacije i 2x2 MIMO tehnike. Primjenom tehnike agregiranja LTE nosilaca u dva, odnosno tri opsega, u zavisnosti od širine angažovanog spektra, u silaznoj vezi se postižu srazmjerno veće brzine (konkretno, do 300 Mb/s u zoni servisa baznih stanica kod kojih je implementirana 2CA tehnika, odnosno do 375 Mb/s na lokacijama gdje je implementirana 3CA tehnika).</w:t>
      </w:r>
    </w:p>
    <w:p w14:paraId="59915174" w14:textId="77777777" w:rsidR="005B3072" w:rsidRDefault="00A46913">
      <w:pPr>
        <w:spacing w:before="240" w:after="240" w:line="276" w:lineRule="auto"/>
        <w:jc w:val="both"/>
        <w:rPr>
          <w:sz w:val="24"/>
          <w:szCs w:val="24"/>
        </w:rPr>
      </w:pPr>
      <w:r>
        <w:rPr>
          <w:sz w:val="24"/>
          <w:szCs w:val="24"/>
        </w:rPr>
        <w:lastRenderedPageBreak/>
        <w:t>U dijelu razvoja elektronskih komunikacionih mreža i infrastrukture, potrebno je istaći i međunarodne sporazume koje je Crna Gora potpisala, i po osnovu kojih je preuzela i izvršavanje određenih obaveza u određenim vremenskim rokovima. U tom dijelu posebno je važno naglasiti:</w:t>
      </w:r>
    </w:p>
    <w:p w14:paraId="36EEBF89" w14:textId="77777777" w:rsidR="005B3072" w:rsidRDefault="00A46913">
      <w:pPr>
        <w:spacing w:before="240" w:after="240" w:line="276" w:lineRule="auto"/>
        <w:ind w:left="360"/>
        <w:jc w:val="both"/>
        <w:rPr>
          <w:sz w:val="24"/>
          <w:szCs w:val="24"/>
        </w:rPr>
      </w:pPr>
      <w:r>
        <w:rPr>
          <w:sz w:val="24"/>
          <w:szCs w:val="24"/>
        </w:rPr>
        <w:t>-</w:t>
      </w:r>
      <w:r>
        <w:rPr>
          <w:sz w:val="14"/>
          <w:szCs w:val="14"/>
        </w:rPr>
        <w:t xml:space="preserve">          </w:t>
      </w:r>
      <w:r>
        <w:rPr>
          <w:sz w:val="24"/>
          <w:szCs w:val="24"/>
        </w:rPr>
        <w:t>Memoranduma o razumijevanju o 5G planu za digitalnu transformaciju regiona Zapadnog Balkana;</w:t>
      </w:r>
    </w:p>
    <w:p w14:paraId="0036AFEF" w14:textId="77777777" w:rsidR="005B3072" w:rsidRDefault="00A46913">
      <w:pPr>
        <w:spacing w:before="240" w:after="240" w:line="276" w:lineRule="auto"/>
        <w:ind w:left="360"/>
        <w:jc w:val="both"/>
        <w:rPr>
          <w:sz w:val="16"/>
          <w:szCs w:val="16"/>
        </w:rPr>
      </w:pPr>
      <w:r>
        <w:rPr>
          <w:sz w:val="24"/>
          <w:szCs w:val="24"/>
        </w:rPr>
        <w:t>-</w:t>
      </w:r>
      <w:r>
        <w:rPr>
          <w:sz w:val="14"/>
          <w:szCs w:val="14"/>
        </w:rPr>
        <w:t xml:space="preserve">          </w:t>
      </w:r>
      <w:r>
        <w:rPr>
          <w:sz w:val="24"/>
          <w:szCs w:val="24"/>
        </w:rPr>
        <w:t>Mapa puta za smanjenje cijena usluga rominga između EU i Zapadnog Balkana</w:t>
      </w:r>
      <w:r>
        <w:rPr>
          <w:sz w:val="16"/>
          <w:szCs w:val="16"/>
        </w:rPr>
        <w:t>;</w:t>
      </w:r>
    </w:p>
    <w:p w14:paraId="4D080A0A" w14:textId="77777777" w:rsidR="005B3072" w:rsidRDefault="00A46913">
      <w:pPr>
        <w:spacing w:before="240" w:after="240" w:line="276" w:lineRule="auto"/>
        <w:jc w:val="both"/>
        <w:rPr>
          <w:sz w:val="16"/>
          <w:szCs w:val="16"/>
        </w:rPr>
      </w:pPr>
      <w:r>
        <w:rPr>
          <w:sz w:val="24"/>
          <w:szCs w:val="24"/>
        </w:rPr>
        <w:t>-</w:t>
      </w:r>
      <w:r>
        <w:rPr>
          <w:sz w:val="14"/>
          <w:szCs w:val="14"/>
        </w:rPr>
        <w:t xml:space="preserve">          </w:t>
      </w:r>
      <w:r>
        <w:rPr>
          <w:sz w:val="24"/>
          <w:szCs w:val="24"/>
        </w:rPr>
        <w:t>Regionalni sporazum o romingu.</w:t>
      </w:r>
    </w:p>
    <w:p w14:paraId="4875ED8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Prema sprovedenom Istraživanju o stepenu zadovoljstva korisnika elektronskih komunikacionih usluga, pored visokog stepena korišćenja, korisnici elektronskih komunikacionih usluga pokazuju i vrlo visok stepen zadovoljstva kvalitetom istih, ali i njihovim cijenama u svim segmentima tržišta. Procenat korisnika zadovoljnih kvalitetom usluge fiksne telefonije je 79,7%, mobilnih usluga 84,7%, usluga pristupa internetu takođe 84,7%, dok je kvalitetom usluga AVM sadržaja zadovoljno 86,1% korisnika (Agencija za elektronske komunikacije i poštansku djelatnost, maj 2021)</w:t>
      </w:r>
    </w:p>
    <w:p w14:paraId="6F268911" w14:textId="77777777" w:rsidR="005B3072" w:rsidRDefault="00A46913">
      <w:pPr>
        <w:pBdr>
          <w:top w:val="nil"/>
          <w:left w:val="nil"/>
          <w:bottom w:val="nil"/>
          <w:right w:val="nil"/>
          <w:between w:val="nil"/>
        </w:pBdr>
        <w:spacing w:after="240" w:line="276" w:lineRule="auto"/>
        <w:jc w:val="both"/>
        <w:rPr>
          <w:color w:val="000000"/>
          <w:sz w:val="24"/>
          <w:szCs w:val="24"/>
        </w:rPr>
      </w:pPr>
      <w:bookmarkStart w:id="42" w:name="_1v1yuxt" w:colFirst="0" w:colLast="0"/>
      <w:bookmarkEnd w:id="42"/>
      <w:r>
        <w:rPr>
          <w:color w:val="000000"/>
          <w:sz w:val="24"/>
          <w:szCs w:val="24"/>
        </w:rPr>
        <w:t xml:space="preserve">Međutim, shodno Izvještaju o razvoju po mjeri čovjeka za Crnu Goru za 2020. godinu - Nadomak digitalne budućnosti za sve (UNDP) digitalni pristup u Crnoj Gori je neravnomjerno raspoređen između urbanih i ruralnih područja (80% naspram 63%, respektivno), između sjevera i juga zemlje (65% prema 79%, respektivno), a velike razlike se mogu uočiti u korišćenju Interneta mladih i starijih od 65 godina (99,6% prema 72,8%, respektivno). Treba napomenuti da noviji podaci Uprave za statistiku Crne Gore (MONSTAT) o stepenu upotrebe IKT u domaćinstvima i od strane pojedinaca pokazuju da se u 2020. godini razlika između urbanih i ruralnih područja smanjila sa 17% na 14%, i to sa 84,9% urbanih i 70,9% </w:t>
      </w:r>
      <w:r>
        <w:rPr>
          <w:sz w:val="24"/>
          <w:szCs w:val="24"/>
        </w:rPr>
        <w:t>ruralnih</w:t>
      </w:r>
      <w:r>
        <w:rPr>
          <w:color w:val="000000"/>
          <w:sz w:val="24"/>
          <w:szCs w:val="24"/>
        </w:rPr>
        <w:t xml:space="preserve"> područja koja su povezana.</w:t>
      </w:r>
    </w:p>
    <w:p w14:paraId="34654B63" w14:textId="77777777" w:rsidR="005B3072" w:rsidRDefault="00A46913">
      <w:pPr>
        <w:pBdr>
          <w:top w:val="nil"/>
          <w:left w:val="nil"/>
          <w:bottom w:val="nil"/>
          <w:right w:val="nil"/>
          <w:between w:val="nil"/>
        </w:pBdr>
        <w:spacing w:after="240" w:line="276" w:lineRule="auto"/>
        <w:jc w:val="both"/>
        <w:rPr>
          <w:sz w:val="24"/>
          <w:szCs w:val="24"/>
        </w:rPr>
      </w:pPr>
      <w:bookmarkStart w:id="43" w:name="_4f1mdlm" w:colFirst="0" w:colLast="0"/>
      <w:bookmarkEnd w:id="43"/>
      <w:r>
        <w:rPr>
          <w:sz w:val="24"/>
          <w:szCs w:val="24"/>
        </w:rPr>
        <w:t xml:space="preserve">Na osnovu podataka iz istraživanja o Upotrebi informaciono-komunikacionih tehnologija u Crnoj Gori u 2020. godini (MONSTAT) lica koja su izjavila da su koristila Internet u posljednja 3 mjeseca, uglavnom to rade svakog dana ili skoro svakog dana. Procenat korišćenja Interneta skoro svakog dana je veći kod muškaraca i iznosi 89,2%, dok je kod žena 88,9%. Rezultati istraživanja pokazuju da sa porastom prihoda raste i procenat domaćinstava koja imaju Internet, tako da 98% korisnika sa primanjem preko 600 eura koristi internet, 88,2% sa primanjima od 300 do 600, a 46,2% sa primanjima do 300 eur. Kada je u pitanju teritorijalna zastupljenost interneta u domaćinstvima, ona je najmanja na sjeveru i iznosi 69,5%, dok je u južnom regionu najveća i iznosi 88,5%. </w:t>
      </w:r>
    </w:p>
    <w:p w14:paraId="2D09D255"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Kada je riječ o data centrima i internim informacionim sistemima, neke Vladine institucije održavaju sopstvene data centre i interne informacione sisteme, međutim, razvoj, primjena i održavanje ovih resursa obično se prepuštaju privatnom sektoru. Pružaoci ovih usluga su obično regionalna ili internacionalna preduzeća.</w:t>
      </w:r>
    </w:p>
    <w:p w14:paraId="6CD6D7A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lastRenderedPageBreak/>
        <w:t xml:space="preserve">Zakon o određivanju i zaštiti kritične infrastrukture definiše sljedeće sektore: energetika, saobraćaj, snabdijevanje vodom, zdravstvo, finansije, elektronske komunikacije, informaciono-komunikacione tehnologije, zaštita životne sredine, funkcionisanje državnih organa, kao i druge oblasti od javnog interesa. Kritična infrastruktura određuje se na osnovu kriterijuma koji se odnose na procjenu mogućih posljedica poremećaja u radu ili mogućeg prekida funkcionisanja kritične infrastrukture u oblasti energetike, saobraćaja, snadbijevanja vodom, zdravstva, finansija, elektronskih komunikacija i informaciono-komunikacionih tehnologija, zaštite životne sredine, funkcionisanja državnih organa, kao i u drugim oblastima od javnog interesa. Prema tome, telekomunikaciona infrastruktura svrstava se među kritičku infrastrukturu i sektorski se moraju definisati precizniji kriterijumi za identifikaciju i mjere zaštite kritične IKT infrastrukture. </w:t>
      </w:r>
    </w:p>
    <w:p w14:paraId="091BF42B" w14:textId="77777777" w:rsidR="005B3072" w:rsidRDefault="00A46913">
      <w:pPr>
        <w:pStyle w:val="Heading3"/>
        <w:rPr>
          <w:b/>
          <w:color w:val="2E75B5"/>
          <w:u w:val="single"/>
        </w:rPr>
      </w:pPr>
      <w:bookmarkStart w:id="44" w:name="_2u6wntf" w:colFirst="0" w:colLast="0"/>
      <w:bookmarkEnd w:id="44"/>
      <w:r>
        <w:rPr>
          <w:b/>
          <w:color w:val="2E75B5"/>
          <w:u w:val="single"/>
        </w:rPr>
        <w:t>Ključni izazovi, problemi i nalazi</w:t>
      </w:r>
    </w:p>
    <w:p w14:paraId="1072C8A7" w14:textId="77777777" w:rsidR="005B3072" w:rsidRDefault="00A46913">
      <w:pPr>
        <w:numPr>
          <w:ilvl w:val="0"/>
          <w:numId w:val="24"/>
        </w:numPr>
        <w:spacing w:before="240" w:after="0" w:line="276" w:lineRule="auto"/>
        <w:ind w:left="425"/>
        <w:jc w:val="both"/>
        <w:rPr>
          <w:sz w:val="24"/>
          <w:szCs w:val="24"/>
        </w:rPr>
      </w:pPr>
      <w:r>
        <w:rPr>
          <w:sz w:val="24"/>
          <w:szCs w:val="24"/>
        </w:rPr>
        <w:t>Potrebno je raditi na daljem povećanju dostupnosti elektronskih komunikacionih mreža ultra velikih brzina preko kojih je moguće pružati usluge visokog kvaliteta, korišćenjem svih raspoloživih mehanizama (zajedničko korišćenje izgrađene infrastrukture postojećih operatora u drugim sektorima, koordinisana izgradnja infrastrukture za više sektora, smanjenje troškova izgradnje, jednostavnije pribavljanje dozvola, priprema podsticajnih mjera za razvoj digitalne infrastrukture itd.).</w:t>
      </w:r>
    </w:p>
    <w:p w14:paraId="1E885688" w14:textId="77777777" w:rsidR="005B3072" w:rsidRDefault="00A46913">
      <w:pPr>
        <w:numPr>
          <w:ilvl w:val="0"/>
          <w:numId w:val="24"/>
        </w:numPr>
        <w:spacing w:after="0" w:line="276" w:lineRule="auto"/>
        <w:ind w:left="425"/>
        <w:jc w:val="both"/>
        <w:rPr>
          <w:sz w:val="24"/>
          <w:szCs w:val="24"/>
        </w:rPr>
      </w:pPr>
      <w:r>
        <w:rPr>
          <w:sz w:val="24"/>
          <w:szCs w:val="24"/>
        </w:rPr>
        <w:t>Uvođenje 5G mobilnih komunikacionih mreža i njihov dinamičan razvoj koje će omogućiti razvoj novih usluga u raznim sektorima ekonomija (npr. Internet of Things - IoT).</w:t>
      </w:r>
    </w:p>
    <w:p w14:paraId="6F6C6B28" w14:textId="77777777" w:rsidR="005B3072" w:rsidRDefault="00A46913">
      <w:pPr>
        <w:numPr>
          <w:ilvl w:val="0"/>
          <w:numId w:val="24"/>
        </w:numPr>
        <w:spacing w:after="240" w:line="276" w:lineRule="auto"/>
        <w:ind w:left="425"/>
        <w:jc w:val="both"/>
        <w:rPr>
          <w:sz w:val="24"/>
          <w:szCs w:val="24"/>
        </w:rPr>
      </w:pPr>
      <w:r>
        <w:rPr>
          <w:sz w:val="24"/>
          <w:szCs w:val="24"/>
        </w:rPr>
        <w:t>Treba poboljšati razumijevanje i jasnu definiciju kritične uloge digitalne infrastrukture koja bi omogućila bolju sigurnost i veću pouzdanost ne samo IKT mreža i usluga, nego i usluga u ostalim sektorima kritične infrastrukture koje direktno ili indirektno zavise od sigurnosti i pouzdanosti elektronske komunikacione infrastrukture.</w:t>
      </w:r>
    </w:p>
    <w:p w14:paraId="2D57CFE0" w14:textId="77777777" w:rsidR="005B3072" w:rsidRDefault="00A46913">
      <w:pPr>
        <w:pStyle w:val="Heading2"/>
        <w:spacing w:after="240"/>
        <w:rPr>
          <w:b/>
          <w:color w:val="2E75B5"/>
          <w:sz w:val="28"/>
          <w:szCs w:val="28"/>
        </w:rPr>
      </w:pPr>
      <w:bookmarkStart w:id="45" w:name="_19c6y18" w:colFirst="0" w:colLast="0"/>
      <w:bookmarkEnd w:id="45"/>
      <w:r>
        <w:rPr>
          <w:b/>
          <w:color w:val="2E75B5"/>
          <w:sz w:val="28"/>
          <w:szCs w:val="28"/>
        </w:rPr>
        <w:t>Vještine i obrazovanje</w:t>
      </w:r>
    </w:p>
    <w:p w14:paraId="1CCE7F0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Sprovođenje digitalne transformacije, kao i učešće na digitalnom tržištu nije moguće ukoliko ne postoji potreban nivo digitalnih vještina. Da bi se identifikovalo koje su digitalne vještine potrebne za učešće na tržištu, najprije ih je neophodno definisati. Evropska komisija je utvrdila da digitalna kompetencija/ digitalna vještina podrazumijeva samopouzdanu, kritičnu i odgovornu upotrebu i angažovanje digitalnih tehnologija u učenju, radu i učešću u društvu. To podrazumijeva digitalnu pismenost, komunikaciju i saradnju, stvaranje digitalnog sadržaja (uključujući programiranje), sigurnost (kompetencije povezane sa sajber bezbjednošću) i rješavanje problema. (Digitalno uključivanje i vještine ljudskog kapitala, EC, 2019)</w:t>
      </w:r>
      <w:r>
        <w:rPr>
          <w:color w:val="000000"/>
          <w:sz w:val="24"/>
          <w:szCs w:val="24"/>
          <w:vertAlign w:val="superscript"/>
        </w:rPr>
        <w:footnoteReference w:id="61"/>
      </w:r>
      <w:r>
        <w:rPr>
          <w:color w:val="000000"/>
          <w:sz w:val="24"/>
          <w:szCs w:val="24"/>
        </w:rPr>
        <w:t xml:space="preserve">. Kako se tehnologija nastavlja mijenjati, tako se mijenja i set potrebnih digitalnih vještina. </w:t>
      </w:r>
      <w:r>
        <w:rPr>
          <w:color w:val="000000"/>
          <w:sz w:val="24"/>
          <w:szCs w:val="24"/>
        </w:rPr>
        <w:lastRenderedPageBreak/>
        <w:t>Digitalne vještine prevazilaze samu tehnologiju i opšti opisi možda nijesu prikladni kada se primjenjuju na neka specifična okruženja.</w:t>
      </w:r>
    </w:p>
    <w:p w14:paraId="38ECAB74" w14:textId="77777777" w:rsidR="005B3072" w:rsidRDefault="00A46913">
      <w:pPr>
        <w:pBdr>
          <w:top w:val="nil"/>
          <w:left w:val="nil"/>
          <w:bottom w:val="nil"/>
          <w:right w:val="nil"/>
          <w:between w:val="nil"/>
        </w:pBdr>
        <w:spacing w:after="240" w:line="276" w:lineRule="auto"/>
        <w:jc w:val="both"/>
        <w:rPr>
          <w:color w:val="9900FF"/>
          <w:sz w:val="24"/>
          <w:szCs w:val="24"/>
        </w:rPr>
      </w:pPr>
      <w:bookmarkStart w:id="46" w:name="_3tbugp1" w:colFirst="0" w:colLast="0"/>
      <w:bookmarkEnd w:id="46"/>
      <w:r>
        <w:rPr>
          <w:color w:val="000000"/>
          <w:sz w:val="24"/>
          <w:szCs w:val="24"/>
        </w:rPr>
        <w:t xml:space="preserve">Shodno tome, Međunarodna unija za telekomunikacije (ITU, 2018) kategorizovala je digitalne vještine u tri nivoa - osnovni, srednji i napredni - ali je naglasila da sticanje digitalnih vještina predstavlja kontinuirani fenomen. Organizacija Ujedinjenih nacija za obrazovanje, nauku i kulturu (UNESCO, 2018) definisala je tri oblasti digitalnih kompetencija: (1) razumijevanje i integracija tehnoloških kompetencija, (2) primjena tehnološkog znanja u rješavanju stvarnih i specifičnih problema i (3) stvaranje novog znanja. Nedostatak vještina/kompetencija, u Crnoj Gori, je prepoznat kao kritičan, te shodno tome u procesu pripreme </w:t>
      </w:r>
      <w:r>
        <w:rPr>
          <w:i/>
          <w:color w:val="000000"/>
          <w:sz w:val="24"/>
          <w:szCs w:val="24"/>
        </w:rPr>
        <w:t>Strategije digitalnog obrazovanja</w:t>
      </w:r>
      <w:r>
        <w:rPr>
          <w:color w:val="000000"/>
          <w:sz w:val="24"/>
          <w:szCs w:val="24"/>
        </w:rPr>
        <w:t xml:space="preserve"> ovaj izazov bi trebao biti prepoznat.</w:t>
      </w:r>
    </w:p>
    <w:p w14:paraId="6A7A4E8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Kada se govori o opštim kategorijama vještina u digitalnoj ekonomiji, obrazovne institucije i nastavnici treba da nastave da usmjere svoje programe i aktivnosti u pravcu razvijanja tehničkih, upravljačkih, ličnih i socijalnih vještina kako bi stvorili:</w:t>
      </w:r>
    </w:p>
    <w:p w14:paraId="7123F652" w14:textId="77777777" w:rsidR="005B3072" w:rsidRDefault="00A46913">
      <w:pPr>
        <w:numPr>
          <w:ilvl w:val="0"/>
          <w:numId w:val="47"/>
        </w:numPr>
        <w:pBdr>
          <w:top w:val="nil"/>
          <w:left w:val="nil"/>
          <w:bottom w:val="nil"/>
          <w:right w:val="nil"/>
          <w:between w:val="nil"/>
        </w:pBdr>
        <w:spacing w:before="240" w:after="0" w:line="276" w:lineRule="auto"/>
        <w:jc w:val="both"/>
        <w:rPr>
          <w:sz w:val="24"/>
          <w:szCs w:val="24"/>
        </w:rPr>
      </w:pPr>
      <w:r>
        <w:rPr>
          <w:sz w:val="24"/>
          <w:szCs w:val="24"/>
        </w:rPr>
        <w:t>“Digitalne” građane (ljudi koji namjenski i samopouzdano koriste digitalnu tehnologiju za komunikaciju, pronalaženje informacija i kupovinu dobara/usluga).</w:t>
      </w:r>
    </w:p>
    <w:p w14:paraId="0BADA11A" w14:textId="77777777" w:rsidR="005B3072" w:rsidRDefault="00A46913">
      <w:pPr>
        <w:numPr>
          <w:ilvl w:val="0"/>
          <w:numId w:val="47"/>
        </w:numPr>
        <w:pBdr>
          <w:top w:val="nil"/>
          <w:left w:val="nil"/>
          <w:bottom w:val="nil"/>
          <w:right w:val="nil"/>
          <w:between w:val="nil"/>
        </w:pBdr>
        <w:spacing w:after="0" w:line="276" w:lineRule="auto"/>
        <w:jc w:val="both"/>
        <w:rPr>
          <w:sz w:val="24"/>
          <w:szCs w:val="24"/>
        </w:rPr>
      </w:pPr>
      <w:r>
        <w:rPr>
          <w:sz w:val="24"/>
          <w:szCs w:val="24"/>
        </w:rPr>
        <w:t>Digitalne radnike (ljudi koji imaju sposobnost da procjenjuju, konfigurišu i koriste složene digitalne sisteme. Za ove zadatke često su potrebne elementarne vještine programiranja).</w:t>
      </w:r>
    </w:p>
    <w:p w14:paraId="1F0A18EC" w14:textId="77777777" w:rsidR="005B3072" w:rsidRDefault="00A46913">
      <w:pPr>
        <w:numPr>
          <w:ilvl w:val="0"/>
          <w:numId w:val="47"/>
        </w:numPr>
        <w:pBdr>
          <w:top w:val="nil"/>
          <w:left w:val="nil"/>
          <w:bottom w:val="nil"/>
          <w:right w:val="nil"/>
          <w:between w:val="nil"/>
        </w:pBdr>
        <w:spacing w:after="240" w:line="276" w:lineRule="auto"/>
        <w:jc w:val="both"/>
        <w:rPr>
          <w:sz w:val="24"/>
          <w:szCs w:val="24"/>
        </w:rPr>
      </w:pPr>
      <w:r>
        <w:rPr>
          <w:sz w:val="24"/>
          <w:szCs w:val="24"/>
        </w:rPr>
        <w:t>Digitalne kreatore/stvaraoce (ljudi koji imaju vještine za izgradnju digitalne tehnologije - obično razvoj softvera).</w:t>
      </w:r>
    </w:p>
    <w:p w14:paraId="616ACB3B" w14:textId="77777777" w:rsidR="005B3072" w:rsidRDefault="00A46913">
      <w:pPr>
        <w:spacing w:after="240"/>
        <w:jc w:val="both"/>
        <w:rPr>
          <w:sz w:val="24"/>
          <w:szCs w:val="24"/>
        </w:rPr>
      </w:pPr>
      <w:r>
        <w:rPr>
          <w:sz w:val="24"/>
          <w:szCs w:val="24"/>
        </w:rPr>
        <w:t xml:space="preserve">Prema dokumentu Digital Skills Insights (ITU 2019) podjela digitalnih vještina vrši se na sledeći način:  </w:t>
      </w:r>
    </w:p>
    <w:p w14:paraId="59038ACC" w14:textId="77777777" w:rsidR="005B3072" w:rsidRDefault="00A46913">
      <w:pPr>
        <w:numPr>
          <w:ilvl w:val="0"/>
          <w:numId w:val="60"/>
        </w:numPr>
        <w:pBdr>
          <w:top w:val="nil"/>
          <w:left w:val="nil"/>
          <w:bottom w:val="nil"/>
          <w:right w:val="nil"/>
          <w:between w:val="nil"/>
        </w:pBdr>
        <w:spacing w:after="0"/>
        <w:jc w:val="both"/>
        <w:rPr>
          <w:color w:val="000000"/>
          <w:sz w:val="24"/>
          <w:szCs w:val="24"/>
        </w:rPr>
      </w:pPr>
      <w:r>
        <w:rPr>
          <w:color w:val="000000"/>
          <w:sz w:val="24"/>
          <w:szCs w:val="24"/>
        </w:rPr>
        <w:t>Tehničke vještine, gdje su najrelevantnije sposobnosti razvoj i integracija sistema informacione tehnologije preduzeća, poznavanje bezbjednosnih standarda i komunikacije, virtuelna komunikacija i upotreba digitalnih medija, analitika velikih podataka (</w:t>
      </w:r>
      <w:r>
        <w:rPr>
          <w:i/>
          <w:color w:val="000000"/>
          <w:sz w:val="24"/>
          <w:szCs w:val="24"/>
        </w:rPr>
        <w:t>bigdata</w:t>
      </w:r>
      <w:r>
        <w:rPr>
          <w:color w:val="000000"/>
          <w:sz w:val="24"/>
          <w:szCs w:val="24"/>
        </w:rPr>
        <w:t xml:space="preserve">), vještačka inteligencija i </w:t>
      </w:r>
      <w:r>
        <w:rPr>
          <w:i/>
          <w:color w:val="000000"/>
          <w:sz w:val="24"/>
          <w:szCs w:val="24"/>
        </w:rPr>
        <w:t>cloud</w:t>
      </w:r>
      <w:r>
        <w:rPr>
          <w:color w:val="000000"/>
          <w:sz w:val="24"/>
          <w:szCs w:val="24"/>
        </w:rPr>
        <w:t xml:space="preserve"> sistemi. </w:t>
      </w:r>
    </w:p>
    <w:p w14:paraId="77F09151" w14:textId="77777777" w:rsidR="005B3072" w:rsidRDefault="00A46913">
      <w:pPr>
        <w:numPr>
          <w:ilvl w:val="0"/>
          <w:numId w:val="60"/>
        </w:numPr>
        <w:pBdr>
          <w:top w:val="nil"/>
          <w:left w:val="nil"/>
          <w:bottom w:val="nil"/>
          <w:right w:val="nil"/>
          <w:between w:val="nil"/>
        </w:pBdr>
        <w:spacing w:after="0"/>
        <w:jc w:val="both"/>
        <w:rPr>
          <w:color w:val="000000"/>
          <w:sz w:val="24"/>
          <w:szCs w:val="24"/>
        </w:rPr>
      </w:pPr>
      <w:r>
        <w:rPr>
          <w:color w:val="000000"/>
          <w:sz w:val="24"/>
          <w:szCs w:val="24"/>
        </w:rPr>
        <w:t>Glavne menadžerske vještine, koje podrazumijevaju složeno rješavanje problema, donošenje odluka, orijentacija na usluge, pregovaranje, vođstvo, timski rad, autonomija, delegiranje zadataka, mentorstvo, fleksibilnost i sposobnost rada pod pritiskom.</w:t>
      </w:r>
    </w:p>
    <w:p w14:paraId="6303CF21" w14:textId="77777777" w:rsidR="005B3072" w:rsidRDefault="00A46913">
      <w:pPr>
        <w:numPr>
          <w:ilvl w:val="0"/>
          <w:numId w:val="60"/>
        </w:numPr>
        <w:pBdr>
          <w:top w:val="nil"/>
          <w:left w:val="nil"/>
          <w:bottom w:val="nil"/>
          <w:right w:val="nil"/>
          <w:between w:val="nil"/>
        </w:pBdr>
        <w:spacing w:after="0"/>
        <w:jc w:val="both"/>
        <w:rPr>
          <w:color w:val="000000"/>
          <w:sz w:val="24"/>
          <w:szCs w:val="24"/>
        </w:rPr>
      </w:pPr>
      <w:r>
        <w:rPr>
          <w:color w:val="000000"/>
          <w:sz w:val="24"/>
          <w:szCs w:val="24"/>
        </w:rPr>
        <w:t>Najvažnije lične vještine, odnosno sposobnost i spremnost za učenje novih stvari, emocionalna inteligencija, analitičke i logičke vještine, kritičko razmišljanje, komunikacija i umrežavanje, vođstvo, pouzdanost i odgovornost, prilagodljivost, aktivna saradnja, autonomija i kreativnost.</w:t>
      </w:r>
    </w:p>
    <w:p w14:paraId="242E04D3" w14:textId="77777777" w:rsidR="005B3072" w:rsidRDefault="00A46913">
      <w:pPr>
        <w:numPr>
          <w:ilvl w:val="0"/>
          <w:numId w:val="60"/>
        </w:numPr>
        <w:pBdr>
          <w:top w:val="nil"/>
          <w:left w:val="nil"/>
          <w:bottom w:val="nil"/>
          <w:right w:val="nil"/>
          <w:between w:val="nil"/>
        </w:pBdr>
        <w:spacing w:after="240"/>
        <w:jc w:val="both"/>
        <w:rPr>
          <w:color w:val="000000"/>
          <w:sz w:val="24"/>
          <w:szCs w:val="24"/>
        </w:rPr>
      </w:pPr>
      <w:r>
        <w:rPr>
          <w:color w:val="000000"/>
          <w:sz w:val="24"/>
          <w:szCs w:val="24"/>
        </w:rPr>
        <w:t xml:space="preserve">Konačno, najčešće tražene su socijalne vještine i to: timski rad, sposobnost posvećenost i kooperativnost, sposobnost prenosa/sticanja znanja, saradnja prilikom sinhronizacije procesa, interkulturalne i jezičke vještine, istraživačke vještine, profesionalna etika i kognitivna fleksibilnost </w:t>
      </w:r>
    </w:p>
    <w:p w14:paraId="147BD25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Digitalne vještine su osnovno oruđe i prednost ne samo zaposlenih, već i nezaposlenog stanovništva koje želi da učestvuje na tržištu rada. Ove vještine su se pokazale neophodnim za gotovo sva zanimanja, </w:t>
      </w:r>
      <w:r>
        <w:rPr>
          <w:b/>
          <w:color w:val="000000"/>
          <w:sz w:val="24"/>
          <w:szCs w:val="24"/>
        </w:rPr>
        <w:t>od primarnih do rukovodećih pozicija</w:t>
      </w:r>
      <w:r>
        <w:rPr>
          <w:color w:val="000000"/>
          <w:sz w:val="24"/>
          <w:szCs w:val="24"/>
        </w:rPr>
        <w:t xml:space="preserve">. Sa usložnjavanjem i povezivanjem radnog okruženja, one postaju sve </w:t>
      </w:r>
      <w:r>
        <w:rPr>
          <w:color w:val="000000"/>
          <w:sz w:val="24"/>
          <w:szCs w:val="24"/>
        </w:rPr>
        <w:lastRenderedPageBreak/>
        <w:t>zanimljivije za poslodavce, te nivo i vrsta digitalnih vještina postaju presudne za uključivanje na tržište rada.</w:t>
      </w:r>
    </w:p>
    <w:p w14:paraId="6D413C94"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U poslednjih nekoliko godina vlade, akademska zajednica i industrija bili su izuzetno zabrinuti kada su u pitanju vještine i sposobnosti koje zahtijevaju nova radna mjesta u eri digitalne transformacije. Na osnovu podataka sa javnih konsultacija za pripremu Strategije digitalne transformacije Crne Gore 2022-2026 (održane u maju 2020. godine), poslovni sektor prepoznaje nedovoljan broj studenata sa IT orijentisanih fakulteta u odnosu na potrebe tržišta. Prepoznaje se potreba za većim brojem IT profesionalaca i raznovrsnijim nizom vještina među diplomiranim visokoškolcima.</w:t>
      </w:r>
    </w:p>
    <w:p w14:paraId="7ABDE5F5"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Izazov nedostatka digitalnih vještina u javnim institucijama, kao i stručnog znanja i civilnog društva uopšte, prepoznat je i u drugim strateškim dokumentima i naglašen je od strane Operativne radne grupe za izradu Strategije. </w:t>
      </w:r>
    </w:p>
    <w:p w14:paraId="622BF34B" w14:textId="77777777" w:rsidR="005B3072" w:rsidRDefault="00A46913">
      <w:pPr>
        <w:spacing w:before="240" w:after="240" w:line="276" w:lineRule="auto"/>
        <w:jc w:val="both"/>
        <w:rPr>
          <w:sz w:val="24"/>
          <w:szCs w:val="24"/>
        </w:rPr>
      </w:pPr>
      <w:r>
        <w:rPr>
          <w:sz w:val="24"/>
          <w:szCs w:val="24"/>
        </w:rPr>
        <w:t xml:space="preserve">Istraživanje o </w:t>
      </w:r>
      <w:r>
        <w:rPr>
          <w:i/>
          <w:sz w:val="24"/>
          <w:szCs w:val="24"/>
        </w:rPr>
        <w:t>Procjeni potrebe za obukom zaposlenih u javnoj upravi</w:t>
      </w:r>
      <w:r>
        <w:rPr>
          <w:sz w:val="24"/>
          <w:szCs w:val="24"/>
        </w:rPr>
        <w:t xml:space="preserve"> sprovela je agencija Damar, uz podršku kancelarije UNDP u Crnoj Gori u junu 2021. godine. Cilj istraživanja je bio da se analizira potreba za obukom zaposlenih u institucijama javne uprave, kako bi se na efikasan način planirali i realizovali treninzi za jačanje vještina državnih službenika, posebno u inkluzivnom digitalnom upravljanju, upravljanju otvorenim podacima i uvođenju rodne ravnopravnosti, ali i u drugim oblastima relevantnim za poboljšanje pravnog i institucionalnog okvira za efikasnije i odgovorno upravljanje. Rezultati istraživanja su, između ostalog, pokazali da:</w:t>
      </w:r>
    </w:p>
    <w:p w14:paraId="4B2177DC" w14:textId="77777777" w:rsidR="005B3072" w:rsidRDefault="00A46913">
      <w:pPr>
        <w:numPr>
          <w:ilvl w:val="0"/>
          <w:numId w:val="55"/>
        </w:numPr>
        <w:spacing w:before="240" w:after="0" w:line="276" w:lineRule="auto"/>
        <w:jc w:val="both"/>
        <w:rPr>
          <w:sz w:val="24"/>
          <w:szCs w:val="24"/>
        </w:rPr>
      </w:pPr>
      <w:r>
        <w:rPr>
          <w:sz w:val="24"/>
          <w:szCs w:val="24"/>
        </w:rPr>
        <w:t>Zaposleni u javnoj upravi sebe procjenjuju kao digitalno pismene (prosječna ocjena 6,7) i da više od 1/4 zaposlenih u javnoj upravi smatra da je veoma dobro upoznato sa oblašću digitalne pismenosti koji se odnosi na upravljanje identitetom, odnosno lozinkama koje omogućavaju IT sistemu da identifikuje korisnike i odobri im odgovarajući pristup. S druge strane, zaposleni su najmanje upoznati sa oblašću koja se bavi prepoznavanjem prijetnji po privatnost, uključujući krađu identiteta, jer za ovu oblast je prvi put čulo 9,3% zaposlenih u javnoj upravi, dok je 47,2% čulo za pomenutu oblast, ali nijesu upoznati sa tim šta ona konkretno obuhvata.</w:t>
      </w:r>
    </w:p>
    <w:p w14:paraId="5E00172D" w14:textId="77777777" w:rsidR="005B3072" w:rsidRDefault="00A46913">
      <w:pPr>
        <w:numPr>
          <w:ilvl w:val="0"/>
          <w:numId w:val="55"/>
        </w:numPr>
        <w:spacing w:after="0" w:line="276" w:lineRule="auto"/>
        <w:jc w:val="both"/>
        <w:rPr>
          <w:sz w:val="24"/>
          <w:szCs w:val="24"/>
        </w:rPr>
      </w:pPr>
      <w:r>
        <w:rPr>
          <w:sz w:val="24"/>
          <w:szCs w:val="24"/>
        </w:rPr>
        <w:t>Kada je riječ o pravnim aktima koji uređuju pitanja iz oblasti digitalnog upravljanja, e-uprave, zaštite i upotrebe podataka, 6 od 10 zaposlenih u javnoj upravi nije upoznato sa tim. Samo 6,0% je u potpunosti upoznato sa regulativom koja uređuje pomenute oblasti, dok je 32,8% zaposlenih izjavilo da su djelimično upoznati.</w:t>
      </w:r>
    </w:p>
    <w:p w14:paraId="4485F489" w14:textId="77777777" w:rsidR="005B3072" w:rsidRDefault="00A46913">
      <w:pPr>
        <w:numPr>
          <w:ilvl w:val="0"/>
          <w:numId w:val="55"/>
        </w:numPr>
        <w:spacing w:after="240" w:line="276" w:lineRule="auto"/>
        <w:jc w:val="both"/>
        <w:rPr>
          <w:sz w:val="24"/>
          <w:szCs w:val="24"/>
        </w:rPr>
      </w:pPr>
      <w:r>
        <w:rPr>
          <w:sz w:val="24"/>
          <w:szCs w:val="24"/>
        </w:rPr>
        <w:t>Više od polovine zaposlenih (55,1%) smatra da im nedostaju vještine koje se odnose na Origami sistem, te da bi sticanjem tih vještina unaprijedili realizaciju aktivnosti na poslovima na kojima su angažovani. Na drugom mjestu je Excel (45,9%), i na trećem PowerPoint (32,2%). Zaposleni koji su učestvovali u ispitivanju su najmanje zainteresovani da unaprijede vještine u Outlooku i Wordu.</w:t>
      </w:r>
    </w:p>
    <w:p w14:paraId="620307C8" w14:textId="77777777" w:rsidR="005B3072" w:rsidRDefault="00A46913">
      <w:pPr>
        <w:spacing w:before="240" w:after="0" w:line="276" w:lineRule="auto"/>
        <w:jc w:val="both"/>
        <w:rPr>
          <w:sz w:val="24"/>
          <w:szCs w:val="24"/>
        </w:rPr>
      </w:pPr>
      <w:r>
        <w:rPr>
          <w:sz w:val="24"/>
          <w:szCs w:val="24"/>
        </w:rPr>
        <w:t>Rezultati istraživanja ukazuju na potrebu organizovanja različitih obuka u vidu radionica, seminara i slično, kako bi se zaposleni u javnoj upravi bolje upoznali sa aktima koji uređuju oblast digitalnog upravljanja, e-</w:t>
      </w:r>
      <w:r>
        <w:rPr>
          <w:sz w:val="24"/>
          <w:szCs w:val="24"/>
        </w:rPr>
        <w:lastRenderedPageBreak/>
        <w:t xml:space="preserve">uprave, zaštite i upotrebe podataka. Osim toga, neophodna je bolja kampanja unutar samog sistema javne uprave o značaju digitalizacije i e-usluga, jer rezultati istraživanja su pokazali da zaposleni nijesu u dovoljnoj mjeri upoznati sa procesom digitalizacije. Takođe, u cilju jačanja radnih kapaciteta potrebno je sprovoditi redovne obuke, u cilju unapređenja vještina koje se odnose prvenstveno na Origami sistem, Excel i Power Point, ali i aplikacija koje se odnose na online komunikaciju. </w:t>
      </w:r>
    </w:p>
    <w:p w14:paraId="294E5F98" w14:textId="77777777" w:rsidR="005B3072" w:rsidRDefault="00A46913">
      <w:pPr>
        <w:spacing w:before="240" w:after="240"/>
        <w:jc w:val="both"/>
        <w:rPr>
          <w:sz w:val="24"/>
          <w:szCs w:val="24"/>
        </w:rPr>
      </w:pPr>
      <w:r>
        <w:rPr>
          <w:sz w:val="24"/>
          <w:szCs w:val="24"/>
        </w:rPr>
        <w:t>Kada su u pitanju digitalne vještine i stavovi građana o IKT, u istraživanju "IKT kao pokretač daljeg razvoja Crne Gore</w:t>
      </w:r>
      <w:r>
        <w:rPr>
          <w:sz w:val="24"/>
          <w:szCs w:val="24"/>
          <w:vertAlign w:val="superscript"/>
        </w:rPr>
        <w:footnoteReference w:id="62"/>
      </w:r>
      <w:r>
        <w:rPr>
          <w:sz w:val="24"/>
          <w:szCs w:val="24"/>
        </w:rPr>
        <w:t>” (IPSOS Public Affairs, 2018) navodi se sledeće:</w:t>
      </w:r>
    </w:p>
    <w:p w14:paraId="3EB61F30" w14:textId="77777777" w:rsidR="005B3072" w:rsidRDefault="00A46913">
      <w:pPr>
        <w:numPr>
          <w:ilvl w:val="0"/>
          <w:numId w:val="14"/>
        </w:numPr>
        <w:spacing w:after="0" w:line="276" w:lineRule="auto"/>
        <w:jc w:val="both"/>
        <w:rPr>
          <w:sz w:val="24"/>
          <w:szCs w:val="24"/>
        </w:rPr>
      </w:pPr>
      <w:r>
        <w:rPr>
          <w:sz w:val="24"/>
          <w:szCs w:val="24"/>
        </w:rPr>
        <w:t>Blizu dvije petine građana (38%) ne posjeduje dovoljan nivo digitalnih vještina za korišćenje interneta, odnosno, ili je digitalno sasvim nepismeno (22%) ili po sopstvenoj procjeni ima tek najosnovnije vještine korišćenja interneta (16%). S druge strane, tek nešto više od trećine građana (36%) procjenjuje da ima dovoljno vještina da uglavnom ili potpunosti, sa lakoćom postigne na internetu ono što želi. Najzad, približno svaki četvrti građanin (26%) svoje vještine ocjenjuje tek osrednjom ocjenom.</w:t>
      </w:r>
    </w:p>
    <w:p w14:paraId="6BD74D86" w14:textId="77777777" w:rsidR="005B3072" w:rsidRDefault="00A46913">
      <w:pPr>
        <w:numPr>
          <w:ilvl w:val="0"/>
          <w:numId w:val="14"/>
        </w:numPr>
        <w:spacing w:after="0" w:line="276" w:lineRule="auto"/>
        <w:jc w:val="both"/>
        <w:rPr>
          <w:sz w:val="24"/>
          <w:szCs w:val="24"/>
        </w:rPr>
      </w:pPr>
      <w:r>
        <w:rPr>
          <w:sz w:val="24"/>
          <w:szCs w:val="24"/>
        </w:rPr>
        <w:t>Među građanima postoje značajne razlike u korišćenju interneta i digitalnim kompetencijama za njegovo korišćenje, pri čemu se kao ključna dimenzija digitalne podjele društva pokazala starosna struktura građana, ali je jaz uočljiv i u pogledu obrazovne strukture građana. Naime, učestalost korišćenja interneta, kao i nivo digitalnih vještina, sistematski opadaju sa godinama starosti, a rastu sa nivoom obrazovanja. Tako na primjer, u starosnoj grupi od 56 do 65 godina, 65% građana nikad ne koristi internet, dok u grupi građana najnižeg obrazovanja, 37% navodi isto. Dodatno, 3% građana od 56 do 65 godina ima visok nivo vještina korišćenja interneta, u poređenju sa 71% građana uzrasta od 18 do 25 godina. Isto tako, među građanima sa osnovnim i nižim obrazovanjem 27% ocjenjuje da ima visok nivo vještina u korišćenju interneta, dok je to slučaj kod 32% srednje obrazovanih i 54% građana sa visokim obrazovanjem.</w:t>
      </w:r>
    </w:p>
    <w:p w14:paraId="3DC60CC2" w14:textId="77777777" w:rsidR="005B3072" w:rsidRDefault="00A46913">
      <w:pPr>
        <w:numPr>
          <w:ilvl w:val="0"/>
          <w:numId w:val="14"/>
        </w:numPr>
        <w:spacing w:after="0" w:line="276" w:lineRule="auto"/>
        <w:jc w:val="both"/>
        <w:rPr>
          <w:sz w:val="24"/>
          <w:szCs w:val="24"/>
        </w:rPr>
      </w:pPr>
      <w:r>
        <w:rPr>
          <w:sz w:val="24"/>
          <w:szCs w:val="24"/>
        </w:rPr>
        <w:t>Većina građana (77%) smatra da su IKT generalno imale pozitivan uticaj i da su doprinijele unapređenju različitih segmenata života ljudi u Crnoj Gori. Iako većina ocjenjuje da je doprinos pozitivan u svim oblastima, benefite upotrebe IKT građani u većoj mjeri vide u svakodnevnom životu, nego u oblastima razvoja privrede, te najmanje u oblasti demokratizacije društva. Korišćenje e-usluga u svakodnevnom životu građana, su među tri poslednje po meri pozitivnog doprinosa IKT.</w:t>
      </w:r>
    </w:p>
    <w:p w14:paraId="71E44AB6" w14:textId="77777777" w:rsidR="005B3072" w:rsidRDefault="00A46913">
      <w:pPr>
        <w:numPr>
          <w:ilvl w:val="0"/>
          <w:numId w:val="14"/>
        </w:numPr>
        <w:spacing w:after="0" w:line="276" w:lineRule="auto"/>
        <w:jc w:val="both"/>
        <w:rPr>
          <w:sz w:val="24"/>
          <w:szCs w:val="24"/>
        </w:rPr>
      </w:pPr>
      <w:r>
        <w:rPr>
          <w:sz w:val="24"/>
          <w:szCs w:val="24"/>
        </w:rPr>
        <w:t>Uprkos navedenom, građani prepoznaju i negativne posledice upotrebe IKT, prije svega po socijalne odnose, što se prepoznaje u široko rasprostranjenom mišljenju da je masovno korišćenje ovih tehnologija dovelo do otuđenja ljudi i opšte dehumanizacije društva (sa čime se takođe slaže 77% građana).</w:t>
      </w:r>
    </w:p>
    <w:p w14:paraId="5E1318F5" w14:textId="77777777" w:rsidR="005B3072" w:rsidRDefault="00A46913">
      <w:pPr>
        <w:numPr>
          <w:ilvl w:val="0"/>
          <w:numId w:val="14"/>
        </w:numPr>
        <w:spacing w:after="0" w:line="276" w:lineRule="auto"/>
        <w:jc w:val="both"/>
        <w:rPr>
          <w:sz w:val="24"/>
          <w:szCs w:val="24"/>
        </w:rPr>
      </w:pPr>
      <w:r>
        <w:rPr>
          <w:sz w:val="24"/>
          <w:szCs w:val="24"/>
        </w:rPr>
        <w:t xml:space="preserve">Premda je komunikacija sa drugim ljudima najšire rasprostranjena oblast koršćenja IKT u svakodnevnom životu i oblast u kojoj građani najpozitivnije ocjenjuju doprinos IKT unapređenju </w:t>
      </w:r>
      <w:r>
        <w:rPr>
          <w:sz w:val="24"/>
          <w:szCs w:val="24"/>
        </w:rPr>
        <w:lastRenderedPageBreak/>
        <w:t>života, kada je u pitanju sadržajnost komunikacije, blizu polovine građana (49%) prednost ipak daje direktnoj komunikaciji licem u lice.</w:t>
      </w:r>
    </w:p>
    <w:p w14:paraId="1DB15E20" w14:textId="77777777" w:rsidR="005B3072" w:rsidRDefault="00A46913">
      <w:pPr>
        <w:numPr>
          <w:ilvl w:val="0"/>
          <w:numId w:val="14"/>
        </w:numPr>
        <w:spacing w:after="0" w:line="276" w:lineRule="auto"/>
        <w:jc w:val="both"/>
        <w:rPr>
          <w:sz w:val="24"/>
          <w:szCs w:val="24"/>
        </w:rPr>
      </w:pPr>
      <w:r>
        <w:rPr>
          <w:sz w:val="24"/>
          <w:szCs w:val="24"/>
        </w:rPr>
        <w:t>Ključna podjela u stavovima prema doprinosu digitalnih tehnologija promjenama u ličnom životu građana, baš kao i u slučaju stavova prema njihovom uticaju na život ljudi uopšte, zasnovana je na intenzitetu korišćenja interneta, godinama i nivou obrazovanja. Dok 85% aktivnih korisnika interneta ocjenjuje da je prodor IKT unaprijedio njihov sopstveni život, to smatra tek 53% povremenih korisnka, a samo 13% onih koji ne koriste ili rijetko koriste internet. Isto tako, doživljaj da se sa prodorom novih tehnologija u njihovom životu ništa nije promijenilo, znatno je češći kod starijih nego mlađih građana i kod građana nižeg nivoa obrazovanja, nego kod građana sa srednjim i visokim obrazovanjem.</w:t>
      </w:r>
    </w:p>
    <w:p w14:paraId="3874B36A" w14:textId="77777777" w:rsidR="005B3072" w:rsidRDefault="005B3072">
      <w:pPr>
        <w:spacing w:after="0" w:line="276" w:lineRule="auto"/>
        <w:ind w:left="720"/>
        <w:jc w:val="both"/>
        <w:rPr>
          <w:sz w:val="24"/>
          <w:szCs w:val="24"/>
        </w:rPr>
      </w:pPr>
    </w:p>
    <w:p w14:paraId="7013AF6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Ministarstvo nauke je 2019. godine predstavilo Strategiju pametne specijalizacije Crne Gore 2019-2024. Ova strategija Identifikovala je IKT kao sektor sa jakim ekonomskim potencijalom i transformisala ga u strateški prioritet. Ipak, takođe je identifikovala kao slabost da obrazovanje nije prilagođeno tržištu, a da odliv IKT stručnjaka i nedostatak informatičke svijesti i pismenosti predstavljaju prijetnju.</w:t>
      </w:r>
    </w:p>
    <w:p w14:paraId="3E3D6168"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 obzirom na izraženi problem kvalitativnog i kvantitativnog nedostatka IT osoblja, Privredna komora je sprovela istraživanje o deficitarnim IT zanimanjima u 2020. godini. Rezultati istraživanja ukazuju na veliko nezadovoljstvo poslodavaca digitalnim kompetencijama svojih zaposlenih, dok s druge strane zaposleni smatraju da je nivo njihovih digitalnih kompetencija sasvim dovoljan za obavljanje radnih zadataka. To ukazuje na nedostatak znanja o digitalnim alatima i kako oni mogu povećati efikasnost, efektivnost i produktivnost (Završni izvještaj i sprovođenju Strategije razvoja informacionog društva 2016-2020, 2021)</w:t>
      </w:r>
    </w:p>
    <w:p w14:paraId="53CE9BD6"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Sa druge strane prema podacima MONSTAT-a objavljenim za 2019. godinu, u Crnoj Gori stopa nezaposlenosti mladih uzrasta od 15 do 29 godina iznosila je 38.7%. Problem nezaposlenosti je dodatno naglašen ukoliko se posmatra u uporednoj perspektivi – prosječna stopa nezaposlenosti mladih na nivou EU iznosi 15.2%, a stope se kreću u rasponu od 6.1% (Island) i 6.2% (Njemačka) do 39.9% (Grčka). Imajući u vidu navedeno, Crna Gora se nalazi u vrhu država regiona kada je riječ o nezaposlenosti mladih, međutim stopa nezaposlenosti je duplo veća u odnosu na prosjek Evropske unije. Otklanjanje barijera za pristup te populacije tržištu rada, kao i smanjenje stope nezaposlenosti prepoznati su kao prioriteti Crne Gore, što potvrđuje i aktuelna </w:t>
      </w:r>
      <w:r>
        <w:rPr>
          <w:i/>
          <w:color w:val="000000"/>
          <w:sz w:val="24"/>
          <w:szCs w:val="24"/>
        </w:rPr>
        <w:t>Strategija za mlade</w:t>
      </w:r>
      <w:r>
        <w:rPr>
          <w:color w:val="000000"/>
          <w:sz w:val="24"/>
          <w:szCs w:val="24"/>
        </w:rPr>
        <w:t xml:space="preserve"> koja je na snazi do 2021. godine. Uzimajući u obzir da je Strategijom razvoja informacionog društva Crne Gore </w:t>
      </w:r>
      <w:r>
        <w:rPr>
          <w:sz w:val="24"/>
          <w:szCs w:val="24"/>
        </w:rPr>
        <w:t>2016-</w:t>
      </w:r>
      <w:r>
        <w:rPr>
          <w:color w:val="000000"/>
          <w:sz w:val="24"/>
          <w:szCs w:val="24"/>
        </w:rPr>
        <w:t>2020 IT oblast definisana kao jedan od najvažnijih sektora za ekonomski razvoj i prosperitet države, cilj je podići svijest društvene zajednice o neophodnosti kolektivnog djelovanja u rješavanju ovog problema. </w:t>
      </w:r>
    </w:p>
    <w:p w14:paraId="383D3E67"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Crna Gora ima prilično visok procenat formalno obrazovanog stanovništva: 90% kada je u pitanju srednje i 56% kada govorimo o tercijalnom obrazovanju. Međutim, 14% diplomaca tercijalnog obrazovanja uprkos tome radi u polukvalifikovanim zanimanjima (European Training Foundation</w:t>
      </w:r>
      <w:r>
        <w:rPr>
          <w:color w:val="000000"/>
          <w:sz w:val="24"/>
          <w:szCs w:val="24"/>
          <w:vertAlign w:val="superscript"/>
        </w:rPr>
        <w:footnoteReference w:id="63"/>
      </w:r>
      <w:r>
        <w:rPr>
          <w:color w:val="000000"/>
          <w:sz w:val="24"/>
          <w:szCs w:val="24"/>
        </w:rPr>
        <w:t xml:space="preserve">, 2019). Istorijski i </w:t>
      </w:r>
      <w:r>
        <w:rPr>
          <w:color w:val="000000"/>
          <w:sz w:val="24"/>
          <w:szCs w:val="24"/>
        </w:rPr>
        <w:lastRenderedPageBreak/>
        <w:t>tradicionalno, postoji mnogo bolja ponuda obrazovnih programa kada je u pitanju inicijalno nego kontinuirano i cjeloživotno učenje (European Training Foundation</w:t>
      </w:r>
      <w:r>
        <w:rPr>
          <w:color w:val="000000"/>
          <w:sz w:val="24"/>
          <w:szCs w:val="24"/>
          <w:vertAlign w:val="superscript"/>
        </w:rPr>
        <w:footnoteReference w:id="64"/>
      </w:r>
      <w:r>
        <w:rPr>
          <w:color w:val="000000"/>
          <w:sz w:val="24"/>
          <w:szCs w:val="24"/>
        </w:rPr>
        <w:t xml:space="preserve">, 2020). </w:t>
      </w:r>
    </w:p>
    <w:p w14:paraId="208FD135" w14:textId="77777777" w:rsidR="005B3072" w:rsidRDefault="00A46913">
      <w:pPr>
        <w:pBdr>
          <w:top w:val="nil"/>
          <w:left w:val="nil"/>
          <w:bottom w:val="nil"/>
          <w:right w:val="nil"/>
          <w:between w:val="nil"/>
        </w:pBdr>
        <w:spacing w:after="240" w:line="276" w:lineRule="auto"/>
        <w:jc w:val="both"/>
        <w:rPr>
          <w:color w:val="000000"/>
          <w:sz w:val="24"/>
          <w:szCs w:val="24"/>
        </w:rPr>
      </w:pPr>
      <w:bookmarkStart w:id="47" w:name="_28h4qwu" w:colFirst="0" w:colLast="0"/>
      <w:bookmarkEnd w:id="47"/>
      <w:r>
        <w:rPr>
          <w:color w:val="000000"/>
          <w:sz w:val="24"/>
          <w:szCs w:val="24"/>
        </w:rPr>
        <w:t>Pristup i učešće su relativno dobro obezbijeđeni - Stručno obrazovanje i osposobljavanje (VET – Vocational Education and Training) pohađa dvije trećine učenika srednjeg obrazovanja (Međunarodna standardna klasifikacija obrazovanja (ISCED) 4 nivo), a oni koji rano napuštaju školu predstavljaju samo 5,7% učenika. Kontinuirana pažnja posvećuje se uključivanju u obrazovanje. Četvrtina mladih ljudi starosti od 15 do 24 godina upisana je u stručno obrazovanje (jedna od najvećih proporcija u regionu, što ukazuje na dobar napredak ka cilju postavljenom ciljem 4 održivog razvoja). Ukupni nivo obrazovanja je uporediv sa prosjekom EU, ali nedovoljan kvalitet obrazovanja i obuke koči potpun</w:t>
      </w:r>
      <w:r>
        <w:rPr>
          <w:sz w:val="24"/>
          <w:szCs w:val="24"/>
        </w:rPr>
        <w:t>i</w:t>
      </w:r>
      <w:r>
        <w:rPr>
          <w:color w:val="000000"/>
          <w:sz w:val="24"/>
          <w:szCs w:val="24"/>
        </w:rPr>
        <w:t xml:space="preserve"> </w:t>
      </w:r>
      <w:r>
        <w:rPr>
          <w:sz w:val="24"/>
          <w:szCs w:val="24"/>
        </w:rPr>
        <w:t>prenos</w:t>
      </w:r>
      <w:r>
        <w:rPr>
          <w:color w:val="000000"/>
          <w:sz w:val="24"/>
          <w:szCs w:val="24"/>
        </w:rPr>
        <w:t xml:space="preserve">ovog nivoa obrazovanja u ekonomsku produktivnost, zapošljavanje i socijalni razvoj. </w:t>
      </w:r>
      <w:r>
        <w:rPr>
          <w:b/>
          <w:color w:val="000000"/>
          <w:sz w:val="24"/>
          <w:szCs w:val="24"/>
        </w:rPr>
        <w:t xml:space="preserve">Učenje odraslih i cjeloživotno učenje i dalje je nerazvijeno, osim raznolike, ali ograničene ponude aktivnih mjera na tržištu rada </w:t>
      </w:r>
      <w:r>
        <w:rPr>
          <w:color w:val="000000"/>
          <w:sz w:val="24"/>
          <w:szCs w:val="24"/>
        </w:rPr>
        <w:t>(European Training Foundation</w:t>
      </w:r>
      <w:r>
        <w:rPr>
          <w:color w:val="000000"/>
          <w:sz w:val="24"/>
          <w:szCs w:val="24"/>
          <w:vertAlign w:val="superscript"/>
        </w:rPr>
        <w:footnoteReference w:id="65"/>
      </w:r>
      <w:r>
        <w:rPr>
          <w:color w:val="000000"/>
          <w:sz w:val="24"/>
          <w:szCs w:val="24"/>
        </w:rPr>
        <w:t>, 2020)</w:t>
      </w:r>
    </w:p>
    <w:p w14:paraId="4859A549"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U junu 2020. godine, ministar obrazovanja, u saradnji sa UNICEF-om, pozvao je međunarodne zajednice na koordinacioni sastanak sektora obrazovanja na mreži. Istaknut je napredak koji je postignut u reformi obrazovanja od 2016. godine kao i budući prioriteti. Predložen je razvoj hibridnog modela, uključujući učenje na daljinu kao sastavni dio obrazovanja i osposobljavanja, a kao odgovor na krizu COVID-19. Zatražena je kontinuirana podršku ETF-a (</w:t>
      </w:r>
      <w:r>
        <w:rPr>
          <w:sz w:val="24"/>
          <w:szCs w:val="24"/>
        </w:rPr>
        <w:t>European Training Foundation)</w:t>
      </w:r>
      <w:r>
        <w:rPr>
          <w:color w:val="000000"/>
          <w:sz w:val="24"/>
          <w:szCs w:val="24"/>
        </w:rPr>
        <w:t xml:space="preserve"> u oblasti učenja zasnovanog na radu i obuke nastavnika, kao odgovor na tekuće specifične potrebe proistekle iz krize.</w:t>
      </w:r>
    </w:p>
    <w:p w14:paraId="3226C2DA" w14:textId="77777777" w:rsidR="005B3072" w:rsidRDefault="00A46913">
      <w:pPr>
        <w:pBdr>
          <w:top w:val="nil"/>
          <w:left w:val="nil"/>
          <w:bottom w:val="nil"/>
          <w:right w:val="nil"/>
          <w:between w:val="nil"/>
        </w:pBdr>
        <w:spacing w:after="240" w:line="276" w:lineRule="auto"/>
        <w:jc w:val="both"/>
        <w:rPr>
          <w:color w:val="000000"/>
          <w:sz w:val="24"/>
          <w:szCs w:val="24"/>
        </w:rPr>
      </w:pPr>
      <w:bookmarkStart w:id="48" w:name="_nmf14n" w:colFirst="0" w:colLast="0"/>
      <w:bookmarkEnd w:id="48"/>
      <w:r>
        <w:rPr>
          <w:color w:val="000000"/>
          <w:sz w:val="24"/>
          <w:szCs w:val="24"/>
        </w:rPr>
        <w:t>Kada je riječ o cjeloživotnom obrazovanju i prekvalifikaciji, u Crnoj Gori su već uspostavljeni zakonski okviri. Nacionalna strategija za obrazovanje nastavnika u Crnoj Gori 2017−2025 naglašava potrebu za kontinuiranim profesionalnim razvojem nastavnika i obukom u cilju stavljanja fokusa na digitalne vještine. Strategija stručnog obrazovanja 2015−2020 zagovara uvođenje različitih oblika kontinuiranog profesionalnog razvoja (KPR), uključujući digitalno i onlajn učenje i platforme za dijeljenje dobre prakse i pružanje formalnih i neformalnih prilika za nastavnike i trenere da unaprijede svoje digitalne vještine. Međutim, profesija nastavnika zahtijeva univerzitetsku diplomu u relevantnoj oblasti, bez specifičnih zahtjeva za digitalnim vješinama, koje se ne ocjenjuju ni prilikom zapošljavanja, ni kasnije tokom rada.</w:t>
      </w:r>
    </w:p>
    <w:p w14:paraId="140DFD2A"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Sistem obrazovanj</w:t>
      </w:r>
      <w:r>
        <w:rPr>
          <w:sz w:val="24"/>
          <w:szCs w:val="24"/>
        </w:rPr>
        <w:t>a</w:t>
      </w:r>
      <w:r>
        <w:rPr>
          <w:color w:val="000000"/>
          <w:sz w:val="24"/>
          <w:szCs w:val="24"/>
        </w:rPr>
        <w:t xml:space="preserve"> odraslih je primarno razvijen od strane Ministarstva prosvjete, nauke, kulture i sporta i Centra za stručno obrazovanje, u saradnji sa ostalim institucijama. On je regulisan Zakonom o obrazovanju odraslih, Zakonom o nacionalnim stručnim kvalifikacijama, Zakonom o nacionalnom kvalifikacionom okviru, Opštim zakonom o obrazovanju i vaspitanju, i ostalim pod-zakonskim aktima. U skladu sa Zakonom o obrazovanju odraslih, ova oblast je sastavni dio nacionalnog obrazovnog sistema. Licencirani organizatori obrazovanja odraslih nude osposobljavanje za zanimanja, programe za </w:t>
      </w:r>
      <w:r>
        <w:rPr>
          <w:color w:val="000000"/>
          <w:sz w:val="24"/>
          <w:szCs w:val="24"/>
        </w:rPr>
        <w:lastRenderedPageBreak/>
        <w:t>unapređenje ključnih kompetencija, uključujući digitalne vještine i kompetencije, kao i posebne programe stručnog osposobljavanja, i profesionalnog i ličnog razvoja.</w:t>
      </w:r>
    </w:p>
    <w:p w14:paraId="77B5F12C" w14:textId="77777777" w:rsidR="005B3072" w:rsidRDefault="00A46913">
      <w:pPr>
        <w:pBdr>
          <w:top w:val="nil"/>
          <w:left w:val="nil"/>
          <w:bottom w:val="nil"/>
          <w:right w:val="nil"/>
          <w:between w:val="nil"/>
        </w:pBdr>
        <w:spacing w:after="240" w:line="276" w:lineRule="auto"/>
        <w:jc w:val="both"/>
        <w:rPr>
          <w:color w:val="000000"/>
          <w:sz w:val="24"/>
          <w:szCs w:val="24"/>
        </w:rPr>
      </w:pPr>
      <w:r>
        <w:rPr>
          <w:color w:val="000000"/>
          <w:sz w:val="24"/>
          <w:szCs w:val="24"/>
        </w:rPr>
        <w:t xml:space="preserve">Do danas, digitalne vještine ostaju nedovoljno razvijene u kontinuiranom stručnom obrazovanju i s tim u vezi potrebno je proširiti broj obuka, unaprijediti planove i stimulisati nezaposlene na prekvalifikaciju. Većina provajdera kontinuiranog stručnog obrazovanja navodi nedostatak savremenog hardvera </w:t>
      </w:r>
      <w:r>
        <w:rPr>
          <w:sz w:val="24"/>
          <w:szCs w:val="24"/>
        </w:rPr>
        <w:t>i</w:t>
      </w:r>
      <w:r>
        <w:rPr>
          <w:color w:val="000000"/>
          <w:sz w:val="24"/>
          <w:szCs w:val="24"/>
        </w:rPr>
        <w:t xml:space="preserve"> nedostatak licen</w:t>
      </w:r>
      <w:r>
        <w:rPr>
          <w:sz w:val="24"/>
          <w:szCs w:val="24"/>
        </w:rPr>
        <w:t>c</w:t>
      </w:r>
      <w:r>
        <w:rPr>
          <w:color w:val="000000"/>
          <w:sz w:val="24"/>
          <w:szCs w:val="24"/>
        </w:rPr>
        <w:t>iranog softvera za nastavu, što predstavlja glavnu prepreku digitalnom i onlajn učenju (Digitalne vještine – online učenje u Crnoj Gori, European Training Foundation</w:t>
      </w:r>
      <w:r>
        <w:rPr>
          <w:color w:val="000000"/>
          <w:sz w:val="24"/>
          <w:szCs w:val="24"/>
          <w:vertAlign w:val="superscript"/>
        </w:rPr>
        <w:footnoteReference w:id="66"/>
      </w:r>
      <w:r>
        <w:rPr>
          <w:color w:val="000000"/>
          <w:sz w:val="24"/>
          <w:szCs w:val="24"/>
        </w:rPr>
        <w:t>, 2017)</w:t>
      </w:r>
      <w:r>
        <w:rPr>
          <w:sz w:val="24"/>
          <w:szCs w:val="24"/>
        </w:rPr>
        <w:t>.</w:t>
      </w:r>
    </w:p>
    <w:p w14:paraId="19F218AD" w14:textId="77777777" w:rsidR="005B3072" w:rsidRDefault="00A46913">
      <w:pPr>
        <w:pBdr>
          <w:top w:val="nil"/>
          <w:left w:val="nil"/>
          <w:bottom w:val="nil"/>
          <w:right w:val="nil"/>
          <w:between w:val="nil"/>
        </w:pBdr>
        <w:spacing w:after="240" w:line="276" w:lineRule="auto"/>
        <w:jc w:val="both"/>
        <w:rPr>
          <w:color w:val="000000"/>
          <w:sz w:val="24"/>
          <w:szCs w:val="24"/>
        </w:rPr>
      </w:pPr>
      <w:bookmarkStart w:id="49" w:name="_37m2jsg" w:colFirst="0" w:colLast="0"/>
      <w:bookmarkEnd w:id="49"/>
      <w:r>
        <w:rPr>
          <w:color w:val="000000"/>
          <w:sz w:val="24"/>
          <w:szCs w:val="24"/>
        </w:rPr>
        <w:t>Prije svega neophodno je reformisati obrazovni sistem (od predškolskog do visokoškolskog obrazovanja) sa ciljem razvijanja digitalne pismenosti kao jedne od najvažnijih vještina za 21. vijek. Razvoj digitalnog obrazovanja kao i digitalnih kompetencija učenika i studenata u sistemu obrazovanja uslovljeni su drugim reformskim promjenama i pravcima razvoja u svim oblastima obrazovne politike. Informatika i računarstvo treba da se uključi kao obavezan predmet za učenike od petog razreda osnovne škole, i obavezan predmet u srednjim školama (sad je Informatika izborni predmet na prvoj godini). U okviru ovog predmeta učenici treba da stiču znanja o informaciono</w:t>
      </w:r>
      <w:r>
        <w:rPr>
          <w:sz w:val="24"/>
          <w:szCs w:val="24"/>
        </w:rPr>
        <w:t>-</w:t>
      </w:r>
      <w:r>
        <w:rPr>
          <w:color w:val="000000"/>
          <w:sz w:val="24"/>
          <w:szCs w:val="24"/>
        </w:rPr>
        <w:t>komunikacionim tehnologijma, digitaln</w:t>
      </w:r>
      <w:r>
        <w:rPr>
          <w:sz w:val="24"/>
          <w:szCs w:val="24"/>
        </w:rPr>
        <w:t>oj</w:t>
      </w:r>
      <w:r>
        <w:rPr>
          <w:color w:val="000000"/>
          <w:sz w:val="24"/>
          <w:szCs w:val="24"/>
        </w:rPr>
        <w:t xml:space="preserve"> pismenosti i osnovama računarstva. Takođe, u predškolskom uzrastu kroz primjenu vizuelnih programskih jezika kod djece se mogu razvijaj</w:t>
      </w:r>
      <w:r>
        <w:rPr>
          <w:sz w:val="24"/>
          <w:szCs w:val="24"/>
        </w:rPr>
        <w:t>ti</w:t>
      </w:r>
      <w:r>
        <w:rPr>
          <w:color w:val="000000"/>
          <w:sz w:val="24"/>
          <w:szCs w:val="24"/>
        </w:rPr>
        <w:t xml:space="preserve"> digitalne vještine i logičko razmišljanje u rješavanju problema. Kada je riječ o visokom obrazovanju nastavne planove treba približiti stvarnim potrebama tržišta rada uz uključivanje dualnog obrazovanja i cjeloživotnog učenja. </w:t>
      </w:r>
    </w:p>
    <w:p w14:paraId="77A969B4" w14:textId="77777777" w:rsidR="005B3072" w:rsidRDefault="00A46913">
      <w:pPr>
        <w:pStyle w:val="Heading3"/>
        <w:rPr>
          <w:b/>
          <w:color w:val="2E75B5"/>
          <w:u w:val="single"/>
        </w:rPr>
      </w:pPr>
      <w:bookmarkStart w:id="50" w:name="_1mrcu09" w:colFirst="0" w:colLast="0"/>
      <w:bookmarkEnd w:id="50"/>
      <w:r>
        <w:rPr>
          <w:b/>
          <w:color w:val="2E75B5"/>
          <w:u w:val="single"/>
        </w:rPr>
        <w:t>Ključni izazovi, problemi i nalazi</w:t>
      </w:r>
    </w:p>
    <w:p w14:paraId="39491BD2" w14:textId="77777777" w:rsidR="005B3072" w:rsidRDefault="005B3072"/>
    <w:p w14:paraId="44BD23D3" w14:textId="77777777" w:rsidR="005B3072" w:rsidRDefault="00A46913">
      <w:pPr>
        <w:numPr>
          <w:ilvl w:val="0"/>
          <w:numId w:val="3"/>
        </w:numPr>
        <w:spacing w:after="0" w:line="276" w:lineRule="auto"/>
        <w:jc w:val="both"/>
        <w:rPr>
          <w:sz w:val="24"/>
          <w:szCs w:val="24"/>
        </w:rPr>
      </w:pPr>
      <w:r>
        <w:rPr>
          <w:sz w:val="24"/>
          <w:szCs w:val="24"/>
        </w:rPr>
        <w:t xml:space="preserve">Nedostatak digitalnih vještina je (pored nedostatka informacija i svijesti) ključna prepreka za digitalni razvoj (konstatovana u svim analizama i od velike većine zainteresovanih). </w:t>
      </w:r>
    </w:p>
    <w:p w14:paraId="27143C02" w14:textId="77777777" w:rsidR="005B3072" w:rsidRDefault="00A46913">
      <w:pPr>
        <w:numPr>
          <w:ilvl w:val="0"/>
          <w:numId w:val="3"/>
        </w:numPr>
        <w:spacing w:after="0" w:line="276" w:lineRule="auto"/>
        <w:jc w:val="both"/>
        <w:rPr>
          <w:sz w:val="24"/>
          <w:szCs w:val="24"/>
        </w:rPr>
      </w:pPr>
      <w:r>
        <w:rPr>
          <w:sz w:val="24"/>
          <w:szCs w:val="24"/>
        </w:rPr>
        <w:t>Nedostatak digitalnih vještina u formalnom obrazovnom sistemu rezultira rigidnim obrazovnim sistemom i zastarjelim sadržajem na polju informatike i digitalizacije, pa se čitava linija programa formalnog obrazovanja mora obnoviti radi stvaranja boljih osnova za sticanje i primjenu digitalnih vještina za buduću upotrebu digitalnih tehnologija i bolju osnovu za buduće profesionalce u digitalnom razvoju.</w:t>
      </w:r>
    </w:p>
    <w:p w14:paraId="4E4ED0D9" w14:textId="77777777" w:rsidR="005B3072" w:rsidRDefault="00A46913">
      <w:pPr>
        <w:numPr>
          <w:ilvl w:val="0"/>
          <w:numId w:val="3"/>
        </w:numPr>
        <w:spacing w:after="0" w:line="276" w:lineRule="auto"/>
        <w:jc w:val="both"/>
        <w:rPr>
          <w:sz w:val="24"/>
          <w:szCs w:val="24"/>
        </w:rPr>
      </w:pPr>
      <w:r>
        <w:rPr>
          <w:sz w:val="24"/>
          <w:szCs w:val="24"/>
        </w:rPr>
        <w:t>Postoji značajan broj diplomaca IKT programa na univerzitetima svake godine, ali sektor IKT navodi nedostatak obučenih stručnjaka kao jedan od ključnih problema za razvoj. Sa druge strane identifikuju se „odlivi mozgova“ diplomaca IKT, pa razlozi za ovu situaciju moraju biti istraženi i moraju biti sastavni dio Strategije.</w:t>
      </w:r>
    </w:p>
    <w:p w14:paraId="40AEF08B" w14:textId="77777777" w:rsidR="005B3072" w:rsidRDefault="00A46913">
      <w:pPr>
        <w:numPr>
          <w:ilvl w:val="0"/>
          <w:numId w:val="3"/>
        </w:numPr>
        <w:spacing w:after="0" w:line="276" w:lineRule="auto"/>
        <w:jc w:val="both"/>
        <w:rPr>
          <w:sz w:val="24"/>
          <w:szCs w:val="24"/>
        </w:rPr>
      </w:pPr>
      <w:r>
        <w:rPr>
          <w:sz w:val="24"/>
          <w:szCs w:val="24"/>
        </w:rPr>
        <w:t xml:space="preserve">Nedostatak digitalnih vještina u određenim grupama (npr. nezaposleni, javni službenici, upravljačke strukture, stariji, i sl.) rezultira lošim položajem tih grupa na tržištu rada, lošom upotrebom i kvalitetom postojećih e-usluga i sporijim digitalnim razvojem različitih specifičnih </w:t>
      </w:r>
      <w:r>
        <w:rPr>
          <w:sz w:val="24"/>
          <w:szCs w:val="24"/>
        </w:rPr>
        <w:lastRenderedPageBreak/>
        <w:t>sektora (npr. javna uprava, mala i srednja preduzeća, uvođenje industrije 4.0, učešće nevladinih organizacija, itd.). Zbog toga je potrebno uvesti specijalizovane programe i programe cjeloživotnog učenja za određene ciljne grupe.</w:t>
      </w:r>
    </w:p>
    <w:p w14:paraId="124EEAED" w14:textId="77777777" w:rsidR="005B3072" w:rsidRDefault="00A46913">
      <w:pPr>
        <w:numPr>
          <w:ilvl w:val="0"/>
          <w:numId w:val="3"/>
        </w:numPr>
        <w:spacing w:after="0" w:line="276" w:lineRule="auto"/>
        <w:jc w:val="both"/>
        <w:rPr>
          <w:sz w:val="24"/>
          <w:szCs w:val="24"/>
        </w:rPr>
      </w:pPr>
      <w:r>
        <w:rPr>
          <w:sz w:val="24"/>
          <w:szCs w:val="24"/>
        </w:rPr>
        <w:t>Nedostatak osnovnih digitalnih vještina za pametno i bezbjedno korišćenje Interneta, informacija i razumijevanja e-usluga, korišćenje eID među opštom populacijom, su ključne prepreke za društveni digitalni razvoj, tako da obrazovne i promotivne aktivnosti za opštu populaciju treba nadograditi ili razviti.</w:t>
      </w:r>
    </w:p>
    <w:p w14:paraId="7897452F" w14:textId="77777777" w:rsidR="005B3072" w:rsidRDefault="00A46913">
      <w:pPr>
        <w:numPr>
          <w:ilvl w:val="0"/>
          <w:numId w:val="3"/>
        </w:numPr>
        <w:spacing w:after="0" w:line="276" w:lineRule="auto"/>
        <w:jc w:val="both"/>
        <w:rPr>
          <w:sz w:val="24"/>
          <w:szCs w:val="24"/>
        </w:rPr>
      </w:pPr>
      <w:r>
        <w:rPr>
          <w:sz w:val="24"/>
          <w:szCs w:val="24"/>
        </w:rPr>
        <w:t>Jedan od ključnih problema i izazova, je problem pristupa digitalnim tehnologijama, kako na individualnom nivou, tako i na nivou institucija i sektora. Određeni broj porodica nema digitalne uređaje i samim tim nemaju mogućnost pristupa informacijama i razvoju digitalnih vještina. Problem opremljenosti postoji na institucionalnom i sektorskom nivou takodje (npr: odnos učenik/kompjuter u obrazovnom sistemu je 15:1).</w:t>
      </w:r>
    </w:p>
    <w:p w14:paraId="5E461A07" w14:textId="77777777" w:rsidR="005B3072" w:rsidRDefault="005B3072">
      <w:pPr>
        <w:spacing w:after="0" w:line="276" w:lineRule="auto"/>
        <w:ind w:left="720"/>
        <w:jc w:val="both"/>
        <w:rPr>
          <w:sz w:val="24"/>
          <w:szCs w:val="24"/>
        </w:rPr>
      </w:pPr>
    </w:p>
    <w:p w14:paraId="4261656B" w14:textId="77777777" w:rsidR="005B3072" w:rsidRDefault="00A46913">
      <w:pPr>
        <w:pStyle w:val="Heading2"/>
        <w:rPr>
          <w:b/>
          <w:color w:val="2E75B5"/>
          <w:sz w:val="28"/>
          <w:szCs w:val="28"/>
        </w:rPr>
      </w:pPr>
      <w:bookmarkStart w:id="51" w:name="_46r0co2" w:colFirst="0" w:colLast="0"/>
      <w:bookmarkEnd w:id="51"/>
      <w:r>
        <w:rPr>
          <w:b/>
          <w:color w:val="2E75B5"/>
          <w:sz w:val="28"/>
          <w:szCs w:val="28"/>
        </w:rPr>
        <w:t>IKT sektor</w:t>
      </w:r>
    </w:p>
    <w:p w14:paraId="2D7CA2C6" w14:textId="77777777" w:rsidR="005B3072" w:rsidRDefault="00A46913">
      <w:pPr>
        <w:spacing w:before="240" w:after="240"/>
        <w:jc w:val="both"/>
        <w:rPr>
          <w:sz w:val="24"/>
          <w:szCs w:val="24"/>
        </w:rPr>
      </w:pPr>
      <w:r>
        <w:rPr>
          <w:sz w:val="24"/>
          <w:szCs w:val="24"/>
        </w:rPr>
        <w:t>Izvještaj Globalnog indeksa inovacija za 2020. godinu Crnu Goru svrstava na 49. mjesto od ukupno 131 ekonomije koje su obuhvaćene ovim istraživanjem, dok se u pogledu infrastrukture Crna Gora rangira na 53. mjestu. Crna Gora je na 13. mjestu po uvozu IKT usluga i 43. po izvozu IKT usluga (kao procenat ukupne trgovine). Trenutni udio IKT sektora u BDP-u je 3,7% (MONSTAT, 2020). Strateški cilj postavljen u Strategiji za razvoj informacionog društva 2016-2020 u oblasti e-trgovine je bio da udio IKT u BDP-u dostigne 6%, što bi se odrazilo na ekonomski rast i otvaranje novih radnih mjesta u ostalim sektorima, kao i učinilo da taj udio e-trgovine u ukupnoj trgovini dostigne 1,5%.</w:t>
      </w:r>
    </w:p>
    <w:p w14:paraId="217D44CC" w14:textId="77777777" w:rsidR="005B3072" w:rsidRDefault="00A46913">
      <w:pPr>
        <w:spacing w:before="240" w:after="240"/>
        <w:jc w:val="both"/>
        <w:rPr>
          <w:sz w:val="24"/>
          <w:szCs w:val="24"/>
        </w:rPr>
      </w:pPr>
      <w:r>
        <w:rPr>
          <w:sz w:val="24"/>
          <w:szCs w:val="24"/>
        </w:rPr>
        <w:t>Sveobuhvatnu analizu IKT sektora nije moguće sprovesti zbog nedostatka zvanične višegodišnje statistike o broju IKT kompanija i broju zaposlenih u ovom sektoru. Međutim, na osnovu periodičnih istraživanja međunarodnih institucija i nacionalnih organizacija moguće je stvoriti sliku stepena razvoja domaćeg IKT tržišta:</w:t>
      </w:r>
    </w:p>
    <w:p w14:paraId="5DC508CB" w14:textId="77777777" w:rsidR="005B3072" w:rsidRDefault="00A46913">
      <w:pPr>
        <w:numPr>
          <w:ilvl w:val="0"/>
          <w:numId w:val="26"/>
        </w:numPr>
        <w:spacing w:before="240" w:after="0" w:line="276" w:lineRule="auto"/>
        <w:jc w:val="both"/>
        <w:rPr>
          <w:sz w:val="24"/>
          <w:szCs w:val="24"/>
        </w:rPr>
      </w:pPr>
      <w:r>
        <w:rPr>
          <w:sz w:val="24"/>
          <w:szCs w:val="24"/>
        </w:rPr>
        <w:t>Na osnovu podataka iz izveštaja Profil digitalnih inovacija</w:t>
      </w:r>
      <w:r>
        <w:rPr>
          <w:sz w:val="24"/>
          <w:szCs w:val="24"/>
          <w:vertAlign w:val="superscript"/>
        </w:rPr>
        <w:footnoteReference w:id="67"/>
      </w:r>
      <w:r>
        <w:rPr>
          <w:i/>
          <w:sz w:val="24"/>
          <w:szCs w:val="24"/>
        </w:rPr>
        <w:t xml:space="preserve"> </w:t>
      </w:r>
      <w:r>
        <w:rPr>
          <w:sz w:val="24"/>
          <w:szCs w:val="24"/>
        </w:rPr>
        <w:t xml:space="preserve">koji je objavila Međunarodna Telekomunikaciona Unija (International Telecommunication Union </w:t>
      </w:r>
      <w:r>
        <w:rPr>
          <w:i/>
          <w:sz w:val="24"/>
          <w:szCs w:val="24"/>
        </w:rPr>
        <w:t xml:space="preserve">- </w:t>
      </w:r>
      <w:r>
        <w:rPr>
          <w:sz w:val="24"/>
          <w:szCs w:val="24"/>
        </w:rPr>
        <w:t>ITU</w:t>
      </w:r>
      <w:r>
        <w:rPr>
          <w:sz w:val="24"/>
          <w:szCs w:val="24"/>
          <w:vertAlign w:val="superscript"/>
        </w:rPr>
        <w:footnoteReference w:id="68"/>
      </w:r>
      <w:r>
        <w:rPr>
          <w:sz w:val="24"/>
          <w:szCs w:val="24"/>
        </w:rPr>
        <w:t xml:space="preserve">) 2020. godine, u okviru IKT sektora postoji 970 preduzeća koja zapošljavaju 4.441 radnika, što u odnosu na 2019. godinu znači povećanje broja preduzeća za 17%, i broj zaposlenih za 15%. </w:t>
      </w:r>
    </w:p>
    <w:p w14:paraId="6AEF46E9" w14:textId="77777777" w:rsidR="005B3072" w:rsidRDefault="00A46913">
      <w:pPr>
        <w:numPr>
          <w:ilvl w:val="0"/>
          <w:numId w:val="26"/>
        </w:numPr>
        <w:spacing w:after="240" w:line="276" w:lineRule="auto"/>
        <w:jc w:val="both"/>
        <w:rPr>
          <w:sz w:val="24"/>
          <w:szCs w:val="24"/>
        </w:rPr>
      </w:pPr>
      <w:r>
        <w:rPr>
          <w:sz w:val="24"/>
          <w:szCs w:val="24"/>
        </w:rPr>
        <w:t xml:space="preserve">Po podacima iz izvještaja Privredne komore Crne Gore (Pretpostavke razvoja digitalne transformacije o presjeku stanja u Crnoj Gori - pregled iz perspektive IT sektora, 2020), gledano po registracionoj šifri djelatnosti, u 2018. godini završne račune predalo je 790, a 2019. godine 748 kompanija. Još 80 njih bi se moglo svrstati uslovno u ovu grupu jer se bave prodajom i IT uređaja i mobilnih telefona. Od </w:t>
      </w:r>
      <w:r>
        <w:rPr>
          <w:b/>
          <w:sz w:val="24"/>
          <w:szCs w:val="24"/>
        </w:rPr>
        <w:t>ukupno 828 kompanija,</w:t>
      </w:r>
      <w:r>
        <w:rPr>
          <w:sz w:val="24"/>
          <w:szCs w:val="24"/>
        </w:rPr>
        <w:t xml:space="preserve"> 275 kompanija je prikazalo prihod od 0,00 eur, a </w:t>
      </w:r>
      <w:r>
        <w:rPr>
          <w:sz w:val="24"/>
          <w:szCs w:val="24"/>
        </w:rPr>
        <w:lastRenderedPageBreak/>
        <w:t xml:space="preserve">738 kompanija ima 5 i manje zaposlenih (od tog boja, 655 kompanija ima 1 ili 2 zaposlena, a 565 samo jednog zaposlenog). </w:t>
      </w:r>
      <w:r>
        <w:rPr>
          <w:b/>
          <w:sz w:val="24"/>
          <w:szCs w:val="24"/>
        </w:rPr>
        <w:t>Hiljadu zaposlenih radi u 28 kompanija, koje imaju skoro 80% prometa IT sektora. Manje od 30 kompanija ima prihod veći od 1.000.000 eur</w:t>
      </w:r>
      <w:r>
        <w:rPr>
          <w:sz w:val="24"/>
          <w:szCs w:val="24"/>
        </w:rPr>
        <w:t>.</w:t>
      </w:r>
    </w:p>
    <w:p w14:paraId="78803973" w14:textId="77777777" w:rsidR="005B3072" w:rsidRDefault="00A46913">
      <w:pPr>
        <w:spacing w:before="240" w:after="240"/>
        <w:jc w:val="both"/>
        <w:rPr>
          <w:sz w:val="24"/>
          <w:szCs w:val="24"/>
        </w:rPr>
      </w:pPr>
      <w:r>
        <w:rPr>
          <w:sz w:val="24"/>
          <w:szCs w:val="24"/>
        </w:rPr>
        <w:t>Crnogorski IKT sektor je još uvijek u ranoj fazi razvoja i ima puno potencijala za poboljšanje. Njegov razvoj u velikoj mjeri zavisi od državne pomoći i unapređenja usluga e-uprave. IKT sektor u Crnoj Gori prepoznat je kao jedan od najvažnijih sektora za budući ekonomski razvoj.</w:t>
      </w:r>
    </w:p>
    <w:p w14:paraId="6A28E4B0" w14:textId="77777777" w:rsidR="005B3072" w:rsidRDefault="00A46913">
      <w:pPr>
        <w:spacing w:before="240" w:after="240"/>
        <w:jc w:val="both"/>
        <w:rPr>
          <w:sz w:val="24"/>
          <w:szCs w:val="24"/>
        </w:rPr>
      </w:pPr>
      <w:r>
        <w:rPr>
          <w:sz w:val="24"/>
          <w:szCs w:val="24"/>
        </w:rPr>
        <w:t>Na osnovu Programa digitalnih inovacija Crne Gore, od 88 patenata koje su držali nacionalni izumitelji u 2018. godini, samo šest je digitalnih (Profil digitalnih inovacija</w:t>
      </w:r>
      <w:r>
        <w:rPr>
          <w:sz w:val="24"/>
          <w:szCs w:val="24"/>
          <w:vertAlign w:val="superscript"/>
        </w:rPr>
        <w:footnoteReference w:id="69"/>
      </w:r>
      <w:r>
        <w:rPr>
          <w:sz w:val="24"/>
          <w:szCs w:val="24"/>
        </w:rPr>
        <w:t>, 2020). Takođe je prepoznato da je razvojni kapacitet kompanija nizak iz nekoliko razloga: nedovoljni izdaci za istraživanje i razvoj, minimalna upotreba IKT i naprednih tehnologija (cloud, big data, blokchain, AI, IoT, 3D štampanje, machine learning, roboti/dronovi, itd.) i nedostatak inovativnih poslovnih modela koje nudi kolaborativna ekonomija (Profil digitalnih inovacija</w:t>
      </w:r>
      <w:r>
        <w:rPr>
          <w:sz w:val="24"/>
          <w:szCs w:val="24"/>
          <w:vertAlign w:val="superscript"/>
        </w:rPr>
        <w:footnoteReference w:id="70"/>
      </w:r>
      <w:r>
        <w:rPr>
          <w:sz w:val="24"/>
          <w:szCs w:val="24"/>
        </w:rPr>
        <w:t>, 2020).</w:t>
      </w:r>
    </w:p>
    <w:p w14:paraId="3DDA3424" w14:textId="77777777" w:rsidR="005B3072" w:rsidRDefault="00A46913">
      <w:pPr>
        <w:spacing w:before="240" w:after="240"/>
        <w:jc w:val="both"/>
        <w:rPr>
          <w:sz w:val="24"/>
          <w:szCs w:val="24"/>
        </w:rPr>
      </w:pPr>
      <w:r>
        <w:rPr>
          <w:sz w:val="24"/>
          <w:szCs w:val="24"/>
        </w:rPr>
        <w:t>Postoji realan osnov za uspostavljanje digitalnih rješenja u sledećim oblastima: turizam, nekretnine, pametni gradovi, životna sredina, zdravlje i blagostanje, obrazovanje, poslovanje i trgovina, e-uprava i angažovanje građana. Crnogorski turistički sektor posebno nudi brojne mogućnosti za donošenje inovativnih rješenja zasnovanih na tehnologiji.</w:t>
      </w:r>
    </w:p>
    <w:p w14:paraId="770F1ABF" w14:textId="77777777" w:rsidR="005B3072" w:rsidRDefault="00A46913">
      <w:pPr>
        <w:spacing w:before="240" w:after="240"/>
        <w:jc w:val="both"/>
        <w:rPr>
          <w:sz w:val="24"/>
          <w:szCs w:val="24"/>
        </w:rPr>
      </w:pPr>
      <w:bookmarkStart w:id="52" w:name="_2lwamvv" w:colFirst="0" w:colLast="0"/>
      <w:bookmarkEnd w:id="52"/>
      <w:r>
        <w:rPr>
          <w:sz w:val="24"/>
          <w:szCs w:val="24"/>
        </w:rPr>
        <w:t xml:space="preserve">Međutim, Crna Gora još treba da pređe dugačak put da iskoristi potencijal koji ima u svom IT sektoru. Svake godine u zemlji ima više od 300 diplomiranih informatičara sa 4 fakulteta i to sa Univerziteta Crne Gore (Elektrotehnički fakultet iPrirodno-matematički fakultet), Univerziteta Mediteran (Fakultet za informacione tehnologije) i Univerziteta Donja Gorica (Fakultet za informacione sisteme i tehnologije). Nekoliko drugih institucija i organizacija takođe radi na razvoju crnogorskog IT sistema. U tom smislu veoma važnu ulogu ima Naučno-tehnološki park, koji je osmišljen kao umrežena infrastruktura sa centralnom jedinicom u Podgorici i impulsnim centrima u Nikšiću, Baru i Pljevljima. Naučno-tehnološki park Crne Gore (NTP CG) u Podgorici registrovan je kao pravno lice 20. septembra 2019. godine, kada je i zvanično i počeo sa radom. Radovi na rekonstrukciji i adaptaciji objekta u kome treba da bude smješten NTP CG započeti su u maju 2020., te se očekuje da bi NTP CG do kraja 2022. godine mogao da počne sa radom u punom kapacitetu. Pored toga, Inovaciono-preduzetnički centar “Tehnopolis” u Nikšiću otvoren je 2016. godine kao prvi impulsni centar Naučno-tehnološkog parka i prva faza projekta NTP. M:tel digitalna fabrika, prvo IKT čvorište u Crnoj Gori, otvorio je 2017. godine mobilni operater M:tel BIO-IKT, Centar izvrsnosti iz bioinformatike, pokrenulo je bivše Ministarstvo nauke sa ciljem primjene nauke i IKT tehnologije prije svega u oblasti održive poljoprivrede i zaštite životne sredine. Pored navedenih, tu su i </w:t>
      </w:r>
      <w:hyperlink r:id="rId27">
        <w:r>
          <w:rPr>
            <w:sz w:val="24"/>
            <w:szCs w:val="24"/>
          </w:rPr>
          <w:t>Centar izvrsnosti za digitalizaciju procjene rizika u oblasti bezbjednosti hrane i preciznu sertifikaciju autentičnosti prehrambenih proizvoda</w:t>
        </w:r>
      </w:hyperlink>
      <w:r>
        <w:rPr>
          <w:sz w:val="24"/>
          <w:szCs w:val="24"/>
        </w:rPr>
        <w:t xml:space="preserve"> </w:t>
      </w:r>
      <w:hyperlink r:id="rId28">
        <w:r>
          <w:rPr>
            <w:sz w:val="24"/>
            <w:szCs w:val="24"/>
          </w:rPr>
          <w:t>FOODHUB</w:t>
        </w:r>
      </w:hyperlink>
      <w:r>
        <w:rPr>
          <w:sz w:val="24"/>
          <w:szCs w:val="24"/>
        </w:rPr>
        <w:t xml:space="preserve">, </w:t>
      </w:r>
      <w:r>
        <w:rPr>
          <w:sz w:val="24"/>
          <w:szCs w:val="24"/>
          <w:highlight w:val="white"/>
        </w:rPr>
        <w:t>Centar izvrsnosti za biomedicinska istraživanja (CEBIMER) na institutu dr Simo Milošević, itd</w:t>
      </w:r>
      <w:r>
        <w:rPr>
          <w:b/>
          <w:sz w:val="24"/>
          <w:szCs w:val="24"/>
        </w:rPr>
        <w:t>.</w:t>
      </w:r>
      <w:r>
        <w:rPr>
          <w:sz w:val="24"/>
          <w:szCs w:val="24"/>
        </w:rPr>
        <w:t xml:space="preserve"> Konačno, crnogorska mreža poslovnih anđela (MBAN) osnovana je u aprilu 2018. godine. Sa aspekta neformalnog informatičkog obrazovanja, projektima za </w:t>
      </w:r>
      <w:r>
        <w:rPr>
          <w:sz w:val="24"/>
          <w:szCs w:val="24"/>
        </w:rPr>
        <w:lastRenderedPageBreak/>
        <w:t>obuku zaposlenih po ECDL standardu je obučeno preko 2.000 zdravstvenih radnika i preko 3.000 zaposlenih u obrazovanju i državnoj upravi a do sada je u Crnoj Gori ECDL sertifikaciju prošlo preko 9.000 zaposlenih i građana. Ovaj projekat je pružio barem minimalno znanje o IKT vještinama. Takođe postoji veliki broj nezaposlenih mladih ljudi sa tehničkim predznanjem koji mogu postati konkurentna IT radna snaga nakon adekvatne obuke.</w:t>
      </w:r>
    </w:p>
    <w:p w14:paraId="19821124" w14:textId="77777777" w:rsidR="005B3072" w:rsidRDefault="00A46913">
      <w:pPr>
        <w:spacing w:after="240"/>
        <w:jc w:val="both"/>
        <w:rPr>
          <w:sz w:val="24"/>
          <w:szCs w:val="24"/>
        </w:rPr>
      </w:pPr>
      <w:r>
        <w:rPr>
          <w:sz w:val="24"/>
          <w:szCs w:val="24"/>
        </w:rPr>
        <w:t>Prethodnih godina neke od najvećih stranih IT kompanija otvorile su svoje razvojne centre i kancelarije u zemljama zapadnog Balkana, uključujući Crnu Goru. Na primjer, Microsoft je otvorio svoju kancelariju u Crnoj Gori već 2007. godine. Na tržištu su prisutne i druge globalne i regionalne kompanije poput Telenor-a, S&amp;T-a, Saga-e, Com Trade i United Group. Pokrivenost 4G signalom iznosi oko 98%. Broj korisnika širokopojasne mreže povećan je za 15,4% u odnosu na godinu ranije. Oko 80% domaćinstava ima aktivnu širokopojasnu internet vezu. Trenutni broj kompanija koje koriste e-trgovinu je oko 24%, a cilj Vlade je da ga poveća na 45% do 2024. godine. S obzirom na to da u Crnoj Gori živi oko 700.000 ljudi, domaće tržište je prilično malo, a Vlada je najveći poslodavac i najveći kupac u zemlji. Ovo daje dodatni značaj Vladinim politikama vezanim za lokalni digitalni ekosistem.</w:t>
      </w:r>
    </w:p>
    <w:p w14:paraId="2DD86061" w14:textId="77777777" w:rsidR="005B3072" w:rsidRDefault="00A46913">
      <w:pPr>
        <w:spacing w:before="240"/>
        <w:jc w:val="both"/>
        <w:rPr>
          <w:sz w:val="24"/>
          <w:szCs w:val="24"/>
        </w:rPr>
      </w:pPr>
      <w:r>
        <w:rPr>
          <w:sz w:val="24"/>
          <w:szCs w:val="24"/>
        </w:rPr>
        <w:t>Što se tiče regulatornog okvira, postoji nekoliko važnih dokumenata vezanih za IKT sektor u Crnoj Gori:</w:t>
      </w:r>
    </w:p>
    <w:p w14:paraId="60F63BF5" w14:textId="77777777" w:rsidR="005B3072" w:rsidRDefault="00A46913">
      <w:pPr>
        <w:numPr>
          <w:ilvl w:val="0"/>
          <w:numId w:val="23"/>
        </w:numPr>
        <w:spacing w:after="0" w:line="276" w:lineRule="auto"/>
        <w:jc w:val="both"/>
        <w:rPr>
          <w:sz w:val="24"/>
          <w:szCs w:val="24"/>
        </w:rPr>
      </w:pPr>
      <w:r>
        <w:rPr>
          <w:sz w:val="24"/>
          <w:szCs w:val="24"/>
        </w:rPr>
        <w:t>Strategija sajber bezbjednosti Crne Gore 2018-2021 stvorena je u skladu sa međunarodnim standardima u cilju izgradnje integrisanog, funkcionalnog i efikasnog sajber prostora.</w:t>
      </w:r>
    </w:p>
    <w:p w14:paraId="61671439" w14:textId="77777777" w:rsidR="005B3072" w:rsidRDefault="00A46913">
      <w:pPr>
        <w:numPr>
          <w:ilvl w:val="0"/>
          <w:numId w:val="23"/>
        </w:numPr>
        <w:spacing w:after="0" w:line="276" w:lineRule="auto"/>
        <w:jc w:val="both"/>
        <w:rPr>
          <w:sz w:val="24"/>
          <w:szCs w:val="24"/>
        </w:rPr>
      </w:pPr>
      <w:r>
        <w:rPr>
          <w:sz w:val="24"/>
          <w:szCs w:val="24"/>
        </w:rPr>
        <w:t>Strategija inovativne djelatnosti (2016-2020) postavlja tri glavna cilja: Povećati kapacitete za inovacije i tehnološki razvoj, ojačati instrumente za umrežavanje i saradnju aktera u inovacionom sistemu i ojačati potencijal za inovacije u poslovnom sektoru.</w:t>
      </w:r>
    </w:p>
    <w:p w14:paraId="4A7FAFF7" w14:textId="77777777" w:rsidR="005B3072" w:rsidRDefault="00A46913">
      <w:pPr>
        <w:numPr>
          <w:ilvl w:val="0"/>
          <w:numId w:val="23"/>
        </w:numPr>
        <w:spacing w:after="0" w:line="276" w:lineRule="auto"/>
        <w:jc w:val="both"/>
        <w:rPr>
          <w:sz w:val="24"/>
          <w:szCs w:val="24"/>
        </w:rPr>
      </w:pPr>
      <w:r>
        <w:rPr>
          <w:sz w:val="24"/>
          <w:szCs w:val="24"/>
        </w:rPr>
        <w:t>Strategija razvoja informacionog društva 2016- 2020 kreirana je u skladu sa standardima EU. Dokument definiše ključne sektore, kao što su: infrastruktura/širokopojasni pristup, bezbjednost informacija, ljudski kapital, e-trgovina, e-obrazovanje, e-zdravstvo, e-povezanost, e-uprava, istraživanje i razvoj i inovacije.</w:t>
      </w:r>
    </w:p>
    <w:p w14:paraId="1F8E67BB" w14:textId="77777777" w:rsidR="005B3072" w:rsidRDefault="00A46913">
      <w:pPr>
        <w:numPr>
          <w:ilvl w:val="0"/>
          <w:numId w:val="23"/>
        </w:numPr>
        <w:spacing w:after="0" w:line="276" w:lineRule="auto"/>
        <w:jc w:val="both"/>
        <w:rPr>
          <w:sz w:val="24"/>
          <w:szCs w:val="24"/>
        </w:rPr>
      </w:pPr>
      <w:r>
        <w:rPr>
          <w:sz w:val="24"/>
          <w:szCs w:val="24"/>
        </w:rPr>
        <w:t>Ostali važni dokumenti uključuju Strategiju pametne specijalizacije (2019-2024), Program podsticanja inovativnih startapa u Crnoj Gori (2019-2021) i Program podsticanja Centra za izvrsnost.</w:t>
      </w:r>
    </w:p>
    <w:p w14:paraId="352E31F9" w14:textId="77777777" w:rsidR="005B3072" w:rsidRDefault="00A46913">
      <w:pPr>
        <w:spacing w:before="240"/>
        <w:jc w:val="both"/>
        <w:rPr>
          <w:sz w:val="24"/>
          <w:szCs w:val="24"/>
        </w:rPr>
      </w:pPr>
      <w:r>
        <w:rPr>
          <w:sz w:val="24"/>
          <w:szCs w:val="24"/>
        </w:rPr>
        <w:t>Crna Gora je prepoznala potencijal preduzetništva i inovacija, posebno u IKT sektoru, kao snažni potencijal za pametan rast. Vladine politike i strategije snažno su usmjerene na podsticanje i jačanje inovacija preduzeća i rasta inovacija, kao faktora daljeg ekonomskog razvoja, koji će dovesti do vidljivih rezultata u transformaciji crnogorske ekonomije.</w:t>
      </w:r>
    </w:p>
    <w:p w14:paraId="483FEA69" w14:textId="77777777" w:rsidR="005B3072" w:rsidRDefault="00A46913">
      <w:pPr>
        <w:spacing w:before="240"/>
        <w:jc w:val="both"/>
        <w:rPr>
          <w:sz w:val="24"/>
          <w:szCs w:val="24"/>
        </w:rPr>
      </w:pPr>
      <w:r>
        <w:rPr>
          <w:sz w:val="24"/>
          <w:szCs w:val="24"/>
        </w:rPr>
        <w:t>Interes Vlade treba da bude da u saradnji i partnerstvu sa IKT kompanijama, podstakne razvoj konkretnih digitalnih rješenja koja će poboljšati uslove života i rada građana i privrede. Inovaciona politika je neophodna za potpunu integraciju preduzetničkih politika, uvođenje mehanizama koji će usporiti odliv talenata u polju inovacija i preduzetništva i ubrzati tempo stvaranja inovacionih ekosistema.</w:t>
      </w:r>
    </w:p>
    <w:p w14:paraId="57108686" w14:textId="77777777" w:rsidR="005B3072" w:rsidRDefault="00A46913">
      <w:pPr>
        <w:spacing w:before="240"/>
        <w:jc w:val="both"/>
        <w:rPr>
          <w:sz w:val="24"/>
          <w:szCs w:val="24"/>
        </w:rPr>
      </w:pPr>
      <w:r>
        <w:rPr>
          <w:sz w:val="24"/>
          <w:szCs w:val="24"/>
        </w:rPr>
        <w:lastRenderedPageBreak/>
        <w:t>Analiza IT sektora u Crnoj Gori koju je sproveo Odbor za digitalnu transformaciju Asocijacije menadžera Crne Gore (</w:t>
      </w:r>
      <w:r>
        <w:rPr>
          <w:i/>
          <w:sz w:val="24"/>
          <w:szCs w:val="24"/>
        </w:rPr>
        <w:t xml:space="preserve">Pretpostavke razvoja digitalne transformacije i presjek stanja u Crnoj Gori - pregled iz perspektive IT sektora, 2020) </w:t>
      </w:r>
      <w:r>
        <w:rPr>
          <w:sz w:val="24"/>
          <w:szCs w:val="24"/>
        </w:rPr>
        <w:t>ukazuje na ključne probleme:</w:t>
      </w:r>
    </w:p>
    <w:p w14:paraId="3005AE5A" w14:textId="77777777" w:rsidR="005B3072" w:rsidRDefault="00A46913">
      <w:pPr>
        <w:numPr>
          <w:ilvl w:val="0"/>
          <w:numId w:val="59"/>
        </w:numPr>
        <w:pBdr>
          <w:top w:val="nil"/>
          <w:left w:val="nil"/>
          <w:bottom w:val="nil"/>
          <w:right w:val="nil"/>
          <w:between w:val="nil"/>
        </w:pBdr>
        <w:spacing w:after="0" w:line="276" w:lineRule="auto"/>
        <w:jc w:val="both"/>
        <w:rPr>
          <w:color w:val="000000"/>
          <w:sz w:val="24"/>
          <w:szCs w:val="24"/>
        </w:rPr>
      </w:pPr>
      <w:r>
        <w:rPr>
          <w:b/>
          <w:color w:val="000000"/>
          <w:sz w:val="24"/>
          <w:szCs w:val="24"/>
        </w:rPr>
        <w:t>Utisak je da je IT sektor u Crnoj Gori nedovoljno, čak i slabo razvijen i apsolutno nije konkurentan na regionalnom nivou.</w:t>
      </w:r>
      <w:r>
        <w:rPr>
          <w:color w:val="000000"/>
          <w:sz w:val="24"/>
          <w:szCs w:val="24"/>
        </w:rPr>
        <w:t xml:space="preserve"> </w:t>
      </w:r>
    </w:p>
    <w:p w14:paraId="64FE8D35" w14:textId="77777777" w:rsidR="005B3072" w:rsidRDefault="00A46913">
      <w:pPr>
        <w:numPr>
          <w:ilvl w:val="0"/>
          <w:numId w:val="59"/>
        </w:numPr>
        <w:spacing w:after="0" w:line="276" w:lineRule="auto"/>
        <w:jc w:val="both"/>
        <w:rPr>
          <w:sz w:val="24"/>
          <w:szCs w:val="24"/>
        </w:rPr>
      </w:pPr>
      <w:r>
        <w:rPr>
          <w:b/>
          <w:sz w:val="24"/>
          <w:szCs w:val="24"/>
        </w:rPr>
        <w:t>Osnovne karakteristike IT sektora</w:t>
      </w:r>
      <w:r>
        <w:rPr>
          <w:sz w:val="24"/>
          <w:szCs w:val="24"/>
        </w:rPr>
        <w:t xml:space="preserve"> su prosječno mali broj zaposlenih, mali finansijski, a samim tim i razvojni potencijali IT preduzeća i rad na malom i u informatičkom smislu nedovoljno razvijenom tržištu. </w:t>
      </w:r>
    </w:p>
    <w:p w14:paraId="147C1448" w14:textId="77777777" w:rsidR="005B3072" w:rsidRDefault="00A46913">
      <w:pPr>
        <w:numPr>
          <w:ilvl w:val="0"/>
          <w:numId w:val="59"/>
        </w:numPr>
        <w:spacing w:after="240" w:line="276" w:lineRule="auto"/>
        <w:jc w:val="both"/>
        <w:rPr>
          <w:sz w:val="24"/>
          <w:szCs w:val="24"/>
        </w:rPr>
      </w:pPr>
      <w:r>
        <w:rPr>
          <w:b/>
          <w:sz w:val="24"/>
          <w:szCs w:val="24"/>
        </w:rPr>
        <w:t>U IT kompanijama u 2019. godini bilo je zaposleno 1.515 radnika</w:t>
      </w:r>
      <w:r>
        <w:rPr>
          <w:sz w:val="24"/>
          <w:szCs w:val="24"/>
        </w:rPr>
        <w:t xml:space="preserve">, 0,9% više u odnosu na prošlu godinu. Prihod IT sektora iznosio je nešto više od 62 miliona eura, tj. 3% manje u odnosu na prethodni izvještajni period. Dobit sektora bila je preko 9 miliona eura što je uvećanje za 8,6%, ali je zabilježen rast gubitaka od 48,6%. Podaci se odnose na kompanije koje su registrovane za kompjutersko programiranje, konsalting, popravku, proizvodnju, trgovinu i druge informacione uslužne djelatnosti. Imajući u vidu način “prebrojavanja” nameće se kao obavezna drugačija statistička obrada IT sektora i formiranje </w:t>
      </w:r>
      <w:r>
        <w:rPr>
          <w:b/>
          <w:sz w:val="24"/>
          <w:szCs w:val="24"/>
        </w:rPr>
        <w:t>registra aktivnih IT kompanija</w:t>
      </w:r>
      <w:r>
        <w:rPr>
          <w:sz w:val="24"/>
          <w:szCs w:val="24"/>
        </w:rPr>
        <w:t xml:space="preserve"> pri Privrednoj komori Crne Gore.</w:t>
      </w:r>
    </w:p>
    <w:p w14:paraId="7722C274" w14:textId="77777777" w:rsidR="005B3072" w:rsidRDefault="00A46913">
      <w:pPr>
        <w:spacing w:before="240" w:after="240"/>
        <w:jc w:val="both"/>
        <w:rPr>
          <w:sz w:val="24"/>
          <w:szCs w:val="24"/>
        </w:rPr>
      </w:pPr>
      <w:r>
        <w:rPr>
          <w:b/>
          <w:sz w:val="24"/>
          <w:szCs w:val="24"/>
        </w:rPr>
        <w:t>U Crnoj Gori ne postoji strateški dokument koji se odnosi na razvoj IT sektora.</w:t>
      </w:r>
      <w:r>
        <w:rPr>
          <w:sz w:val="24"/>
          <w:szCs w:val="24"/>
        </w:rPr>
        <w:t>  Samostalno ili u okviru Strategije digitalne transformacije Crne Gore 2022-2026, taj dokument bi trebao da  tretira strateški pristup razvoju IT sektora u Crnoj Gori, od planiranja prilagođenog obrazovnog sistema uz povećanje broja studenata informatičkih disciplina, planiranja specijalističkih kurseva za IT inženjere, podsticaja za zapošljavanje u IT sektoru, podsticaja za uvođenje sistema kvaliteta u IT kompanijama (posebno ISO 20000 i ISO 27001), privatno-javno partnerstvo na realizaciji strateških IT projekata i uključivanje što više lokalnih IT kompanija u realizaciju IT projekata. Kao konačni i dugoročni cilj treba definisati budućnost IT sektora kao izvoznog segmenta crnogorske privrede. </w:t>
      </w:r>
    </w:p>
    <w:p w14:paraId="0B8AD41B" w14:textId="77777777" w:rsidR="005B3072" w:rsidRDefault="00A46913">
      <w:pPr>
        <w:spacing w:before="240" w:after="240"/>
        <w:jc w:val="both"/>
        <w:rPr>
          <w:sz w:val="24"/>
          <w:szCs w:val="24"/>
        </w:rPr>
      </w:pPr>
      <w:r>
        <w:rPr>
          <w:b/>
          <w:sz w:val="24"/>
          <w:szCs w:val="24"/>
        </w:rPr>
        <w:t>Kada su u pitanju strateški IT projekti (vrijedni čak i nekoliko miliona eura), gotovo nijedan u skorijoj prošlosti nije dodijeljen crnogorskim IT kompanijama jer malo njih danas ima kapacitet da se nosi sa takvim izazovima. I što je nepovoljno, moguć je ozbiljan odliv kadrova jer je situacija na zapadnim tržištima takva da zbog naglog porasta potražnje za IT profesionalcima zemlje van EU postaju njihov značajan izvor nedostajuće informatičke energije.</w:t>
      </w:r>
    </w:p>
    <w:p w14:paraId="67F7BBF0" w14:textId="77777777" w:rsidR="005B3072" w:rsidRDefault="00A46913">
      <w:pPr>
        <w:spacing w:before="240" w:after="240"/>
        <w:ind w:right="-41"/>
        <w:jc w:val="both"/>
        <w:rPr>
          <w:sz w:val="24"/>
          <w:szCs w:val="24"/>
        </w:rPr>
      </w:pPr>
      <w:bookmarkStart w:id="53" w:name="_111kx3o" w:colFirst="0" w:colLast="0"/>
      <w:bookmarkEnd w:id="53"/>
      <w:r>
        <w:rPr>
          <w:sz w:val="24"/>
          <w:szCs w:val="24"/>
        </w:rPr>
        <w:t>Pristup finansijama ostaje važan izazov, posebno za mala i srednja preduzeća. Ova preduzeća ne mogu da ispune relativno stroge zahtjeve za bankarsko kreditiranje, uključujući visoke kolaterale, promet, kreditnu istoriju i druge uslove. Štaviše, imaju ograničene alternative bankarskom finansiranju. OECD je u svom Izvještaju o konkurentnosti u jugoistočnoj Evropi za 2021. godinu identifikovao da je postignut određeni napredak u povećanju finansiranja malih i srednjih preduzeća (MSP), ali izazov postoji.</w:t>
      </w:r>
    </w:p>
    <w:p w14:paraId="25F1E5DE" w14:textId="77777777" w:rsidR="005B3072" w:rsidRDefault="00A46913">
      <w:pPr>
        <w:spacing w:before="240" w:after="240"/>
        <w:jc w:val="both"/>
        <w:rPr>
          <w:sz w:val="24"/>
          <w:szCs w:val="24"/>
        </w:rPr>
      </w:pPr>
      <w:r>
        <w:rPr>
          <w:sz w:val="24"/>
          <w:szCs w:val="24"/>
        </w:rPr>
        <w:t>Podaci o procentu zaposlenih IKT stručnjaka u ukupnom broju zaposlenih pokazuju da Crna Gora sa 1,8% zaostaje za zemljama CIE-11, dok EU ima između 3,6% i 3,9%.</w:t>
      </w:r>
    </w:p>
    <w:p w14:paraId="4C0C3CE8" w14:textId="77777777" w:rsidR="005B3072" w:rsidRDefault="00A46913">
      <w:pPr>
        <w:spacing w:before="240" w:after="240"/>
        <w:jc w:val="both"/>
        <w:rPr>
          <w:sz w:val="24"/>
          <w:szCs w:val="24"/>
        </w:rPr>
      </w:pPr>
      <w:r>
        <w:rPr>
          <w:sz w:val="24"/>
          <w:szCs w:val="24"/>
        </w:rPr>
        <w:lastRenderedPageBreak/>
        <w:t xml:space="preserve">Uprkos usvajanju </w:t>
      </w:r>
      <w:hyperlink r:id="rId29">
        <w:r>
          <w:rPr>
            <w:sz w:val="24"/>
            <w:szCs w:val="24"/>
          </w:rPr>
          <w:t>Strategija razvoja mikro, malih i srednjih preduzeća u Crnoj Gori 2018 - 2022</w:t>
        </w:r>
      </w:hyperlink>
      <w:r>
        <w:rPr>
          <w:sz w:val="24"/>
          <w:szCs w:val="24"/>
        </w:rPr>
        <w:t>. godine, napredak u promociji digitalizacije poslovanja i e-trgovine je spor. Program Ministarstva ekonomskog razvoja za unapređenje konkurentnosti privrede uključuje posebnu budžetsku liniju za digitalizaciju poslovanja koja može da finansira nešto više od 60 kompanija. Sličan program digitalizacije poslovanja u 2018. godini primilo je samo 10 prijavljenih kompanija. Ovo otkriva obrazac ograničene efikasnosti i uticaja takvih programa, objašnjen kombinacijom faktora kao što su niska alokacija resursa, zahtjevne procedure za upravljanje aplikacijama i projektima i neusklađenost sa stvarnim potrebama tržišta (</w:t>
      </w:r>
      <w:r>
        <w:rPr>
          <w:i/>
          <w:sz w:val="24"/>
          <w:szCs w:val="24"/>
        </w:rPr>
        <w:t>OECD, Izvještaj o konkurentnosti u jugoistočnoj Evropi 2021</w:t>
      </w:r>
      <w:r>
        <w:rPr>
          <w:sz w:val="24"/>
          <w:szCs w:val="24"/>
        </w:rPr>
        <w:t>).</w:t>
      </w:r>
    </w:p>
    <w:p w14:paraId="0C896029" w14:textId="77777777" w:rsidR="005B3072" w:rsidRDefault="00A46913">
      <w:pPr>
        <w:spacing w:before="240" w:after="240"/>
        <w:jc w:val="both"/>
        <w:rPr>
          <w:sz w:val="24"/>
          <w:szCs w:val="24"/>
        </w:rPr>
      </w:pPr>
      <w:r>
        <w:rPr>
          <w:sz w:val="24"/>
          <w:szCs w:val="24"/>
        </w:rPr>
        <w:t xml:space="preserve">U okviru pametne specijalizacije (S3) Komitet za IKT PKCG pripremio je </w:t>
      </w:r>
      <w:r>
        <w:rPr>
          <w:color w:val="2E75B5"/>
          <w:sz w:val="24"/>
          <w:szCs w:val="24"/>
        </w:rPr>
        <w:t>SWOT analizu IKT sektora</w:t>
      </w:r>
      <w:r>
        <w:rPr>
          <w:sz w:val="24"/>
          <w:szCs w:val="24"/>
        </w:rPr>
        <w:t>, koja predstavlja dragocjen analitički pogled i osnov za razvoj strategije.</w:t>
      </w:r>
      <w:r>
        <w:rPr>
          <w:color w:val="38761D"/>
          <w:sz w:val="24"/>
          <w:szCs w:val="24"/>
        </w:rPr>
        <w:t xml:space="preserve"> </w:t>
      </w:r>
      <w:r>
        <w:rPr>
          <w:sz w:val="24"/>
          <w:szCs w:val="24"/>
        </w:rPr>
        <w:t>Mogu se naglasiti sljedeća ključna otkrića.</w:t>
      </w:r>
    </w:p>
    <w:tbl>
      <w:tblPr>
        <w:tblStyle w:val="a4"/>
        <w:tblW w:w="10185" w:type="dxa"/>
        <w:tblBorders>
          <w:top w:val="single" w:sz="4" w:space="0" w:color="5B9BD5"/>
          <w:left w:val="single" w:sz="4" w:space="0" w:color="FFFFFF"/>
          <w:bottom w:val="single" w:sz="4" w:space="0" w:color="5B9BD5"/>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0185"/>
      </w:tblGrid>
      <w:tr w:rsidR="005B3072" w14:paraId="1E9DBEC2" w14:textId="77777777" w:rsidTr="005B30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0D3AAA23" w14:textId="77777777" w:rsidR="005B3072" w:rsidRDefault="00A46913">
            <w:pPr>
              <w:jc w:val="both"/>
              <w:rPr>
                <w:sz w:val="24"/>
                <w:szCs w:val="24"/>
              </w:rPr>
            </w:pPr>
            <w:r>
              <w:rPr>
                <w:b w:val="0"/>
                <w:sz w:val="24"/>
                <w:szCs w:val="24"/>
              </w:rPr>
              <w:t xml:space="preserve">Postoje važne </w:t>
            </w:r>
            <w:r>
              <w:rPr>
                <w:sz w:val="24"/>
                <w:szCs w:val="24"/>
              </w:rPr>
              <w:t xml:space="preserve">snage </w:t>
            </w:r>
            <w:r>
              <w:rPr>
                <w:b w:val="0"/>
                <w:sz w:val="24"/>
                <w:szCs w:val="24"/>
              </w:rPr>
              <w:t>na kojima možemo graditi budući razvoj:</w:t>
            </w:r>
          </w:p>
        </w:tc>
      </w:tr>
      <w:tr w:rsidR="005B3072" w14:paraId="700686ED"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24ABDB3D" w14:textId="77777777" w:rsidR="005B3072" w:rsidRDefault="00A46913">
            <w:pPr>
              <w:numPr>
                <w:ilvl w:val="0"/>
                <w:numId w:val="45"/>
              </w:numPr>
              <w:spacing w:line="276" w:lineRule="auto"/>
              <w:jc w:val="both"/>
              <w:rPr>
                <w:sz w:val="24"/>
                <w:szCs w:val="24"/>
              </w:rPr>
            </w:pPr>
            <w:bookmarkStart w:id="54" w:name="_3l18frh" w:colFirst="0" w:colLast="0"/>
            <w:bookmarkEnd w:id="54"/>
            <w:r>
              <w:rPr>
                <w:b w:val="0"/>
                <w:sz w:val="24"/>
                <w:szCs w:val="24"/>
              </w:rPr>
              <w:t>Prisustvo međunarodno dobro integrisanih izvrsnih istraživačkih timova/istraživača;</w:t>
            </w:r>
          </w:p>
        </w:tc>
      </w:tr>
      <w:tr w:rsidR="005B3072" w14:paraId="6FCAC0CD"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45733526" w14:textId="77777777" w:rsidR="005B3072" w:rsidRDefault="00A46913">
            <w:pPr>
              <w:numPr>
                <w:ilvl w:val="0"/>
                <w:numId w:val="45"/>
              </w:numPr>
              <w:spacing w:line="276" w:lineRule="auto"/>
              <w:jc w:val="both"/>
              <w:rPr>
                <w:sz w:val="24"/>
                <w:szCs w:val="24"/>
              </w:rPr>
            </w:pPr>
            <w:r>
              <w:rPr>
                <w:b w:val="0"/>
                <w:sz w:val="24"/>
                <w:szCs w:val="24"/>
              </w:rPr>
              <w:t>Razvijen visokoškolski sistem;</w:t>
            </w:r>
          </w:p>
        </w:tc>
      </w:tr>
      <w:tr w:rsidR="005B3072" w14:paraId="2DCAB0B4"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50537C0C" w14:textId="77777777" w:rsidR="005B3072" w:rsidRDefault="00A46913">
            <w:pPr>
              <w:numPr>
                <w:ilvl w:val="0"/>
                <w:numId w:val="45"/>
              </w:numPr>
              <w:spacing w:line="276" w:lineRule="auto"/>
              <w:jc w:val="both"/>
              <w:rPr>
                <w:sz w:val="24"/>
                <w:szCs w:val="24"/>
              </w:rPr>
            </w:pPr>
            <w:r>
              <w:rPr>
                <w:b w:val="0"/>
                <w:sz w:val="24"/>
                <w:szCs w:val="24"/>
              </w:rPr>
              <w:t>Dostupnost visoko obrazovane radne snage;</w:t>
            </w:r>
          </w:p>
        </w:tc>
      </w:tr>
      <w:tr w:rsidR="005B3072" w14:paraId="4516D81B"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53E9A2C9" w14:textId="77777777" w:rsidR="005B3072" w:rsidRDefault="00A46913">
            <w:pPr>
              <w:numPr>
                <w:ilvl w:val="0"/>
                <w:numId w:val="45"/>
              </w:numPr>
              <w:spacing w:line="276" w:lineRule="auto"/>
              <w:jc w:val="both"/>
              <w:rPr>
                <w:sz w:val="24"/>
                <w:szCs w:val="24"/>
              </w:rPr>
            </w:pPr>
            <w:r>
              <w:rPr>
                <w:b w:val="0"/>
                <w:sz w:val="24"/>
                <w:szCs w:val="24"/>
              </w:rPr>
              <w:t>Atraktivna lokacija i veličina zemlje za pilot projekte bazirane na novim tehnologijama;</w:t>
            </w:r>
          </w:p>
        </w:tc>
      </w:tr>
      <w:tr w:rsidR="005B3072" w14:paraId="33D17BF5"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186D4A8B" w14:textId="77777777" w:rsidR="005B3072" w:rsidRDefault="00A46913">
            <w:pPr>
              <w:numPr>
                <w:ilvl w:val="0"/>
                <w:numId w:val="45"/>
              </w:numPr>
              <w:spacing w:line="276" w:lineRule="auto"/>
              <w:jc w:val="both"/>
              <w:rPr>
                <w:sz w:val="24"/>
                <w:szCs w:val="24"/>
              </w:rPr>
            </w:pPr>
            <w:r>
              <w:rPr>
                <w:b w:val="0"/>
                <w:sz w:val="24"/>
                <w:szCs w:val="24"/>
              </w:rPr>
              <w:t>Ekološka očuvanost, raspoloživost i raznovrsnost prirodnih resursa;</w:t>
            </w:r>
          </w:p>
        </w:tc>
      </w:tr>
      <w:tr w:rsidR="005B3072" w14:paraId="7047DC22"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068D2818" w14:textId="77777777" w:rsidR="005B3072" w:rsidRDefault="00A46913">
            <w:pPr>
              <w:numPr>
                <w:ilvl w:val="0"/>
                <w:numId w:val="45"/>
              </w:numPr>
              <w:spacing w:line="276" w:lineRule="auto"/>
              <w:jc w:val="both"/>
              <w:rPr>
                <w:sz w:val="24"/>
                <w:szCs w:val="24"/>
              </w:rPr>
            </w:pPr>
            <w:r>
              <w:rPr>
                <w:b w:val="0"/>
                <w:sz w:val="24"/>
                <w:szCs w:val="24"/>
              </w:rPr>
              <w:t>Dobra telekomunikaciona infrastruktura;</w:t>
            </w:r>
          </w:p>
        </w:tc>
      </w:tr>
      <w:tr w:rsidR="005B3072" w14:paraId="7A58EA8A"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0FD50621" w14:textId="77777777" w:rsidR="005B3072" w:rsidRDefault="00A46913">
            <w:pPr>
              <w:numPr>
                <w:ilvl w:val="0"/>
                <w:numId w:val="45"/>
              </w:numPr>
              <w:spacing w:line="276" w:lineRule="auto"/>
              <w:jc w:val="both"/>
              <w:rPr>
                <w:sz w:val="24"/>
                <w:szCs w:val="24"/>
              </w:rPr>
            </w:pPr>
            <w:r>
              <w:rPr>
                <w:b w:val="0"/>
                <w:sz w:val="24"/>
                <w:szCs w:val="24"/>
              </w:rPr>
              <w:t>Prisustvo velikih internacionalnih kompanija;</w:t>
            </w:r>
          </w:p>
        </w:tc>
      </w:tr>
      <w:tr w:rsidR="005B3072" w14:paraId="3F31D6C8"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402AA612" w14:textId="77777777" w:rsidR="005B3072" w:rsidRDefault="00A46913">
            <w:pPr>
              <w:numPr>
                <w:ilvl w:val="0"/>
                <w:numId w:val="45"/>
              </w:numPr>
              <w:spacing w:line="276" w:lineRule="auto"/>
              <w:jc w:val="both"/>
              <w:rPr>
                <w:sz w:val="24"/>
                <w:szCs w:val="24"/>
              </w:rPr>
            </w:pPr>
            <w:r>
              <w:rPr>
                <w:b w:val="0"/>
                <w:sz w:val="24"/>
                <w:szCs w:val="24"/>
              </w:rPr>
              <w:t>Postojanje zadovoljavajućeg pravnog i institucionalnog okvira.</w:t>
            </w:r>
          </w:p>
        </w:tc>
      </w:tr>
      <w:tr w:rsidR="005B3072" w14:paraId="685DC548" w14:textId="77777777" w:rsidTr="005B3072">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0185" w:type="dxa"/>
          </w:tcPr>
          <w:p w14:paraId="7609931D" w14:textId="77777777" w:rsidR="005B3072" w:rsidRDefault="005B3072">
            <w:pPr>
              <w:rPr>
                <w:sz w:val="24"/>
                <w:szCs w:val="24"/>
              </w:rPr>
            </w:pPr>
          </w:p>
        </w:tc>
      </w:tr>
      <w:tr w:rsidR="005B3072" w14:paraId="1D5F1D0D" w14:textId="77777777" w:rsidTr="005B3072">
        <w:trPr>
          <w:trHeight w:val="410"/>
        </w:trPr>
        <w:tc>
          <w:tcPr>
            <w:cnfStyle w:val="001000000000" w:firstRow="0" w:lastRow="0" w:firstColumn="1" w:lastColumn="0" w:oddVBand="0" w:evenVBand="0" w:oddHBand="0" w:evenHBand="0" w:firstRowFirstColumn="0" w:firstRowLastColumn="0" w:lastRowFirstColumn="0" w:lastRowLastColumn="0"/>
            <w:tcW w:w="10185" w:type="dxa"/>
          </w:tcPr>
          <w:p w14:paraId="70663DD6" w14:textId="77777777" w:rsidR="005B3072" w:rsidRDefault="00A46913">
            <w:pPr>
              <w:jc w:val="both"/>
              <w:rPr>
                <w:sz w:val="24"/>
                <w:szCs w:val="24"/>
              </w:rPr>
            </w:pPr>
            <w:bookmarkStart w:id="55" w:name="_206ipza" w:colFirst="0" w:colLast="0"/>
            <w:bookmarkEnd w:id="55"/>
            <w:r>
              <w:rPr>
                <w:b w:val="0"/>
                <w:sz w:val="24"/>
                <w:szCs w:val="24"/>
              </w:rPr>
              <w:t xml:space="preserve">Ključne </w:t>
            </w:r>
            <w:r>
              <w:rPr>
                <w:sz w:val="24"/>
                <w:szCs w:val="24"/>
              </w:rPr>
              <w:t>slabosti</w:t>
            </w:r>
            <w:r>
              <w:rPr>
                <w:b w:val="0"/>
                <w:sz w:val="24"/>
                <w:szCs w:val="24"/>
              </w:rPr>
              <w:t xml:space="preserve"> IKT sektora na koje Strategija treba da odgovori su identifikovane kao: </w:t>
            </w:r>
          </w:p>
        </w:tc>
      </w:tr>
      <w:tr w:rsidR="005B3072" w14:paraId="08ED7483"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64EA3B2F" w14:textId="77777777" w:rsidR="005B3072" w:rsidRDefault="00A46913">
            <w:pPr>
              <w:numPr>
                <w:ilvl w:val="0"/>
                <w:numId w:val="4"/>
              </w:numPr>
              <w:spacing w:line="276" w:lineRule="auto"/>
              <w:jc w:val="both"/>
              <w:rPr>
                <w:sz w:val="24"/>
                <w:szCs w:val="24"/>
              </w:rPr>
            </w:pPr>
            <w:r>
              <w:rPr>
                <w:b w:val="0"/>
                <w:sz w:val="24"/>
                <w:szCs w:val="24"/>
              </w:rPr>
              <w:t>Nedostatak „kritične mase“ u naučnoj i istraživačkoj zajednici na području digitalizacije zbog fragmentacije i slabe saradnje;</w:t>
            </w:r>
          </w:p>
        </w:tc>
      </w:tr>
      <w:tr w:rsidR="005B3072" w14:paraId="1E5B200B"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189B716D" w14:textId="77777777" w:rsidR="005B3072" w:rsidRDefault="00A46913">
            <w:pPr>
              <w:numPr>
                <w:ilvl w:val="0"/>
                <w:numId w:val="4"/>
              </w:numPr>
              <w:spacing w:line="276" w:lineRule="auto"/>
              <w:jc w:val="both"/>
              <w:rPr>
                <w:sz w:val="24"/>
                <w:szCs w:val="24"/>
              </w:rPr>
            </w:pPr>
            <w:r>
              <w:rPr>
                <w:b w:val="0"/>
                <w:sz w:val="24"/>
                <w:szCs w:val="24"/>
              </w:rPr>
              <w:t>Generalno nedovoljan prenos znanja i tehnologija iz evropskih centara znanja i slaba povezanost IR institucija sa poslovnim sektorom;</w:t>
            </w:r>
          </w:p>
        </w:tc>
      </w:tr>
      <w:tr w:rsidR="005B3072" w14:paraId="0C66EC41"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28E8F760" w14:textId="77777777" w:rsidR="005B3072" w:rsidRDefault="00A46913">
            <w:pPr>
              <w:numPr>
                <w:ilvl w:val="0"/>
                <w:numId w:val="4"/>
              </w:numPr>
              <w:spacing w:line="276" w:lineRule="auto"/>
              <w:jc w:val="both"/>
              <w:rPr>
                <w:sz w:val="24"/>
                <w:szCs w:val="24"/>
              </w:rPr>
            </w:pPr>
            <w:r>
              <w:rPr>
                <w:b w:val="0"/>
                <w:sz w:val="24"/>
                <w:szCs w:val="24"/>
              </w:rPr>
              <w:t>Nedovoljno ulaganje i učešće javnog i privatnog sektora u aktivnostima istraživanja i inovacija, koja moraju uvažavati i potrebe mikro i malih preduzeća;</w:t>
            </w:r>
          </w:p>
        </w:tc>
      </w:tr>
      <w:tr w:rsidR="005B3072" w14:paraId="1402DD4A"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63822CF0" w14:textId="77777777" w:rsidR="005B3072" w:rsidRDefault="00A46913">
            <w:pPr>
              <w:numPr>
                <w:ilvl w:val="0"/>
                <w:numId w:val="4"/>
              </w:numPr>
              <w:spacing w:line="276" w:lineRule="auto"/>
              <w:jc w:val="both"/>
              <w:rPr>
                <w:sz w:val="24"/>
                <w:szCs w:val="24"/>
              </w:rPr>
            </w:pPr>
            <w:r>
              <w:rPr>
                <w:b w:val="0"/>
                <w:sz w:val="24"/>
                <w:szCs w:val="24"/>
              </w:rPr>
              <w:lastRenderedPageBreak/>
              <w:t>Nedostatak podataka o inovacijama i razvoju koji su usklađeni sa zahtjevima Evropske unije i dostupni privredi i naučnoj i istraživačkoj zajednici.</w:t>
            </w:r>
          </w:p>
        </w:tc>
      </w:tr>
      <w:tr w:rsidR="005B3072" w14:paraId="324E74A5"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4CF01B27" w14:textId="77777777" w:rsidR="005B3072" w:rsidRDefault="005B3072">
            <w:pPr>
              <w:jc w:val="both"/>
              <w:rPr>
                <w:sz w:val="24"/>
                <w:szCs w:val="24"/>
              </w:rPr>
            </w:pPr>
          </w:p>
        </w:tc>
      </w:tr>
      <w:tr w:rsidR="005B3072" w14:paraId="01D2117D" w14:textId="77777777" w:rsidTr="005B3072">
        <w:trPr>
          <w:trHeight w:val="432"/>
        </w:trPr>
        <w:tc>
          <w:tcPr>
            <w:cnfStyle w:val="001000000000" w:firstRow="0" w:lastRow="0" w:firstColumn="1" w:lastColumn="0" w:oddVBand="0" w:evenVBand="0" w:oddHBand="0" w:evenHBand="0" w:firstRowFirstColumn="0" w:firstRowLastColumn="0" w:lastRowFirstColumn="0" w:lastRowLastColumn="0"/>
            <w:tcW w:w="10185" w:type="dxa"/>
          </w:tcPr>
          <w:p w14:paraId="06DDB0BE" w14:textId="77777777" w:rsidR="005B3072" w:rsidRDefault="00A46913">
            <w:pPr>
              <w:jc w:val="both"/>
              <w:rPr>
                <w:sz w:val="24"/>
                <w:szCs w:val="24"/>
              </w:rPr>
            </w:pPr>
            <w:r>
              <w:rPr>
                <w:b w:val="0"/>
                <w:sz w:val="24"/>
                <w:szCs w:val="24"/>
              </w:rPr>
              <w:t xml:space="preserve">Postoje važne </w:t>
            </w:r>
            <w:r>
              <w:rPr>
                <w:sz w:val="24"/>
                <w:szCs w:val="24"/>
              </w:rPr>
              <w:t>mogućnosti</w:t>
            </w:r>
            <w:r>
              <w:rPr>
                <w:b w:val="0"/>
                <w:sz w:val="24"/>
                <w:szCs w:val="24"/>
              </w:rPr>
              <w:t xml:space="preserve"> koje bi trebalo bolje iskoristiti za brži digitalni razvoj kao što su:</w:t>
            </w:r>
          </w:p>
        </w:tc>
      </w:tr>
      <w:tr w:rsidR="005B3072" w14:paraId="53E89F73"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72F59F2E" w14:textId="77777777" w:rsidR="005B3072" w:rsidRDefault="00A46913">
            <w:pPr>
              <w:numPr>
                <w:ilvl w:val="0"/>
                <w:numId w:val="7"/>
              </w:numPr>
              <w:spacing w:line="276" w:lineRule="auto"/>
              <w:jc w:val="both"/>
              <w:rPr>
                <w:sz w:val="24"/>
                <w:szCs w:val="24"/>
              </w:rPr>
            </w:pPr>
            <w:r>
              <w:rPr>
                <w:b w:val="0"/>
                <w:sz w:val="24"/>
                <w:szCs w:val="24"/>
              </w:rPr>
              <w:t>Omogućen pristup vodećim međunarodnim fondovima za istraživanja i inovacije;</w:t>
            </w:r>
          </w:p>
        </w:tc>
      </w:tr>
      <w:tr w:rsidR="005B3072" w14:paraId="2B6EC020"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1E39D360" w14:textId="77777777" w:rsidR="005B3072" w:rsidRDefault="00A46913">
            <w:pPr>
              <w:numPr>
                <w:ilvl w:val="0"/>
                <w:numId w:val="7"/>
              </w:numPr>
              <w:spacing w:line="276" w:lineRule="auto"/>
              <w:jc w:val="both"/>
              <w:rPr>
                <w:sz w:val="24"/>
                <w:szCs w:val="24"/>
              </w:rPr>
            </w:pPr>
            <w:r>
              <w:rPr>
                <w:b w:val="0"/>
                <w:sz w:val="24"/>
                <w:szCs w:val="24"/>
              </w:rPr>
              <w:t>Omogućen dalji pristup velikim međunarodnim istraživačkim infrastrukturama (CERN, EMBL, itd.);</w:t>
            </w:r>
          </w:p>
        </w:tc>
      </w:tr>
      <w:tr w:rsidR="005B3072" w14:paraId="29E5F87E"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52CD5295" w14:textId="77777777" w:rsidR="005B3072" w:rsidRDefault="00A46913">
            <w:pPr>
              <w:numPr>
                <w:ilvl w:val="0"/>
                <w:numId w:val="7"/>
              </w:numPr>
              <w:spacing w:line="276" w:lineRule="auto"/>
              <w:jc w:val="both"/>
              <w:rPr>
                <w:sz w:val="24"/>
                <w:szCs w:val="24"/>
              </w:rPr>
            </w:pPr>
            <w:r>
              <w:rPr>
                <w:b w:val="0"/>
                <w:sz w:val="24"/>
                <w:szCs w:val="24"/>
              </w:rPr>
              <w:t>Raspoloživost prirodnih resursa i tehnogenih mineralnih sirovina za nove industrijske primjene;</w:t>
            </w:r>
          </w:p>
        </w:tc>
      </w:tr>
      <w:tr w:rsidR="005B3072" w14:paraId="616B3BD3"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767AD5DB" w14:textId="77777777" w:rsidR="005B3072" w:rsidRDefault="00A46913">
            <w:pPr>
              <w:numPr>
                <w:ilvl w:val="0"/>
                <w:numId w:val="7"/>
              </w:numPr>
              <w:spacing w:line="276" w:lineRule="auto"/>
              <w:jc w:val="both"/>
              <w:rPr>
                <w:sz w:val="24"/>
                <w:szCs w:val="24"/>
              </w:rPr>
            </w:pPr>
            <w:r>
              <w:rPr>
                <w:b w:val="0"/>
                <w:sz w:val="24"/>
                <w:szCs w:val="24"/>
              </w:rPr>
              <w:t>Implementacija „krupne istraživačke infrastrukture za održive tehnologije“ u Jugoistočnoj Evropi - SEEIIST;</w:t>
            </w:r>
          </w:p>
        </w:tc>
      </w:tr>
      <w:tr w:rsidR="005B3072" w14:paraId="453E6BC0"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69E304DC" w14:textId="77777777" w:rsidR="005B3072" w:rsidRDefault="00A46913">
            <w:pPr>
              <w:numPr>
                <w:ilvl w:val="0"/>
                <w:numId w:val="7"/>
              </w:numPr>
              <w:spacing w:line="276" w:lineRule="auto"/>
              <w:jc w:val="both"/>
              <w:rPr>
                <w:sz w:val="24"/>
                <w:szCs w:val="24"/>
              </w:rPr>
            </w:pPr>
            <w:r>
              <w:rPr>
                <w:b w:val="0"/>
                <w:sz w:val="24"/>
                <w:szCs w:val="24"/>
              </w:rPr>
              <w:t>Uspostavljanje Naučno-tehnološkog parka i razvoj centara izvrsnosti;</w:t>
            </w:r>
          </w:p>
        </w:tc>
      </w:tr>
      <w:tr w:rsidR="005B3072" w14:paraId="6E2B008B"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06B879F3" w14:textId="77777777" w:rsidR="005B3072" w:rsidRDefault="00A46913">
            <w:pPr>
              <w:numPr>
                <w:ilvl w:val="0"/>
                <w:numId w:val="7"/>
              </w:numPr>
              <w:spacing w:line="276" w:lineRule="auto"/>
              <w:jc w:val="both"/>
              <w:rPr>
                <w:sz w:val="24"/>
                <w:szCs w:val="24"/>
              </w:rPr>
            </w:pPr>
            <w:r>
              <w:rPr>
                <w:b w:val="0"/>
                <w:sz w:val="24"/>
                <w:szCs w:val="24"/>
              </w:rPr>
              <w:t>Korišćenje ljudskog potencijala za istraživanje i inovacije u dijaspori;</w:t>
            </w:r>
          </w:p>
        </w:tc>
      </w:tr>
      <w:tr w:rsidR="005B3072" w14:paraId="38A7400E"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02C0C737" w14:textId="77777777" w:rsidR="005B3072" w:rsidRDefault="00A46913">
            <w:pPr>
              <w:numPr>
                <w:ilvl w:val="0"/>
                <w:numId w:val="7"/>
              </w:numPr>
              <w:spacing w:line="276" w:lineRule="auto"/>
              <w:jc w:val="both"/>
              <w:rPr>
                <w:sz w:val="24"/>
                <w:szCs w:val="24"/>
              </w:rPr>
            </w:pPr>
            <w:r>
              <w:rPr>
                <w:b w:val="0"/>
                <w:sz w:val="24"/>
                <w:szCs w:val="24"/>
              </w:rPr>
              <w:t>Aktivnija uloga klastera u inovativnom ekosistemu.</w:t>
            </w:r>
          </w:p>
        </w:tc>
      </w:tr>
      <w:tr w:rsidR="005B3072" w14:paraId="5A44577E"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03511FF9" w14:textId="77777777" w:rsidR="005B3072" w:rsidRDefault="005B3072">
            <w:pPr>
              <w:rPr>
                <w:sz w:val="24"/>
                <w:szCs w:val="24"/>
              </w:rPr>
            </w:pPr>
          </w:p>
        </w:tc>
      </w:tr>
      <w:tr w:rsidR="005B3072" w14:paraId="67E9325D"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0ADD53EC" w14:textId="77777777" w:rsidR="005B3072" w:rsidRDefault="00A46913">
            <w:pPr>
              <w:jc w:val="both"/>
              <w:rPr>
                <w:sz w:val="24"/>
                <w:szCs w:val="24"/>
              </w:rPr>
            </w:pPr>
            <w:r>
              <w:rPr>
                <w:b w:val="0"/>
                <w:sz w:val="24"/>
                <w:szCs w:val="24"/>
              </w:rPr>
              <w:t xml:space="preserve">Ali postoje i opasne </w:t>
            </w:r>
            <w:r>
              <w:rPr>
                <w:sz w:val="24"/>
                <w:szCs w:val="24"/>
              </w:rPr>
              <w:t>prijetnje</w:t>
            </w:r>
            <w:r>
              <w:rPr>
                <w:b w:val="0"/>
                <w:sz w:val="24"/>
                <w:szCs w:val="24"/>
              </w:rPr>
              <w:t xml:space="preserve"> koje treba prepoznati i riješiti mjerama za njihovo suzbijanje:</w:t>
            </w:r>
          </w:p>
        </w:tc>
      </w:tr>
      <w:tr w:rsidR="005B3072" w14:paraId="7F4749CC"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783E0B60" w14:textId="77777777" w:rsidR="005B3072" w:rsidRDefault="00A46913">
            <w:pPr>
              <w:numPr>
                <w:ilvl w:val="0"/>
                <w:numId w:val="53"/>
              </w:numPr>
              <w:spacing w:line="276" w:lineRule="auto"/>
              <w:jc w:val="both"/>
              <w:rPr>
                <w:sz w:val="24"/>
                <w:szCs w:val="24"/>
              </w:rPr>
            </w:pPr>
            <w:r>
              <w:rPr>
                <w:b w:val="0"/>
                <w:sz w:val="24"/>
                <w:szCs w:val="24"/>
              </w:rPr>
              <w:t>Odliv visoko kvalifikovanih istraživačkih i inovativnih ljudskih resursa;</w:t>
            </w:r>
          </w:p>
        </w:tc>
      </w:tr>
      <w:tr w:rsidR="005B3072" w14:paraId="781A2DF2"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6CE714E9" w14:textId="77777777" w:rsidR="005B3072" w:rsidRDefault="00A46913">
            <w:pPr>
              <w:numPr>
                <w:ilvl w:val="0"/>
                <w:numId w:val="53"/>
              </w:numPr>
              <w:spacing w:line="276" w:lineRule="auto"/>
              <w:jc w:val="both"/>
              <w:rPr>
                <w:sz w:val="24"/>
                <w:szCs w:val="24"/>
              </w:rPr>
            </w:pPr>
            <w:r>
              <w:rPr>
                <w:b w:val="0"/>
                <w:sz w:val="24"/>
                <w:szCs w:val="24"/>
              </w:rPr>
              <w:t>Konkurencija na regionalnom i globalnom nivou na nivou privrede i razvoja ekosistema za digitalni razvoj na nivou društva;</w:t>
            </w:r>
          </w:p>
        </w:tc>
      </w:tr>
      <w:tr w:rsidR="005B3072" w14:paraId="7C967382" w14:textId="77777777" w:rsidTr="005B3072">
        <w:tc>
          <w:tcPr>
            <w:cnfStyle w:val="001000000000" w:firstRow="0" w:lastRow="0" w:firstColumn="1" w:lastColumn="0" w:oddVBand="0" w:evenVBand="0" w:oddHBand="0" w:evenHBand="0" w:firstRowFirstColumn="0" w:firstRowLastColumn="0" w:lastRowFirstColumn="0" w:lastRowLastColumn="0"/>
            <w:tcW w:w="10185" w:type="dxa"/>
          </w:tcPr>
          <w:p w14:paraId="1F618E22" w14:textId="77777777" w:rsidR="005B3072" w:rsidRDefault="00A46913">
            <w:pPr>
              <w:numPr>
                <w:ilvl w:val="0"/>
                <w:numId w:val="53"/>
              </w:numPr>
              <w:spacing w:line="276" w:lineRule="auto"/>
              <w:jc w:val="both"/>
              <w:rPr>
                <w:sz w:val="24"/>
                <w:szCs w:val="24"/>
              </w:rPr>
            </w:pPr>
            <w:r>
              <w:rPr>
                <w:b w:val="0"/>
                <w:sz w:val="24"/>
                <w:szCs w:val="24"/>
              </w:rPr>
              <w:t>Nedovoljno razvijena saobraćajna infrastruktura;</w:t>
            </w:r>
          </w:p>
        </w:tc>
      </w:tr>
      <w:tr w:rsidR="005B3072" w14:paraId="78367EAC" w14:textId="77777777" w:rsidTr="005B30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5" w:type="dxa"/>
          </w:tcPr>
          <w:p w14:paraId="32DA352B" w14:textId="77777777" w:rsidR="005B3072" w:rsidRDefault="00A46913">
            <w:pPr>
              <w:numPr>
                <w:ilvl w:val="0"/>
                <w:numId w:val="53"/>
              </w:numPr>
              <w:spacing w:line="276" w:lineRule="auto"/>
              <w:jc w:val="both"/>
              <w:rPr>
                <w:sz w:val="24"/>
                <w:szCs w:val="24"/>
              </w:rPr>
            </w:pPr>
            <w:r>
              <w:rPr>
                <w:b w:val="0"/>
                <w:sz w:val="24"/>
                <w:szCs w:val="24"/>
              </w:rPr>
              <w:t>Administrativne barijere za investicije i razvoj biznisa.</w:t>
            </w:r>
          </w:p>
        </w:tc>
      </w:tr>
    </w:tbl>
    <w:p w14:paraId="5DA67455" w14:textId="77777777" w:rsidR="005B3072" w:rsidRDefault="005B3072">
      <w:pPr>
        <w:ind w:right="62"/>
        <w:jc w:val="both"/>
        <w:rPr>
          <w:sz w:val="24"/>
          <w:szCs w:val="24"/>
        </w:rPr>
      </w:pPr>
    </w:p>
    <w:p w14:paraId="55C9D7CA" w14:textId="77777777" w:rsidR="005B3072" w:rsidRDefault="00A46913">
      <w:pPr>
        <w:ind w:right="62"/>
        <w:jc w:val="both"/>
        <w:rPr>
          <w:sz w:val="24"/>
          <w:szCs w:val="24"/>
        </w:rPr>
      </w:pPr>
      <w:r>
        <w:rPr>
          <w:sz w:val="24"/>
          <w:szCs w:val="24"/>
        </w:rPr>
        <w:t>Subjekti poslovnog sektora i njihova udruženja identifikuju nedostatak IT-a i srodnih profila stručnjaka kao jedno od osnovnih ograničenja razvoja IT industrije i ukazuju i na poteškoće u sistemu rada koje utiču na sposobnost privlačenja i zadržavanja potrebnih IT stručnjaka.</w:t>
      </w:r>
    </w:p>
    <w:p w14:paraId="3B684456" w14:textId="77777777" w:rsidR="005B3072" w:rsidRDefault="00A46913">
      <w:pPr>
        <w:ind w:right="62"/>
        <w:jc w:val="both"/>
        <w:rPr>
          <w:sz w:val="24"/>
          <w:szCs w:val="24"/>
        </w:rPr>
      </w:pPr>
      <w:r>
        <w:rPr>
          <w:sz w:val="24"/>
          <w:szCs w:val="24"/>
        </w:rPr>
        <w:t>Poslovni sektor takođe identifikuje važnu prepreku u fragmentaciji i relativnoj nerazvijenosti lokalne IT industrije u poređenju sa stranim kompanijama što utiče na poslovne mogućnosti i dalje povećava jaz između lokalnih i međunarodnih igrača. Jačanje veza između domaćih IT kompanija može povećati lokalne kapacitete i povećati njihovu konkurentnu poziciju na tržištu.</w:t>
      </w:r>
    </w:p>
    <w:p w14:paraId="2A127CEC" w14:textId="77777777" w:rsidR="005B3072" w:rsidRDefault="00A46913">
      <w:pPr>
        <w:spacing w:before="240" w:after="240"/>
        <w:jc w:val="both"/>
        <w:rPr>
          <w:sz w:val="24"/>
          <w:szCs w:val="24"/>
        </w:rPr>
      </w:pPr>
      <w:r>
        <w:rPr>
          <w:sz w:val="24"/>
          <w:szCs w:val="24"/>
        </w:rPr>
        <w:lastRenderedPageBreak/>
        <w:t>Na osnovu informacija subjekata poslovnog sektora, okolnosti koje su pratile pandemiju COVID-19 imale su, u poređenju sa ostalim sektorima, manje posljedice na poslovanje IKT sektora. Kroz infrastrukturu i usluge, IKT sektor je odigrao važnu ulogu u prevazilaženju problema izazvanih pandemijom. Osigurano je nesmetano i kontinuirano funkcionisanje brojnih e-usluga, kao i integritet i kontinuitet funkcionisanja mreža u uslovima znatno povećanog prometa i korisničkih zahtjeva za dodatnim kapacitetima i većim brzinama prenosa. Iako nerazvijen, IT sektor je odmah odgovorio na brojne zahtjeve za novim e-uslugama i softverskim rješenjima, nakon što se pokazao neophodnim za rad od kuće, e-učenje i primjena programa učenja na daljinu, e-plaćanja, e-trgovine, pokazujući tako sve prednosti IT industrije koja se ogleda u njenoj fleksibilnosti, bez potrebe za resursima koji su nedostupni ili neobnovljivi. (Strategija za razvoj informacionog društva, završni izvještaj, jun 2021).</w:t>
      </w:r>
    </w:p>
    <w:p w14:paraId="224F2FDF" w14:textId="77777777" w:rsidR="005B3072" w:rsidRDefault="00A46913">
      <w:pPr>
        <w:pStyle w:val="Heading3"/>
        <w:rPr>
          <w:b/>
          <w:color w:val="2E75B5"/>
          <w:u w:val="single"/>
        </w:rPr>
      </w:pPr>
      <w:bookmarkStart w:id="56" w:name="_4k668n3" w:colFirst="0" w:colLast="0"/>
      <w:bookmarkEnd w:id="56"/>
      <w:r>
        <w:rPr>
          <w:b/>
          <w:color w:val="2E75B5"/>
          <w:u w:val="single"/>
        </w:rPr>
        <w:t>Ključni izazovi, problemi i nalazi</w:t>
      </w:r>
    </w:p>
    <w:p w14:paraId="52EC3216" w14:textId="77777777" w:rsidR="005B3072" w:rsidRDefault="005B3072"/>
    <w:p w14:paraId="4A4A590C" w14:textId="77777777" w:rsidR="005B3072" w:rsidRDefault="00A46913">
      <w:pPr>
        <w:numPr>
          <w:ilvl w:val="0"/>
          <w:numId w:val="16"/>
        </w:numPr>
        <w:spacing w:after="0" w:line="276" w:lineRule="auto"/>
        <w:rPr>
          <w:sz w:val="24"/>
          <w:szCs w:val="24"/>
        </w:rPr>
      </w:pPr>
      <w:r>
        <w:rPr>
          <w:sz w:val="24"/>
          <w:szCs w:val="24"/>
        </w:rPr>
        <w:t>Da bi se povećao kvalitet i kvantitet IT industrije u BDP-u Crne Gore, ključni izazov je dostupnost kvalifikovanog osoblja kroz kontinuirani razvoj IT vještina.</w:t>
      </w:r>
    </w:p>
    <w:p w14:paraId="21470025" w14:textId="77777777" w:rsidR="005B3072" w:rsidRDefault="00A46913">
      <w:pPr>
        <w:numPr>
          <w:ilvl w:val="0"/>
          <w:numId w:val="16"/>
        </w:numPr>
        <w:spacing w:after="0" w:line="276" w:lineRule="auto"/>
        <w:jc w:val="both"/>
        <w:rPr>
          <w:sz w:val="24"/>
          <w:szCs w:val="24"/>
        </w:rPr>
      </w:pPr>
      <w:r>
        <w:rPr>
          <w:sz w:val="24"/>
          <w:szCs w:val="24"/>
        </w:rPr>
        <w:t>Na javnim tenderima inostrane IT kompanije često ostvaruju prednost u odnosu na domaće, stoga treba razvijati mehanizme koji bi omogućili domaćim kompanijama konkurentniji položaj i podstakli razvoj domaće IT industrije.</w:t>
      </w:r>
    </w:p>
    <w:p w14:paraId="3BDD5CAA" w14:textId="77777777" w:rsidR="005B3072" w:rsidRDefault="00A46913">
      <w:pPr>
        <w:numPr>
          <w:ilvl w:val="0"/>
          <w:numId w:val="16"/>
        </w:numPr>
        <w:spacing w:after="0" w:line="276" w:lineRule="auto"/>
        <w:jc w:val="both"/>
        <w:rPr>
          <w:sz w:val="24"/>
          <w:szCs w:val="24"/>
        </w:rPr>
      </w:pPr>
      <w:r>
        <w:rPr>
          <w:sz w:val="24"/>
          <w:szCs w:val="24"/>
        </w:rPr>
        <w:t>Kreirati podsticajno okruženje za zaposlenje za IT kadar, kako iz Crne Gore tako i iz inostranstva. Potrebno je pripremiti plan za stipendiranje najboljih učenika i studenata od strane države, Univerziteta, lokalne samouprave, IT kompanija sa obavezom zapošljavanja studenata u domaćim kompanijama (koje stipendiraju) nakon završetka školovanja. </w:t>
      </w:r>
    </w:p>
    <w:p w14:paraId="3638BBB4" w14:textId="77777777" w:rsidR="005B3072" w:rsidRDefault="00A46913">
      <w:pPr>
        <w:numPr>
          <w:ilvl w:val="0"/>
          <w:numId w:val="16"/>
        </w:numPr>
        <w:spacing w:after="0" w:line="276" w:lineRule="auto"/>
        <w:jc w:val="both"/>
        <w:rPr>
          <w:sz w:val="24"/>
          <w:szCs w:val="24"/>
        </w:rPr>
      </w:pPr>
      <w:r>
        <w:rPr>
          <w:sz w:val="24"/>
          <w:szCs w:val="24"/>
        </w:rPr>
        <w:t>Uspostaviti saradnju sa obrazovnim institucijama već na srednjoškolskom ili univerzitetskom nivou obrazovanja, što bi moglo značajno poboljšati atraktivnost studija i kvalitet i primjenjivost znanja učenika.</w:t>
      </w:r>
    </w:p>
    <w:p w14:paraId="3985A8FB" w14:textId="77777777" w:rsidR="005B3072" w:rsidRDefault="00A46913">
      <w:pPr>
        <w:numPr>
          <w:ilvl w:val="0"/>
          <w:numId w:val="16"/>
        </w:numPr>
        <w:spacing w:after="0" w:line="276" w:lineRule="auto"/>
        <w:jc w:val="both"/>
        <w:rPr>
          <w:sz w:val="24"/>
          <w:szCs w:val="24"/>
        </w:rPr>
      </w:pPr>
      <w:r>
        <w:rPr>
          <w:sz w:val="24"/>
          <w:szCs w:val="24"/>
        </w:rPr>
        <w:t>Nije prepoznata klasifikacija zaposlenih u ICT sektoru po polu, te za ovaj izazov treba prepoznati mogućnost daljeg praćenja i izvještavanja sa rodnog aspekta.</w:t>
      </w:r>
    </w:p>
    <w:p w14:paraId="57B06EB0" w14:textId="77777777" w:rsidR="005B3072" w:rsidRDefault="00A46913">
      <w:pPr>
        <w:numPr>
          <w:ilvl w:val="0"/>
          <w:numId w:val="16"/>
        </w:numPr>
        <w:spacing w:after="0" w:line="276" w:lineRule="auto"/>
        <w:jc w:val="both"/>
        <w:rPr>
          <w:sz w:val="24"/>
          <w:szCs w:val="24"/>
        </w:rPr>
      </w:pPr>
      <w:r>
        <w:rPr>
          <w:sz w:val="24"/>
          <w:szCs w:val="24"/>
        </w:rPr>
        <w:t>Uspostaviti saradnju između Univerziteta, srednjih škola i (IT) kompanija i šire industrije (grane privrede koje su definisane kao priretne za razvoj vještina u Strategiji pametne specijalizacije) u cilju kreiranja nastavnih planova koji su prilagođeni potrebama tržišta rada i definisanju kvalifikacija koje bi se fokusirale na deficitarnih zanimanja. </w:t>
      </w:r>
    </w:p>
    <w:p w14:paraId="2693370C" w14:textId="77777777" w:rsidR="005B3072" w:rsidRDefault="00A46913">
      <w:pPr>
        <w:numPr>
          <w:ilvl w:val="0"/>
          <w:numId w:val="16"/>
        </w:numPr>
        <w:spacing w:after="0" w:line="276" w:lineRule="auto"/>
        <w:jc w:val="both"/>
        <w:rPr>
          <w:sz w:val="24"/>
          <w:szCs w:val="24"/>
        </w:rPr>
      </w:pPr>
      <w:r>
        <w:rPr>
          <w:sz w:val="24"/>
          <w:szCs w:val="24"/>
        </w:rPr>
        <w:t>Kreirati podsticajne mjere za stvaranje kvalifikovanog obrazovnog osoblja sa digitalnim vještinama i razumijevanjem brzog digitalnog razvoja na svim nivoima obrazovanja. Ovaj nedostatak predatavlja ključnu prepreku za privlačenje mladih da koriste, pa čak i razvijaju digitalna rješenja.</w:t>
      </w:r>
    </w:p>
    <w:p w14:paraId="78B38A6B" w14:textId="77777777" w:rsidR="005B3072" w:rsidRDefault="00A46913">
      <w:pPr>
        <w:numPr>
          <w:ilvl w:val="0"/>
          <w:numId w:val="16"/>
        </w:numPr>
        <w:spacing w:after="0" w:line="276" w:lineRule="auto"/>
        <w:jc w:val="both"/>
        <w:rPr>
          <w:sz w:val="24"/>
          <w:szCs w:val="24"/>
        </w:rPr>
      </w:pPr>
      <w:r>
        <w:rPr>
          <w:sz w:val="24"/>
          <w:szCs w:val="24"/>
        </w:rPr>
        <w:t>Stvoriti uslove u poslovnom ambijentu za podršku startap poslovanju u IT sektoru.</w:t>
      </w:r>
    </w:p>
    <w:p w14:paraId="1AD21A84" w14:textId="77777777" w:rsidR="005B3072" w:rsidRDefault="00A46913">
      <w:pPr>
        <w:numPr>
          <w:ilvl w:val="0"/>
          <w:numId w:val="16"/>
        </w:numPr>
        <w:spacing w:after="0" w:line="276" w:lineRule="auto"/>
        <w:jc w:val="both"/>
        <w:rPr>
          <w:sz w:val="24"/>
          <w:szCs w:val="24"/>
        </w:rPr>
      </w:pPr>
      <w:r>
        <w:rPr>
          <w:sz w:val="24"/>
          <w:szCs w:val="24"/>
        </w:rPr>
        <w:t>Kako inovacije uglavnom potiču iz novoosnovanih preduzeća sa manje od 20 zaposlenih, a veće lokalne kompanije manje su aktivne na području inovacija, kreirati podsticajne mjere i programe kako bi sve kompanije bile aktivne u ovom segmentu.</w:t>
      </w:r>
    </w:p>
    <w:p w14:paraId="0950064F" w14:textId="77777777" w:rsidR="005B3072" w:rsidRDefault="005B3072">
      <w:pPr>
        <w:spacing w:after="0" w:line="276" w:lineRule="auto"/>
        <w:ind w:left="720"/>
        <w:jc w:val="both"/>
        <w:rPr>
          <w:sz w:val="24"/>
          <w:szCs w:val="24"/>
        </w:rPr>
      </w:pPr>
    </w:p>
    <w:p w14:paraId="5E0EBBB2" w14:textId="77777777" w:rsidR="005B3072" w:rsidRDefault="00A46913">
      <w:pPr>
        <w:pStyle w:val="Heading2"/>
        <w:rPr>
          <w:b/>
          <w:color w:val="2E75B5"/>
          <w:sz w:val="28"/>
          <w:szCs w:val="28"/>
        </w:rPr>
      </w:pPr>
      <w:bookmarkStart w:id="57" w:name="_2zbgiuw" w:colFirst="0" w:colLast="0"/>
      <w:bookmarkEnd w:id="57"/>
      <w:r>
        <w:rPr>
          <w:b/>
          <w:color w:val="2E75B5"/>
          <w:sz w:val="28"/>
          <w:szCs w:val="28"/>
        </w:rPr>
        <w:lastRenderedPageBreak/>
        <w:t>Digitalna svijest crnogorskog društva</w:t>
      </w:r>
    </w:p>
    <w:p w14:paraId="764381F0" w14:textId="77777777" w:rsidR="005B3072" w:rsidRDefault="00A46913">
      <w:pPr>
        <w:spacing w:before="240" w:after="240"/>
        <w:jc w:val="both"/>
        <w:rPr>
          <w:sz w:val="24"/>
          <w:szCs w:val="24"/>
        </w:rPr>
      </w:pPr>
      <w:r>
        <w:rPr>
          <w:sz w:val="24"/>
          <w:szCs w:val="24"/>
          <w:highlight w:val="white"/>
        </w:rPr>
        <w:t xml:space="preserve">Nedovoljna efikasnost u realizaciji projekata iz digitalne agende posljedica je nedovoljne zainteresovanosti i saradnje različitih aktera iz institucija javne uprave i privrednog sektora, i to u smislu vođenja i proaktivnog upravljanja digitalnom agendom, te u konačnom i realizacije postavljenih ciljeva. </w:t>
      </w:r>
    </w:p>
    <w:p w14:paraId="16DCD212" w14:textId="77777777" w:rsidR="005B3072" w:rsidRDefault="00A46913">
      <w:pPr>
        <w:spacing w:before="240" w:after="240"/>
        <w:jc w:val="both"/>
        <w:rPr>
          <w:b/>
          <w:sz w:val="24"/>
          <w:szCs w:val="24"/>
        </w:rPr>
      </w:pPr>
      <w:r>
        <w:rPr>
          <w:sz w:val="24"/>
          <w:szCs w:val="24"/>
        </w:rPr>
        <w:t xml:space="preserve">Ministarstvo javne uprave, digitalnog društva i medija je aktivno na svojim nalozima na društvenim mrežama (Instagram, Facebook, Twitter) i sadržaj vezan za aktivnosti ministarstva dijeli sa građanima na dnevnom nivou. Ipak, broj judi koji prati naloge MJUDDM nije veliki, i ne prelazi par hiljada na svakoj od društvenih mreža. Nalozi na društvenim mrežama Vlade Crne Gore imaju značajno veći broj pratilaca, preko 30 hiljada, ali na njima teme digitalizacije i drugi slični sadržaji nijesu dovoljno promovisani. Kampanje koje sprovodi MJUDDM pretežno su doživjele podršku brojnih kompanija iz IT sektora, </w:t>
      </w:r>
      <w:r>
        <w:rPr>
          <w:b/>
          <w:sz w:val="24"/>
          <w:szCs w:val="24"/>
        </w:rPr>
        <w:t>ali nije bilo sprovođenja većih kampanja namijenjenih široj populaciji upotrebom komunikaciono efikasnih poruka iz domena digitalizacije.</w:t>
      </w:r>
    </w:p>
    <w:p w14:paraId="3073B603" w14:textId="77777777" w:rsidR="005B3072" w:rsidRDefault="00A46913">
      <w:pPr>
        <w:spacing w:before="240" w:after="240"/>
        <w:jc w:val="both"/>
        <w:rPr>
          <w:sz w:val="24"/>
          <w:szCs w:val="24"/>
        </w:rPr>
      </w:pPr>
      <w:r>
        <w:rPr>
          <w:sz w:val="24"/>
          <w:szCs w:val="24"/>
        </w:rPr>
        <w:t xml:space="preserve">Inspirativnu praksu predstavlja kampanja Ministarstva prosvjete, nauke, kulture i sporta, Uprave policije, Ministarstva javne uprave, digitalnog društva i medija i Ministarstva unutrašnjih poslova </w:t>
      </w:r>
      <w:r>
        <w:rPr>
          <w:b/>
          <w:sz w:val="24"/>
          <w:szCs w:val="24"/>
        </w:rPr>
        <w:t>“Digitalna pismenost i zaštita djece i mladih na internetu”.</w:t>
      </w:r>
      <w:r>
        <w:rPr>
          <w:sz w:val="24"/>
          <w:szCs w:val="24"/>
        </w:rPr>
        <w:t xml:space="preserve"> Cilj kampanje je promocija bezbjednog i odgovornog korištenja interneta i savremenih tehnologija sa fokusom na djecu i mlade. U okviru kampanje se održavaju panel diskusije na kojima, pored predstavnika resora, učestvuju i partneri iz oblasti informatičke bezbjednosti i digitalnih vjestina, kao i psiholozi i srednjoškolci. </w:t>
      </w:r>
    </w:p>
    <w:p w14:paraId="621A50C7" w14:textId="77777777" w:rsidR="005B3072" w:rsidRDefault="00A46913">
      <w:pPr>
        <w:spacing w:before="240" w:after="240"/>
        <w:jc w:val="both"/>
        <w:rPr>
          <w:b/>
          <w:sz w:val="24"/>
          <w:szCs w:val="24"/>
          <w:highlight w:val="black"/>
        </w:rPr>
      </w:pPr>
      <w:bookmarkStart w:id="58" w:name="_1egqt2p" w:colFirst="0" w:colLast="0"/>
      <w:bookmarkEnd w:id="58"/>
      <w:r>
        <w:rPr>
          <w:sz w:val="24"/>
          <w:szCs w:val="24"/>
        </w:rPr>
        <w:t>Drugi projekat koji doprinosi promociji digitalizacije u Crnoj Gori je Balkathon takmičenje, realizovano u 2020. i 2021. godini uz podršku Regionalnog savjeta za saradnju (RCC). Balkathon je prilika za promociju digitalnih pametnih rješenja, kao i za umrežavanje mladih, startapova kako bi radili na inovativnim rješenjima, ali i odgovorili na potrebe proistekle pojavom pandemije. Pored navedenog i ostala takmičenja ovog tipa su od značaja za promociju digitalizacije kao npr. CoronaThon, Spark.me Startup Adventures i dr.</w:t>
      </w:r>
    </w:p>
    <w:p w14:paraId="2699CB45" w14:textId="77777777" w:rsidR="005B3072" w:rsidRDefault="00A46913">
      <w:pPr>
        <w:spacing w:before="240" w:after="120"/>
        <w:jc w:val="both"/>
        <w:rPr>
          <w:sz w:val="24"/>
          <w:szCs w:val="24"/>
        </w:rPr>
      </w:pPr>
      <w:r>
        <w:rPr>
          <w:b/>
          <w:sz w:val="24"/>
          <w:szCs w:val="24"/>
        </w:rPr>
        <w:t>Ministarstvo javne uprave, digitalnog društva i medija razvija platformu ObavijestiMe, koja predstavlja</w:t>
      </w:r>
      <w:r>
        <w:rPr>
          <w:sz w:val="24"/>
          <w:szCs w:val="24"/>
        </w:rPr>
        <w:t xml:space="preserve"> novi alat u komunikaciji između državne uprave i građana. Naime, građani će SMS porukom, e-mailom ili pismom dobijati obavještenja, informacije o javnim pozivima i konkursima, statusima transakcija, zahtjeva ili prijava koje su podnijeli u organima državne uprave ili lokalnim samoupravama. </w:t>
      </w:r>
      <w:r>
        <w:rPr>
          <w:b/>
          <w:sz w:val="24"/>
          <w:szCs w:val="24"/>
        </w:rPr>
        <w:t>Značajan benefit ove platforme jeste upravo</w:t>
      </w:r>
      <w:r>
        <w:rPr>
          <w:sz w:val="24"/>
          <w:szCs w:val="24"/>
        </w:rPr>
        <w:t xml:space="preserve"> </w:t>
      </w:r>
      <w:r>
        <w:rPr>
          <w:b/>
          <w:sz w:val="24"/>
          <w:szCs w:val="24"/>
        </w:rPr>
        <w:t>podizanje svijesti građana o digitalizaciji i tome koliko ista znači pojednostavljenje i efikasnost u komunikaciji sa upravom prilikom dobijanja određenih usluga.</w:t>
      </w:r>
    </w:p>
    <w:p w14:paraId="7517DBE6" w14:textId="77777777" w:rsidR="005B3072" w:rsidRDefault="00A46913">
      <w:pPr>
        <w:spacing w:before="240" w:after="120"/>
        <w:jc w:val="both"/>
        <w:rPr>
          <w:b/>
          <w:sz w:val="24"/>
          <w:szCs w:val="24"/>
        </w:rPr>
      </w:pPr>
      <w:r>
        <w:rPr>
          <w:sz w:val="24"/>
          <w:szCs w:val="24"/>
        </w:rPr>
        <w:t>Da bi se kreirala holistička i održiva rješenja u oblasti digitalizacije, potrebno je kontinuirano i u saradnji sa različitim zainteresovanim akterima sprovoditi aktivnosti usmjerene na povećanje svijesti građana o značaju i benefitima digitalizacije, pogotovo u domenu korišćenja elektronskih usluga kreiranih prema potrebama građana, što bi uticalo i na njihovu motivaciju da doprinesu svrishodnoj digitalizaciji.</w:t>
      </w:r>
    </w:p>
    <w:p w14:paraId="2F5BEB7C" w14:textId="77777777" w:rsidR="005B3072" w:rsidRDefault="00A46913">
      <w:pPr>
        <w:spacing w:after="120"/>
        <w:jc w:val="both"/>
        <w:rPr>
          <w:b/>
          <w:sz w:val="24"/>
          <w:szCs w:val="24"/>
        </w:rPr>
      </w:pPr>
      <w:r>
        <w:rPr>
          <w:sz w:val="24"/>
          <w:szCs w:val="24"/>
        </w:rPr>
        <w:lastRenderedPageBreak/>
        <w:t>Neophodno je da Crna Gora usmjeri svoje dodatne napore prema digitalizaciji društva u cilju povećanja ekonomskog rasta i bolje pozicioniranje svoje zemlje u odnosu na zemlje Zapadnog Balkana i Evrope (Izvještaj OECD-a “Konkurentnost u jugoistočnoj Evropi 2021”).</w:t>
      </w:r>
      <w:r>
        <w:rPr>
          <w:sz w:val="24"/>
          <w:szCs w:val="24"/>
          <w:vertAlign w:val="superscript"/>
        </w:rPr>
        <w:footnoteReference w:id="71"/>
      </w:r>
    </w:p>
    <w:p w14:paraId="7465C14C" w14:textId="77777777" w:rsidR="005B3072" w:rsidRDefault="00A46913">
      <w:pPr>
        <w:pStyle w:val="Heading3"/>
        <w:spacing w:after="240"/>
        <w:rPr>
          <w:b/>
          <w:color w:val="2E75B5"/>
          <w:u w:val="single"/>
        </w:rPr>
      </w:pPr>
      <w:bookmarkStart w:id="59" w:name="_3ygebqi" w:colFirst="0" w:colLast="0"/>
      <w:bookmarkEnd w:id="59"/>
      <w:r>
        <w:rPr>
          <w:b/>
          <w:color w:val="2E75B5"/>
          <w:u w:val="single"/>
        </w:rPr>
        <w:t>Ključni izazovi, problemi i nalazi</w:t>
      </w:r>
    </w:p>
    <w:p w14:paraId="7EB564DC" w14:textId="77777777" w:rsidR="005B3072" w:rsidRDefault="00A46913">
      <w:pPr>
        <w:numPr>
          <w:ilvl w:val="0"/>
          <w:numId w:val="16"/>
        </w:numPr>
        <w:pBdr>
          <w:top w:val="nil"/>
          <w:left w:val="nil"/>
          <w:bottom w:val="nil"/>
          <w:right w:val="nil"/>
          <w:between w:val="nil"/>
        </w:pBdr>
        <w:spacing w:after="120" w:line="276" w:lineRule="auto"/>
        <w:jc w:val="both"/>
        <w:rPr>
          <w:sz w:val="24"/>
          <w:szCs w:val="24"/>
        </w:rPr>
      </w:pPr>
      <w:r>
        <w:rPr>
          <w:sz w:val="24"/>
          <w:szCs w:val="24"/>
        </w:rPr>
        <w:t>Stepen razumijevanja i percepciju o digitalnom razvoju društva teško je mjeriti, ali je upravo u kulturološkom i sociološkom okruženju prepoznat jedan od ključnih izazova u procesu digitalizacije, koji vodi čak do insistiranja na primjeni tradicionalnih nedigitalizovanih procesa u kompanijama, javnim institucijama i društvu. Zbog važnosti digitalnog razvoja kao presudnog horizontalnog faktora za cjelokupnu ekonomiju i društvo, uspješno rješavanje ovog izazova mora biti jedan od fokusa strategije. Stoga je ovaj izazov potrebno riješiti korišćenjem komunikološkog, antropološkog i sociološkog pristupa, ali i primjenom drugog, ne-IT stručnog znanja koje može doprinijeti izgradnji afirmativnog stava prema digitalnom razvoju.</w:t>
      </w:r>
    </w:p>
    <w:p w14:paraId="0FEB4DA0" w14:textId="77777777" w:rsidR="005B3072" w:rsidRDefault="005B3072">
      <w:pPr>
        <w:pBdr>
          <w:top w:val="nil"/>
          <w:left w:val="nil"/>
          <w:bottom w:val="nil"/>
          <w:right w:val="nil"/>
          <w:between w:val="nil"/>
        </w:pBdr>
        <w:spacing w:after="120"/>
        <w:ind w:left="720"/>
        <w:jc w:val="both"/>
        <w:rPr>
          <w:sz w:val="24"/>
          <w:szCs w:val="24"/>
        </w:rPr>
      </w:pPr>
    </w:p>
    <w:p w14:paraId="510DB6C9" w14:textId="77777777" w:rsidR="005B3072" w:rsidRDefault="00A46913">
      <w:pPr>
        <w:pStyle w:val="Heading2"/>
        <w:rPr>
          <w:b/>
          <w:color w:val="2E75B5"/>
          <w:sz w:val="28"/>
          <w:szCs w:val="28"/>
        </w:rPr>
      </w:pPr>
      <w:bookmarkStart w:id="60" w:name="_2dlolyb" w:colFirst="0" w:colLast="0"/>
      <w:bookmarkEnd w:id="60"/>
      <w:r>
        <w:rPr>
          <w:b/>
          <w:color w:val="2E75B5"/>
          <w:sz w:val="28"/>
          <w:szCs w:val="28"/>
        </w:rPr>
        <w:t>SWOT analiza</w:t>
      </w:r>
    </w:p>
    <w:p w14:paraId="162A17B0" w14:textId="77777777" w:rsidR="005B3072" w:rsidRDefault="00A46913">
      <w:pPr>
        <w:spacing w:before="240" w:after="240"/>
        <w:jc w:val="both"/>
        <w:rPr>
          <w:sz w:val="24"/>
          <w:szCs w:val="24"/>
        </w:rPr>
      </w:pPr>
      <w:r>
        <w:rPr>
          <w:sz w:val="24"/>
          <w:szCs w:val="24"/>
        </w:rPr>
        <w:t>Na osnovu pregleda digitalne zrelosti u određenim oblastima u prethodnim poglavljima, pripremljena je osnovna SWOT analiza koja rezimira brojne informacije u opšta saznanja na visokom nivou.</w:t>
      </w:r>
    </w:p>
    <w:tbl>
      <w:tblPr>
        <w:tblStyle w:val="a5"/>
        <w:tblW w:w="10147" w:type="dxa"/>
        <w:tblBorders>
          <w:top w:val="single" w:sz="18" w:space="0" w:color="2E75B5"/>
          <w:left w:val="single" w:sz="18" w:space="0" w:color="2E75B5"/>
          <w:bottom w:val="single" w:sz="18" w:space="0" w:color="2E75B5"/>
          <w:right w:val="single" w:sz="18" w:space="0" w:color="2E75B5"/>
          <w:insideH w:val="single" w:sz="18" w:space="0" w:color="2E75B5"/>
          <w:insideV w:val="single" w:sz="18" w:space="0" w:color="2E75B5"/>
        </w:tblBorders>
        <w:tblLayout w:type="fixed"/>
        <w:tblLook w:val="0600" w:firstRow="0" w:lastRow="0" w:firstColumn="0" w:lastColumn="0" w:noHBand="1" w:noVBand="1"/>
      </w:tblPr>
      <w:tblGrid>
        <w:gridCol w:w="5007"/>
        <w:gridCol w:w="5140"/>
      </w:tblGrid>
      <w:tr w:rsidR="005B3072" w14:paraId="539016EF" w14:textId="77777777">
        <w:tc>
          <w:tcPr>
            <w:tcW w:w="5007" w:type="dxa"/>
            <w:shd w:val="clear" w:color="auto" w:fill="auto"/>
            <w:tcMar>
              <w:top w:w="100" w:type="dxa"/>
              <w:left w:w="100" w:type="dxa"/>
              <w:bottom w:w="100" w:type="dxa"/>
              <w:right w:w="100" w:type="dxa"/>
            </w:tcMar>
          </w:tcPr>
          <w:p w14:paraId="67DB662B" w14:textId="77777777" w:rsidR="005B3072" w:rsidRDefault="00A46913">
            <w:pPr>
              <w:widowControl w:val="0"/>
              <w:pBdr>
                <w:top w:val="nil"/>
                <w:left w:val="nil"/>
                <w:bottom w:val="nil"/>
                <w:right w:val="nil"/>
                <w:between w:val="nil"/>
              </w:pBdr>
              <w:shd w:val="clear" w:color="auto" w:fill="9CC3E5"/>
              <w:jc w:val="center"/>
              <w:rPr>
                <w:b/>
                <w:sz w:val="24"/>
                <w:szCs w:val="24"/>
              </w:rPr>
            </w:pPr>
            <w:r>
              <w:rPr>
                <w:b/>
                <w:sz w:val="24"/>
                <w:szCs w:val="24"/>
              </w:rPr>
              <w:t>SNAGE</w:t>
            </w:r>
          </w:p>
          <w:p w14:paraId="66EB7867" w14:textId="77777777" w:rsidR="005B3072" w:rsidRDefault="00A46913">
            <w:pPr>
              <w:widowControl w:val="0"/>
              <w:numPr>
                <w:ilvl w:val="0"/>
                <w:numId w:val="31"/>
              </w:numPr>
              <w:spacing w:line="276" w:lineRule="auto"/>
              <w:rPr>
                <w:sz w:val="24"/>
                <w:szCs w:val="24"/>
              </w:rPr>
            </w:pPr>
            <w:r>
              <w:rPr>
                <w:sz w:val="24"/>
                <w:szCs w:val="24"/>
              </w:rPr>
              <w:t>Brojne aktivnosti su sprovedene od 2016. godine i postavile su temelj za dalji razvoj i digitalnu transformaciju.</w:t>
            </w:r>
          </w:p>
          <w:p w14:paraId="72770020" w14:textId="77777777" w:rsidR="005B3072" w:rsidRDefault="00A46913">
            <w:pPr>
              <w:widowControl w:val="0"/>
              <w:numPr>
                <w:ilvl w:val="0"/>
                <w:numId w:val="31"/>
              </w:numPr>
              <w:spacing w:line="276" w:lineRule="auto"/>
              <w:rPr>
                <w:sz w:val="24"/>
                <w:szCs w:val="24"/>
              </w:rPr>
            </w:pPr>
            <w:r>
              <w:rPr>
                <w:sz w:val="24"/>
                <w:szCs w:val="24"/>
              </w:rPr>
              <w:t>Pripremljeni ili usvojeni osnovni zakoni.</w:t>
            </w:r>
          </w:p>
          <w:p w14:paraId="5A4CBD5D" w14:textId="77777777" w:rsidR="005B3072" w:rsidRDefault="00A46913">
            <w:pPr>
              <w:widowControl w:val="0"/>
              <w:numPr>
                <w:ilvl w:val="0"/>
                <w:numId w:val="31"/>
              </w:numPr>
              <w:spacing w:line="276" w:lineRule="auto"/>
              <w:rPr>
                <w:sz w:val="24"/>
                <w:szCs w:val="24"/>
              </w:rPr>
            </w:pPr>
            <w:r>
              <w:rPr>
                <w:sz w:val="24"/>
                <w:szCs w:val="24"/>
              </w:rPr>
              <w:t>Veliki broj javnih e-usluga koje postoje i dostupne su na jednom centralnom portalu e-uprava, kao i na specijalizovanim portalima (npr. e-zdravlje).</w:t>
            </w:r>
          </w:p>
          <w:p w14:paraId="4D098ECC" w14:textId="77777777" w:rsidR="005B3072" w:rsidRDefault="00A46913">
            <w:pPr>
              <w:widowControl w:val="0"/>
              <w:numPr>
                <w:ilvl w:val="0"/>
                <w:numId w:val="31"/>
              </w:numPr>
              <w:spacing w:line="276" w:lineRule="auto"/>
              <w:rPr>
                <w:sz w:val="24"/>
                <w:szCs w:val="24"/>
              </w:rPr>
            </w:pPr>
            <w:r>
              <w:rPr>
                <w:sz w:val="24"/>
                <w:szCs w:val="24"/>
              </w:rPr>
              <w:t>Pokrenute aktivnosti otvorenih podataka.</w:t>
            </w:r>
          </w:p>
          <w:p w14:paraId="02B8052D" w14:textId="77777777" w:rsidR="005B3072" w:rsidRDefault="00A46913">
            <w:pPr>
              <w:widowControl w:val="0"/>
              <w:numPr>
                <w:ilvl w:val="0"/>
                <w:numId w:val="31"/>
              </w:numPr>
              <w:spacing w:line="276" w:lineRule="auto"/>
              <w:rPr>
                <w:sz w:val="24"/>
                <w:szCs w:val="24"/>
              </w:rPr>
            </w:pPr>
            <w:r>
              <w:rPr>
                <w:sz w:val="24"/>
                <w:szCs w:val="24"/>
              </w:rPr>
              <w:t>Visoko prepoznavanje razvojnog potencijala digitalizacije.</w:t>
            </w:r>
          </w:p>
          <w:p w14:paraId="68AB3363" w14:textId="77777777" w:rsidR="005B3072" w:rsidRDefault="00A46913">
            <w:pPr>
              <w:widowControl w:val="0"/>
              <w:numPr>
                <w:ilvl w:val="0"/>
                <w:numId w:val="31"/>
              </w:numPr>
              <w:spacing w:line="276" w:lineRule="auto"/>
              <w:rPr>
                <w:sz w:val="24"/>
                <w:szCs w:val="24"/>
              </w:rPr>
            </w:pPr>
            <w:r>
              <w:rPr>
                <w:sz w:val="24"/>
                <w:szCs w:val="24"/>
              </w:rPr>
              <w:t>Aktivnosti eID-a i usluga povjerenja u primjeni.</w:t>
            </w:r>
          </w:p>
          <w:p w14:paraId="0ADF44F9" w14:textId="77777777" w:rsidR="005B3072" w:rsidRDefault="00A46913">
            <w:pPr>
              <w:widowControl w:val="0"/>
              <w:numPr>
                <w:ilvl w:val="0"/>
                <w:numId w:val="31"/>
              </w:numPr>
              <w:spacing w:line="276" w:lineRule="auto"/>
              <w:rPr>
                <w:sz w:val="24"/>
                <w:szCs w:val="24"/>
              </w:rPr>
            </w:pPr>
            <w:r>
              <w:rPr>
                <w:sz w:val="24"/>
                <w:szCs w:val="24"/>
              </w:rPr>
              <w:t xml:space="preserve">Uspostavljen jedinstveni sistem za </w:t>
            </w:r>
            <w:r>
              <w:rPr>
                <w:sz w:val="24"/>
                <w:szCs w:val="24"/>
              </w:rPr>
              <w:lastRenderedPageBreak/>
              <w:t>razmjenu podataka (JSERP) između registara u domenu državne uprave.</w:t>
            </w:r>
          </w:p>
          <w:p w14:paraId="3265AD12" w14:textId="77777777" w:rsidR="005B3072" w:rsidRDefault="00A46913">
            <w:pPr>
              <w:widowControl w:val="0"/>
              <w:numPr>
                <w:ilvl w:val="0"/>
                <w:numId w:val="31"/>
              </w:numPr>
              <w:pBdr>
                <w:top w:val="nil"/>
                <w:left w:val="nil"/>
                <w:bottom w:val="nil"/>
                <w:right w:val="nil"/>
                <w:between w:val="nil"/>
              </w:pBdr>
              <w:spacing w:line="276" w:lineRule="auto"/>
              <w:rPr>
                <w:sz w:val="24"/>
                <w:szCs w:val="24"/>
              </w:rPr>
            </w:pPr>
            <w:r>
              <w:rPr>
                <w:sz w:val="24"/>
                <w:szCs w:val="24"/>
              </w:rPr>
              <w:t>Visoka motivacija različitih zainteresovanih strana (Vlada, biznis, akademska zajednica, NVO).</w:t>
            </w:r>
          </w:p>
          <w:p w14:paraId="01AD5041" w14:textId="77777777" w:rsidR="005B3072" w:rsidRDefault="00A46913">
            <w:pPr>
              <w:numPr>
                <w:ilvl w:val="0"/>
                <w:numId w:val="31"/>
              </w:numPr>
              <w:spacing w:line="276" w:lineRule="auto"/>
              <w:rPr>
                <w:sz w:val="24"/>
                <w:szCs w:val="24"/>
              </w:rPr>
            </w:pPr>
            <w:r>
              <w:rPr>
                <w:sz w:val="24"/>
                <w:szCs w:val="24"/>
              </w:rPr>
              <w:t>Geografska blizina, kulturna bliskost, dobro znanje engleskog jezika, kao i niži troškovi radne snage i lakoća zajedničkog rada čine crnogorski IT kadar i preduzeća privlačnim evropskim klijentima.</w:t>
            </w:r>
          </w:p>
          <w:p w14:paraId="70EC7061" w14:textId="77777777" w:rsidR="005B3072" w:rsidRDefault="00A46913">
            <w:pPr>
              <w:numPr>
                <w:ilvl w:val="0"/>
                <w:numId w:val="31"/>
              </w:numPr>
              <w:spacing w:line="276" w:lineRule="auto"/>
              <w:rPr>
                <w:sz w:val="24"/>
                <w:szCs w:val="24"/>
              </w:rPr>
            </w:pPr>
            <w:r>
              <w:rPr>
                <w:sz w:val="24"/>
                <w:szCs w:val="24"/>
              </w:rPr>
              <w:t>Ljudski kapital i obrazovanje - kadar sa solidnim opštim obrazovanjem koje se može prilagoditi specifičnim potrebama tržišta.</w:t>
            </w:r>
          </w:p>
          <w:p w14:paraId="39A01DDF" w14:textId="77777777" w:rsidR="005B3072" w:rsidRDefault="00A46913">
            <w:pPr>
              <w:widowControl w:val="0"/>
              <w:numPr>
                <w:ilvl w:val="0"/>
                <w:numId w:val="31"/>
              </w:numPr>
              <w:pBdr>
                <w:top w:val="nil"/>
                <w:left w:val="nil"/>
                <w:bottom w:val="nil"/>
                <w:right w:val="nil"/>
                <w:between w:val="nil"/>
              </w:pBdr>
              <w:spacing w:line="276" w:lineRule="auto"/>
              <w:rPr>
                <w:sz w:val="24"/>
                <w:szCs w:val="24"/>
              </w:rPr>
            </w:pPr>
            <w:r>
              <w:rPr>
                <w:sz w:val="24"/>
                <w:szCs w:val="24"/>
              </w:rPr>
              <w:t>Razvijena i kvalitetna infrastruktura.</w:t>
            </w:r>
          </w:p>
          <w:p w14:paraId="4EA6BC51" w14:textId="77777777" w:rsidR="005B3072" w:rsidRDefault="005B3072">
            <w:pPr>
              <w:widowControl w:val="0"/>
              <w:jc w:val="both"/>
              <w:rPr>
                <w:sz w:val="24"/>
                <w:szCs w:val="24"/>
              </w:rPr>
            </w:pPr>
          </w:p>
          <w:p w14:paraId="6D935420" w14:textId="77777777" w:rsidR="005B3072" w:rsidRDefault="005B3072">
            <w:pPr>
              <w:widowControl w:val="0"/>
              <w:pBdr>
                <w:top w:val="nil"/>
                <w:left w:val="nil"/>
                <w:bottom w:val="nil"/>
                <w:right w:val="nil"/>
                <w:between w:val="nil"/>
              </w:pBdr>
              <w:rPr>
                <w:b/>
                <w:sz w:val="24"/>
                <w:szCs w:val="24"/>
              </w:rPr>
            </w:pPr>
          </w:p>
        </w:tc>
        <w:tc>
          <w:tcPr>
            <w:tcW w:w="5140" w:type="dxa"/>
            <w:shd w:val="clear" w:color="auto" w:fill="auto"/>
            <w:tcMar>
              <w:top w:w="100" w:type="dxa"/>
              <w:left w:w="100" w:type="dxa"/>
              <w:bottom w:w="100" w:type="dxa"/>
              <w:right w:w="100" w:type="dxa"/>
            </w:tcMar>
          </w:tcPr>
          <w:p w14:paraId="480F549F" w14:textId="77777777" w:rsidR="005B3072" w:rsidRDefault="00A46913">
            <w:pPr>
              <w:widowControl w:val="0"/>
              <w:pBdr>
                <w:top w:val="nil"/>
                <w:left w:val="nil"/>
                <w:bottom w:val="nil"/>
                <w:right w:val="nil"/>
                <w:between w:val="nil"/>
              </w:pBdr>
              <w:shd w:val="clear" w:color="auto" w:fill="9CC3E5"/>
              <w:jc w:val="center"/>
              <w:rPr>
                <w:b/>
                <w:sz w:val="24"/>
                <w:szCs w:val="24"/>
              </w:rPr>
            </w:pPr>
            <w:r>
              <w:rPr>
                <w:b/>
                <w:sz w:val="24"/>
                <w:szCs w:val="24"/>
              </w:rPr>
              <w:lastRenderedPageBreak/>
              <w:t>MOGUĆNOSTI</w:t>
            </w:r>
          </w:p>
          <w:p w14:paraId="0F2E417D" w14:textId="77777777" w:rsidR="005B3072" w:rsidRDefault="00A46913">
            <w:pPr>
              <w:numPr>
                <w:ilvl w:val="0"/>
                <w:numId w:val="41"/>
              </w:numPr>
              <w:spacing w:line="276" w:lineRule="auto"/>
              <w:rPr>
                <w:sz w:val="24"/>
                <w:szCs w:val="24"/>
              </w:rPr>
            </w:pPr>
            <w:r>
              <w:rPr>
                <w:sz w:val="24"/>
                <w:szCs w:val="24"/>
              </w:rPr>
              <w:t>Primjena novih modela komunikacije države sa građanima putem društvenih mreža u cilju: </w:t>
            </w:r>
          </w:p>
          <w:p w14:paraId="7C931732" w14:textId="77777777" w:rsidR="005B3072" w:rsidRDefault="00A46913">
            <w:pPr>
              <w:numPr>
                <w:ilvl w:val="1"/>
                <w:numId w:val="41"/>
              </w:numPr>
              <w:spacing w:line="276" w:lineRule="auto"/>
              <w:rPr>
                <w:sz w:val="24"/>
                <w:szCs w:val="24"/>
              </w:rPr>
            </w:pPr>
            <w:r>
              <w:rPr>
                <w:sz w:val="24"/>
                <w:szCs w:val="24"/>
              </w:rPr>
              <w:t>povećanja svijesti o e-uslugama i njihovim prednostima;  </w:t>
            </w:r>
          </w:p>
          <w:p w14:paraId="31EDE19C" w14:textId="77777777" w:rsidR="005B3072" w:rsidRDefault="00A46913">
            <w:pPr>
              <w:numPr>
                <w:ilvl w:val="1"/>
                <w:numId w:val="41"/>
              </w:numPr>
              <w:spacing w:line="276" w:lineRule="auto"/>
              <w:rPr>
                <w:sz w:val="24"/>
                <w:szCs w:val="24"/>
              </w:rPr>
            </w:pPr>
            <w:r>
              <w:rPr>
                <w:sz w:val="24"/>
                <w:szCs w:val="24"/>
              </w:rPr>
              <w:t xml:space="preserve">sprovođenja marketing kampanja o digitalizaciji (na društvenim mrežama).  </w:t>
            </w:r>
          </w:p>
          <w:p w14:paraId="0DF4EEAC" w14:textId="77777777" w:rsidR="005B3072" w:rsidRDefault="00A46913">
            <w:pPr>
              <w:widowControl w:val="0"/>
              <w:numPr>
                <w:ilvl w:val="0"/>
                <w:numId w:val="41"/>
              </w:numPr>
              <w:spacing w:line="276" w:lineRule="auto"/>
              <w:rPr>
                <w:sz w:val="24"/>
                <w:szCs w:val="24"/>
              </w:rPr>
            </w:pPr>
            <w:r>
              <w:rPr>
                <w:sz w:val="24"/>
                <w:szCs w:val="24"/>
              </w:rPr>
              <w:t>Uspostavljena i aktivna saradnja sa međunarodnim organizacijama i aktivne veze sa referentnim zemljama.</w:t>
            </w:r>
          </w:p>
          <w:p w14:paraId="0874FD87" w14:textId="77777777" w:rsidR="005B3072" w:rsidRDefault="00A46913">
            <w:pPr>
              <w:widowControl w:val="0"/>
              <w:numPr>
                <w:ilvl w:val="0"/>
                <w:numId w:val="41"/>
              </w:numPr>
              <w:spacing w:line="276" w:lineRule="auto"/>
              <w:rPr>
                <w:sz w:val="24"/>
                <w:szCs w:val="24"/>
              </w:rPr>
            </w:pPr>
            <w:r>
              <w:rPr>
                <w:sz w:val="24"/>
                <w:szCs w:val="24"/>
              </w:rPr>
              <w:t xml:space="preserve">Zajedničko regionalno tržište zapadnog Balkana (novembar, 2020) stvara mogućnost i potrebu za ubrzavanjem digitalne transformacije Crne Gore i </w:t>
            </w:r>
            <w:r>
              <w:rPr>
                <w:sz w:val="24"/>
                <w:szCs w:val="24"/>
              </w:rPr>
              <w:lastRenderedPageBreak/>
              <w:t>iskorišćavanjem brojnih sinergija sa regionalnog nivoa.</w:t>
            </w:r>
          </w:p>
          <w:p w14:paraId="0B2ECAA2" w14:textId="77777777" w:rsidR="005B3072" w:rsidRDefault="00A46913">
            <w:pPr>
              <w:widowControl w:val="0"/>
              <w:numPr>
                <w:ilvl w:val="0"/>
                <w:numId w:val="41"/>
              </w:numPr>
              <w:spacing w:line="276" w:lineRule="auto"/>
              <w:rPr>
                <w:sz w:val="24"/>
                <w:szCs w:val="24"/>
              </w:rPr>
            </w:pPr>
            <w:r>
              <w:rPr>
                <w:sz w:val="24"/>
                <w:szCs w:val="24"/>
              </w:rPr>
              <w:t>Mogućnosti učenja od zemalja koje su u posljednje vrijeme napredovale u oblasti digitalne transformacije.</w:t>
            </w:r>
          </w:p>
          <w:p w14:paraId="1D20713C" w14:textId="77777777" w:rsidR="005B3072" w:rsidRDefault="00A46913">
            <w:pPr>
              <w:widowControl w:val="0"/>
              <w:numPr>
                <w:ilvl w:val="0"/>
                <w:numId w:val="41"/>
              </w:numPr>
              <w:spacing w:before="240" w:after="240" w:line="276" w:lineRule="auto"/>
              <w:rPr>
                <w:sz w:val="24"/>
                <w:szCs w:val="24"/>
              </w:rPr>
            </w:pPr>
            <w:r>
              <w:rPr>
                <w:sz w:val="14"/>
                <w:szCs w:val="14"/>
              </w:rPr>
              <w:t xml:space="preserve"> </w:t>
            </w:r>
            <w:r>
              <w:rPr>
                <w:sz w:val="24"/>
                <w:szCs w:val="24"/>
              </w:rPr>
              <w:t>Staviti podatke javne uprave na raspolaganje za ponovnu upotrebu i sigurnu razmjenu određenih kategorija podataka prateći preporuke Evropske strategije za podatke i Evropskog akta o upravljaju podacima</w:t>
            </w:r>
          </w:p>
          <w:p w14:paraId="00A4D01C" w14:textId="77777777" w:rsidR="005B3072" w:rsidRDefault="00A46913">
            <w:pPr>
              <w:widowControl w:val="0"/>
              <w:numPr>
                <w:ilvl w:val="0"/>
                <w:numId w:val="41"/>
              </w:numPr>
              <w:spacing w:before="240" w:after="240" w:line="276" w:lineRule="auto"/>
              <w:rPr>
                <w:sz w:val="24"/>
                <w:szCs w:val="24"/>
              </w:rPr>
            </w:pPr>
            <w:r>
              <w:rPr>
                <w:sz w:val="24"/>
                <w:szCs w:val="24"/>
              </w:rPr>
              <w:t>Razvijanje setova otvorenih podataka od velikog značaja u skladu sa EU Direktivom kako bi se povećala upotrebna vrijednost podataka i njihovo ponovno koriščenje u produktivne svrhe</w:t>
            </w:r>
          </w:p>
          <w:p w14:paraId="4DD07652" w14:textId="77777777" w:rsidR="005B3072" w:rsidRDefault="00A46913">
            <w:pPr>
              <w:widowControl w:val="0"/>
              <w:numPr>
                <w:ilvl w:val="0"/>
                <w:numId w:val="41"/>
              </w:numPr>
              <w:spacing w:line="276" w:lineRule="auto"/>
              <w:rPr>
                <w:sz w:val="24"/>
                <w:szCs w:val="24"/>
              </w:rPr>
            </w:pPr>
            <w:r>
              <w:rPr>
                <w:sz w:val="24"/>
                <w:szCs w:val="24"/>
              </w:rPr>
              <w:t>Brži razvoj IKT sektora i njegov efekat prelivanja u druga područja (pokretač digitalne transformacije).</w:t>
            </w:r>
          </w:p>
          <w:p w14:paraId="515811D0" w14:textId="77777777" w:rsidR="005B3072" w:rsidRDefault="00A46913">
            <w:pPr>
              <w:widowControl w:val="0"/>
              <w:numPr>
                <w:ilvl w:val="0"/>
                <w:numId w:val="41"/>
              </w:numPr>
              <w:spacing w:line="276" w:lineRule="auto"/>
              <w:rPr>
                <w:sz w:val="24"/>
                <w:szCs w:val="24"/>
              </w:rPr>
            </w:pPr>
            <w:r>
              <w:rPr>
                <w:sz w:val="24"/>
                <w:szCs w:val="24"/>
              </w:rPr>
              <w:t>Jačanje tržišne pozicije IKT u regionu.</w:t>
            </w:r>
          </w:p>
          <w:p w14:paraId="3AB03EB1" w14:textId="77777777" w:rsidR="005B3072" w:rsidRDefault="00A46913">
            <w:pPr>
              <w:numPr>
                <w:ilvl w:val="0"/>
                <w:numId w:val="41"/>
              </w:numPr>
              <w:spacing w:line="276" w:lineRule="auto"/>
              <w:rPr>
                <w:sz w:val="24"/>
                <w:szCs w:val="24"/>
              </w:rPr>
            </w:pPr>
            <w:r>
              <w:rPr>
                <w:sz w:val="24"/>
                <w:szCs w:val="24"/>
              </w:rPr>
              <w:t>Postojeći uspjesi u crnogorskom okruženju pružaju priliku za promociju najboljih ideja, inovacija, projekata i partnerstava kako bi se ostvario zamah transformacije.</w:t>
            </w:r>
          </w:p>
          <w:p w14:paraId="1661D5E2" w14:textId="77777777" w:rsidR="005B3072" w:rsidRDefault="00A46913">
            <w:pPr>
              <w:numPr>
                <w:ilvl w:val="0"/>
                <w:numId w:val="41"/>
              </w:numPr>
              <w:spacing w:line="276" w:lineRule="auto"/>
              <w:rPr>
                <w:sz w:val="24"/>
                <w:szCs w:val="24"/>
              </w:rPr>
            </w:pPr>
            <w:r>
              <w:rPr>
                <w:sz w:val="24"/>
                <w:szCs w:val="24"/>
              </w:rPr>
              <w:t>Konkurentnost zemalja regiona, koja se ogleda u ponudi visokokvalifikovanih stručnjaka čiji je trošak radne snage među najnižim u Evropi. </w:t>
            </w:r>
          </w:p>
          <w:p w14:paraId="425700D0" w14:textId="77777777" w:rsidR="005B3072" w:rsidRDefault="00A46913">
            <w:pPr>
              <w:numPr>
                <w:ilvl w:val="0"/>
                <w:numId w:val="41"/>
              </w:numPr>
              <w:spacing w:line="276" w:lineRule="auto"/>
              <w:rPr>
                <w:sz w:val="24"/>
                <w:szCs w:val="24"/>
              </w:rPr>
            </w:pPr>
            <w:r>
              <w:rPr>
                <w:sz w:val="24"/>
                <w:szCs w:val="24"/>
              </w:rPr>
              <w:t>Korišćenje ljudskog potencijala za istraživanje i inovacije u dijaspori.</w:t>
            </w:r>
          </w:p>
          <w:p w14:paraId="1EC710DE" w14:textId="77777777" w:rsidR="005B3072" w:rsidRDefault="00A46913">
            <w:pPr>
              <w:numPr>
                <w:ilvl w:val="0"/>
                <w:numId w:val="41"/>
              </w:numPr>
              <w:pBdr>
                <w:top w:val="nil"/>
                <w:left w:val="nil"/>
                <w:bottom w:val="nil"/>
                <w:right w:val="nil"/>
                <w:between w:val="nil"/>
              </w:pBdr>
              <w:spacing w:line="276" w:lineRule="auto"/>
              <w:rPr>
                <w:sz w:val="24"/>
                <w:szCs w:val="24"/>
              </w:rPr>
            </w:pPr>
            <w:r>
              <w:rPr>
                <w:sz w:val="24"/>
                <w:szCs w:val="24"/>
              </w:rPr>
              <w:t xml:space="preserve">Državna administracija ima nominalnu želju da posluša savjete preduzeća i sposobnost da brzo reaguje kao manja država. </w:t>
            </w:r>
          </w:p>
          <w:p w14:paraId="55DEDE4D" w14:textId="77777777" w:rsidR="005B3072" w:rsidRDefault="00A46913">
            <w:pPr>
              <w:numPr>
                <w:ilvl w:val="0"/>
                <w:numId w:val="41"/>
              </w:numPr>
              <w:pBdr>
                <w:top w:val="nil"/>
                <w:left w:val="nil"/>
                <w:bottom w:val="nil"/>
                <w:right w:val="nil"/>
                <w:between w:val="nil"/>
              </w:pBdr>
              <w:spacing w:line="276" w:lineRule="auto"/>
              <w:rPr>
                <w:sz w:val="24"/>
                <w:szCs w:val="24"/>
              </w:rPr>
            </w:pPr>
            <w:r>
              <w:rPr>
                <w:sz w:val="24"/>
                <w:szCs w:val="24"/>
              </w:rPr>
              <w:lastRenderedPageBreak/>
              <w:t xml:space="preserve"> Razvoj rodno odgovornih digitalnih servisa i usluga</w:t>
            </w:r>
          </w:p>
          <w:p w14:paraId="62031F04" w14:textId="77777777" w:rsidR="005B3072" w:rsidRDefault="00A46913">
            <w:pPr>
              <w:numPr>
                <w:ilvl w:val="0"/>
                <w:numId w:val="41"/>
              </w:numPr>
              <w:pBdr>
                <w:top w:val="nil"/>
                <w:left w:val="nil"/>
                <w:bottom w:val="nil"/>
                <w:right w:val="nil"/>
                <w:between w:val="nil"/>
              </w:pBdr>
              <w:spacing w:line="276" w:lineRule="auto"/>
              <w:rPr>
                <w:sz w:val="24"/>
                <w:szCs w:val="24"/>
              </w:rPr>
            </w:pPr>
            <w:r>
              <w:rPr>
                <w:sz w:val="24"/>
                <w:szCs w:val="24"/>
              </w:rPr>
              <w:t>Moderne tehnologije i poslovni trendovi pokreću potrebu za novim uslugama.</w:t>
            </w:r>
          </w:p>
          <w:p w14:paraId="2CC9BDA3" w14:textId="77777777" w:rsidR="005B3072" w:rsidRDefault="00A46913">
            <w:pPr>
              <w:numPr>
                <w:ilvl w:val="0"/>
                <w:numId w:val="41"/>
              </w:numPr>
              <w:spacing w:line="276" w:lineRule="auto"/>
              <w:rPr>
                <w:sz w:val="24"/>
                <w:szCs w:val="24"/>
              </w:rPr>
            </w:pPr>
            <w:r>
              <w:rPr>
                <w:sz w:val="24"/>
                <w:szCs w:val="24"/>
              </w:rPr>
              <w:t>Aktivnosti preduzete za umrežavanje profesionalaca u Crnoj Gori i u regionu.</w:t>
            </w:r>
          </w:p>
          <w:p w14:paraId="527CE03E" w14:textId="77777777" w:rsidR="005B3072" w:rsidRDefault="00A46913">
            <w:pPr>
              <w:numPr>
                <w:ilvl w:val="0"/>
                <w:numId w:val="41"/>
              </w:numPr>
              <w:spacing w:line="276" w:lineRule="auto"/>
              <w:rPr>
                <w:sz w:val="24"/>
                <w:szCs w:val="24"/>
              </w:rPr>
            </w:pPr>
            <w:r>
              <w:rPr>
                <w:sz w:val="24"/>
                <w:szCs w:val="24"/>
              </w:rPr>
              <w:t>Uspješni startapovi koji služe kao podsticaj za razvoj ove vrste poslovanja.</w:t>
            </w:r>
          </w:p>
          <w:p w14:paraId="1BB3960C" w14:textId="77777777" w:rsidR="005B3072" w:rsidRDefault="00A46913">
            <w:pPr>
              <w:widowControl w:val="0"/>
              <w:numPr>
                <w:ilvl w:val="0"/>
                <w:numId w:val="41"/>
              </w:numPr>
              <w:pBdr>
                <w:top w:val="nil"/>
                <w:left w:val="nil"/>
                <w:bottom w:val="nil"/>
                <w:right w:val="nil"/>
                <w:between w:val="nil"/>
              </w:pBdr>
              <w:spacing w:line="276" w:lineRule="auto"/>
              <w:rPr>
                <w:sz w:val="24"/>
                <w:szCs w:val="24"/>
              </w:rPr>
            </w:pPr>
            <w:r>
              <w:rPr>
                <w:sz w:val="24"/>
                <w:szCs w:val="24"/>
              </w:rPr>
              <w:t>Sredstva Evropske unije kao izvor finansiranja i proces pristupanja EU koji ubrzava prevazilaženje zakonskih prepreka.</w:t>
            </w:r>
          </w:p>
        </w:tc>
      </w:tr>
      <w:tr w:rsidR="005B3072" w14:paraId="3489F8E9" w14:textId="77777777">
        <w:tc>
          <w:tcPr>
            <w:tcW w:w="5007" w:type="dxa"/>
            <w:shd w:val="clear" w:color="auto" w:fill="auto"/>
            <w:tcMar>
              <w:top w:w="100" w:type="dxa"/>
              <w:left w:w="100" w:type="dxa"/>
              <w:bottom w:w="100" w:type="dxa"/>
              <w:right w:w="100" w:type="dxa"/>
            </w:tcMar>
          </w:tcPr>
          <w:p w14:paraId="59CCC117" w14:textId="77777777" w:rsidR="005B3072" w:rsidRDefault="00A46913">
            <w:pPr>
              <w:widowControl w:val="0"/>
              <w:pBdr>
                <w:top w:val="nil"/>
                <w:left w:val="nil"/>
                <w:bottom w:val="nil"/>
                <w:right w:val="nil"/>
                <w:between w:val="nil"/>
              </w:pBdr>
              <w:shd w:val="clear" w:color="auto" w:fill="9CC3E5"/>
              <w:jc w:val="center"/>
              <w:rPr>
                <w:b/>
                <w:sz w:val="24"/>
                <w:szCs w:val="24"/>
              </w:rPr>
            </w:pPr>
            <w:r>
              <w:rPr>
                <w:b/>
                <w:sz w:val="24"/>
                <w:szCs w:val="24"/>
              </w:rPr>
              <w:lastRenderedPageBreak/>
              <w:t>SLABOSTI</w:t>
            </w:r>
          </w:p>
          <w:p w14:paraId="1F186946" w14:textId="77777777" w:rsidR="005B3072" w:rsidRDefault="00A46913">
            <w:pPr>
              <w:widowControl w:val="0"/>
              <w:numPr>
                <w:ilvl w:val="0"/>
                <w:numId w:val="5"/>
              </w:numPr>
              <w:spacing w:line="276" w:lineRule="auto"/>
              <w:rPr>
                <w:sz w:val="24"/>
                <w:szCs w:val="24"/>
              </w:rPr>
            </w:pPr>
            <w:r>
              <w:rPr>
                <w:sz w:val="24"/>
                <w:szCs w:val="24"/>
              </w:rPr>
              <w:t>Nedostatak koordinacije na centralnom i visokom nivou u vezi sprovođenja aktivnosti za digitalnu transformaciju na nacionalnom i sektorskom nivou i velika fragmentacija radnih tijela</w:t>
            </w:r>
          </w:p>
          <w:p w14:paraId="068B54B6" w14:textId="77777777" w:rsidR="005B3072" w:rsidRDefault="00A46913">
            <w:pPr>
              <w:widowControl w:val="0"/>
              <w:numPr>
                <w:ilvl w:val="0"/>
                <w:numId w:val="5"/>
              </w:numPr>
              <w:spacing w:line="276" w:lineRule="auto"/>
              <w:rPr>
                <w:sz w:val="24"/>
                <w:szCs w:val="24"/>
              </w:rPr>
            </w:pPr>
            <w:r>
              <w:rPr>
                <w:sz w:val="24"/>
                <w:szCs w:val="24"/>
              </w:rPr>
              <w:t>Pristup odozdo prema gore jači od upravljanja odozgo prema dolje</w:t>
            </w:r>
          </w:p>
          <w:p w14:paraId="2A3D7906" w14:textId="77777777" w:rsidR="005B3072" w:rsidRDefault="00A46913">
            <w:pPr>
              <w:widowControl w:val="0"/>
              <w:numPr>
                <w:ilvl w:val="0"/>
                <w:numId w:val="5"/>
              </w:numPr>
              <w:spacing w:line="276" w:lineRule="auto"/>
              <w:rPr>
                <w:sz w:val="24"/>
                <w:szCs w:val="24"/>
              </w:rPr>
            </w:pPr>
            <w:r>
              <w:rPr>
                <w:sz w:val="24"/>
                <w:szCs w:val="24"/>
              </w:rPr>
              <w:t>Nedovoljne digitalne vještine i IT vještine u javnoj upravi i društvu u cjelini</w:t>
            </w:r>
          </w:p>
          <w:p w14:paraId="1358A9C8" w14:textId="77777777" w:rsidR="005B3072" w:rsidRDefault="00A46913">
            <w:pPr>
              <w:widowControl w:val="0"/>
              <w:numPr>
                <w:ilvl w:val="0"/>
                <w:numId w:val="5"/>
              </w:numPr>
              <w:spacing w:line="276" w:lineRule="auto"/>
              <w:rPr>
                <w:sz w:val="24"/>
                <w:szCs w:val="24"/>
              </w:rPr>
            </w:pPr>
            <w:r>
              <w:rPr>
                <w:sz w:val="24"/>
                <w:szCs w:val="24"/>
              </w:rPr>
              <w:t>Manjak IKT ljudskih resursa</w:t>
            </w:r>
          </w:p>
          <w:p w14:paraId="4B7625E3" w14:textId="77777777" w:rsidR="005B3072" w:rsidRDefault="00A46913">
            <w:pPr>
              <w:widowControl w:val="0"/>
              <w:numPr>
                <w:ilvl w:val="0"/>
                <w:numId w:val="5"/>
              </w:numPr>
              <w:spacing w:line="276" w:lineRule="auto"/>
              <w:rPr>
                <w:sz w:val="24"/>
                <w:szCs w:val="24"/>
              </w:rPr>
            </w:pPr>
            <w:r>
              <w:rPr>
                <w:sz w:val="24"/>
                <w:szCs w:val="24"/>
              </w:rPr>
              <w:t>Niske javne investicije u IT razvoj.</w:t>
            </w:r>
          </w:p>
          <w:p w14:paraId="0E985334" w14:textId="77777777" w:rsidR="005B3072" w:rsidRDefault="00A46913">
            <w:pPr>
              <w:widowControl w:val="0"/>
              <w:numPr>
                <w:ilvl w:val="0"/>
                <w:numId w:val="5"/>
              </w:numPr>
              <w:spacing w:line="276" w:lineRule="auto"/>
              <w:rPr>
                <w:sz w:val="24"/>
                <w:szCs w:val="24"/>
              </w:rPr>
            </w:pPr>
            <w:r>
              <w:rPr>
                <w:sz w:val="24"/>
                <w:szCs w:val="24"/>
              </w:rPr>
              <w:t>Veličina i struktura tržišta: tržištem dominiraju male IT kompanije koje su orijentisane na domaće tržište gdje je najveći klijent država.</w:t>
            </w:r>
          </w:p>
          <w:p w14:paraId="04BCAE49" w14:textId="77777777" w:rsidR="005B3072" w:rsidRDefault="00A46913">
            <w:pPr>
              <w:widowControl w:val="0"/>
              <w:numPr>
                <w:ilvl w:val="0"/>
                <w:numId w:val="5"/>
              </w:numPr>
              <w:spacing w:line="276" w:lineRule="auto"/>
              <w:rPr>
                <w:sz w:val="24"/>
                <w:szCs w:val="24"/>
              </w:rPr>
            </w:pPr>
            <w:r>
              <w:rPr>
                <w:sz w:val="24"/>
                <w:szCs w:val="24"/>
              </w:rPr>
              <w:t>Neprilagođeni obrazovni sistem koji ne uspijeva da uči opštu digitalnu i programsku pismenost u osnovnim i srednjim školama i polako mijenja sistem univerzitetskog obrazovanja sa lošom vezom sa industrijom.</w:t>
            </w:r>
          </w:p>
          <w:p w14:paraId="5576E96E" w14:textId="77777777" w:rsidR="005B3072" w:rsidRDefault="00A46913">
            <w:pPr>
              <w:numPr>
                <w:ilvl w:val="0"/>
                <w:numId w:val="5"/>
              </w:numPr>
              <w:spacing w:line="276" w:lineRule="auto"/>
              <w:rPr>
                <w:sz w:val="24"/>
                <w:szCs w:val="24"/>
              </w:rPr>
            </w:pPr>
            <w:r>
              <w:rPr>
                <w:sz w:val="24"/>
                <w:szCs w:val="24"/>
              </w:rPr>
              <w:t xml:space="preserve">U velikom broju prvenstveno malih preduzeća, ulaganje u informacione i </w:t>
            </w:r>
            <w:r>
              <w:rPr>
                <w:sz w:val="24"/>
                <w:szCs w:val="24"/>
              </w:rPr>
              <w:lastRenderedPageBreak/>
              <w:t>komunikacione tehnologije i dalje se gleda kao dodatni trošak.</w:t>
            </w:r>
          </w:p>
          <w:p w14:paraId="4DE602AB" w14:textId="77777777" w:rsidR="005B3072" w:rsidRDefault="00A46913">
            <w:pPr>
              <w:numPr>
                <w:ilvl w:val="0"/>
                <w:numId w:val="5"/>
              </w:numPr>
              <w:spacing w:line="276" w:lineRule="auto"/>
              <w:rPr>
                <w:sz w:val="24"/>
                <w:szCs w:val="24"/>
              </w:rPr>
            </w:pPr>
            <w:r>
              <w:rPr>
                <w:sz w:val="24"/>
                <w:szCs w:val="24"/>
              </w:rPr>
              <w:t>Nizak nivo digitalizacije e-usluga i nedostatak kvalitetnog dizajna usluga usmjerenog na korisnika, što takođe rezultira lošim korišćenjem postojećih javnih e-usluga od strane građana.</w:t>
            </w:r>
          </w:p>
          <w:p w14:paraId="0C012E92" w14:textId="77777777" w:rsidR="005B3072" w:rsidRDefault="00A46913">
            <w:pPr>
              <w:numPr>
                <w:ilvl w:val="0"/>
                <w:numId w:val="5"/>
              </w:numPr>
              <w:spacing w:line="276" w:lineRule="auto"/>
              <w:rPr>
                <w:sz w:val="24"/>
                <w:szCs w:val="24"/>
              </w:rPr>
            </w:pPr>
            <w:r>
              <w:rPr>
                <w:sz w:val="24"/>
                <w:szCs w:val="24"/>
              </w:rPr>
              <w:t>Nedostatak pokazatelja za praćenje nivoa digitalne transformacije na nacionalnom nivou i ključnih pokazatelja učinka za e-usluge i digitalnu ekonomiju</w:t>
            </w:r>
          </w:p>
          <w:p w14:paraId="24643F5A" w14:textId="77777777" w:rsidR="005B3072" w:rsidRDefault="00A46913">
            <w:pPr>
              <w:numPr>
                <w:ilvl w:val="0"/>
                <w:numId w:val="5"/>
              </w:numPr>
              <w:spacing w:line="276" w:lineRule="auto"/>
              <w:rPr>
                <w:sz w:val="24"/>
                <w:szCs w:val="24"/>
              </w:rPr>
            </w:pPr>
            <w:r>
              <w:rPr>
                <w:sz w:val="24"/>
                <w:szCs w:val="24"/>
              </w:rPr>
              <w:t>Skupe internetske infrastrukture preduzeća i neprilagođeni zakoni otežavaju pružanje usluga na mreži.</w:t>
            </w:r>
          </w:p>
          <w:p w14:paraId="34DF2EE5" w14:textId="77777777" w:rsidR="005B3072" w:rsidRDefault="00A46913">
            <w:pPr>
              <w:numPr>
                <w:ilvl w:val="0"/>
                <w:numId w:val="5"/>
              </w:numPr>
              <w:spacing w:line="276" w:lineRule="auto"/>
              <w:rPr>
                <w:sz w:val="24"/>
                <w:szCs w:val="24"/>
              </w:rPr>
            </w:pPr>
            <w:r>
              <w:rPr>
                <w:sz w:val="24"/>
                <w:szCs w:val="24"/>
              </w:rPr>
              <w:t>Manja dostupnost različitih resursa poput čvorišta, prostora za zajednički rad, akceleratora, inovacionih centara i različitih oblika podrške alternativnim oblicima poslovanja u ovoj oblasti (startap, freelancing). Konkretno, nedostatak mentorstva za početnički razvoj.</w:t>
            </w:r>
          </w:p>
          <w:p w14:paraId="7116E0CE" w14:textId="77777777" w:rsidR="005B3072" w:rsidRDefault="00A46913">
            <w:pPr>
              <w:numPr>
                <w:ilvl w:val="0"/>
                <w:numId w:val="5"/>
              </w:numPr>
              <w:spacing w:line="276" w:lineRule="auto"/>
              <w:rPr>
                <w:sz w:val="24"/>
                <w:szCs w:val="24"/>
              </w:rPr>
            </w:pPr>
            <w:r>
              <w:rPr>
                <w:sz w:val="24"/>
                <w:szCs w:val="24"/>
              </w:rPr>
              <w:t>Jednostavnost zapošljavanja pojedinaca iz Crne Gore dovodi do toga da najkvalitetnije osoblje lako donosi odluku o napuštanju domaćih kompanija i započinjanju honorara za strane kompanije.</w:t>
            </w:r>
          </w:p>
          <w:p w14:paraId="15BB21F8" w14:textId="77777777" w:rsidR="005B3072" w:rsidRDefault="00A46913">
            <w:pPr>
              <w:numPr>
                <w:ilvl w:val="0"/>
                <w:numId w:val="5"/>
              </w:numPr>
              <w:spacing w:line="276" w:lineRule="auto"/>
              <w:rPr>
                <w:sz w:val="24"/>
                <w:szCs w:val="24"/>
              </w:rPr>
            </w:pPr>
            <w:r>
              <w:rPr>
                <w:sz w:val="24"/>
                <w:szCs w:val="24"/>
              </w:rPr>
              <w:t>Nedostaje formalna podrška od strane države za IT sektor kao priznanje potencijala da razvije ukupnu ekonomiju.</w:t>
            </w:r>
          </w:p>
          <w:p w14:paraId="4712E68F" w14:textId="77777777" w:rsidR="005B3072" w:rsidRDefault="00A46913">
            <w:pPr>
              <w:numPr>
                <w:ilvl w:val="0"/>
                <w:numId w:val="5"/>
              </w:numPr>
              <w:spacing w:line="276" w:lineRule="auto"/>
              <w:rPr>
                <w:sz w:val="24"/>
                <w:szCs w:val="24"/>
              </w:rPr>
            </w:pPr>
            <w:r>
              <w:rPr>
                <w:sz w:val="24"/>
                <w:szCs w:val="24"/>
              </w:rPr>
              <w:t>Nedovoljno razvijena digitalna svijest crnogorskog društva.</w:t>
            </w:r>
          </w:p>
        </w:tc>
        <w:tc>
          <w:tcPr>
            <w:tcW w:w="5140" w:type="dxa"/>
            <w:shd w:val="clear" w:color="auto" w:fill="auto"/>
            <w:tcMar>
              <w:top w:w="100" w:type="dxa"/>
              <w:left w:w="100" w:type="dxa"/>
              <w:bottom w:w="100" w:type="dxa"/>
              <w:right w:w="100" w:type="dxa"/>
            </w:tcMar>
          </w:tcPr>
          <w:p w14:paraId="3B23D005" w14:textId="77777777" w:rsidR="005B3072" w:rsidRDefault="00A46913">
            <w:pPr>
              <w:widowControl w:val="0"/>
              <w:pBdr>
                <w:top w:val="nil"/>
                <w:left w:val="nil"/>
                <w:bottom w:val="nil"/>
                <w:right w:val="nil"/>
                <w:between w:val="nil"/>
              </w:pBdr>
              <w:shd w:val="clear" w:color="auto" w:fill="9CC3E5"/>
              <w:jc w:val="center"/>
              <w:rPr>
                <w:b/>
                <w:sz w:val="24"/>
                <w:szCs w:val="24"/>
              </w:rPr>
            </w:pPr>
            <w:r>
              <w:rPr>
                <w:b/>
                <w:sz w:val="24"/>
                <w:szCs w:val="24"/>
              </w:rPr>
              <w:lastRenderedPageBreak/>
              <w:t>PRIJETNJE</w:t>
            </w:r>
          </w:p>
          <w:p w14:paraId="67F02203"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Izazovi u premošćavanju jaza između strategije i stvarne primjene.</w:t>
            </w:r>
          </w:p>
          <w:p w14:paraId="0255B0E6"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Nepovjerenje građana u e-usluge</w:t>
            </w:r>
          </w:p>
          <w:p w14:paraId="2C7018EF"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Nastavak odliva mozgova zbog atraktivnijih uslova u drugim zemljama/regionima.</w:t>
            </w:r>
          </w:p>
          <w:p w14:paraId="63795733"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Dalje jačanje pozicije međunarodnih kompanija ugrožava lokalnu IKT ekonomiju.</w:t>
            </w:r>
          </w:p>
          <w:p w14:paraId="41133038"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 xml:space="preserve">Brži digitalni razvoj u drugim zemljama dodatno ističe relativno spor napredak digitalnog razvoja/ zrelosti Crne Gore. </w:t>
            </w:r>
          </w:p>
          <w:p w14:paraId="182DB561"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Jačanje crnogorske zavisnosti od eksternog znanja zbog niske apsorpcione sposobnosti sistema javne uprave.</w:t>
            </w:r>
          </w:p>
          <w:p w14:paraId="2C940655" w14:textId="77777777" w:rsidR="005B3072" w:rsidRDefault="00A46913">
            <w:pPr>
              <w:widowControl w:val="0"/>
              <w:numPr>
                <w:ilvl w:val="0"/>
                <w:numId w:val="9"/>
              </w:numPr>
              <w:pBdr>
                <w:top w:val="nil"/>
                <w:left w:val="nil"/>
                <w:bottom w:val="nil"/>
                <w:right w:val="nil"/>
                <w:between w:val="nil"/>
              </w:pBdr>
              <w:spacing w:line="276" w:lineRule="auto"/>
              <w:rPr>
                <w:sz w:val="24"/>
                <w:szCs w:val="24"/>
              </w:rPr>
            </w:pPr>
            <w:r>
              <w:rPr>
                <w:sz w:val="24"/>
                <w:szCs w:val="24"/>
              </w:rPr>
              <w:t>Promjene u političkoj areni koje utiču na davanje prednosti digitalnoj transformaciji.</w:t>
            </w:r>
          </w:p>
          <w:p w14:paraId="45C3B848" w14:textId="77777777" w:rsidR="005B3072" w:rsidRDefault="00A46913">
            <w:pPr>
              <w:numPr>
                <w:ilvl w:val="0"/>
                <w:numId w:val="9"/>
              </w:numPr>
              <w:spacing w:line="276" w:lineRule="auto"/>
              <w:rPr>
                <w:sz w:val="24"/>
                <w:szCs w:val="24"/>
              </w:rPr>
            </w:pPr>
            <w:r>
              <w:rPr>
                <w:sz w:val="24"/>
                <w:szCs w:val="24"/>
              </w:rPr>
              <w:t>Crna Gora, kao i druge male zemlje, zavisi od trendova u globalnim promjenama i lokalne praktične primjene postojećih tehnologija.</w:t>
            </w:r>
          </w:p>
          <w:p w14:paraId="00816DFD" w14:textId="77777777" w:rsidR="005B3072" w:rsidRDefault="00A46913">
            <w:pPr>
              <w:numPr>
                <w:ilvl w:val="0"/>
                <w:numId w:val="9"/>
              </w:numPr>
              <w:spacing w:line="276" w:lineRule="auto"/>
              <w:rPr>
                <w:sz w:val="24"/>
                <w:szCs w:val="24"/>
              </w:rPr>
            </w:pPr>
            <w:r>
              <w:rPr>
                <w:sz w:val="24"/>
                <w:szCs w:val="24"/>
              </w:rPr>
              <w:t>Malo tržište značajno će ometati razvoj velikih specijalističkih kompanija.</w:t>
            </w:r>
          </w:p>
          <w:p w14:paraId="00652F7F" w14:textId="77777777" w:rsidR="005B3072" w:rsidRDefault="00A46913">
            <w:pPr>
              <w:numPr>
                <w:ilvl w:val="0"/>
                <w:numId w:val="9"/>
              </w:numPr>
              <w:spacing w:line="276" w:lineRule="auto"/>
              <w:rPr>
                <w:sz w:val="24"/>
                <w:szCs w:val="24"/>
              </w:rPr>
            </w:pPr>
            <w:r>
              <w:rPr>
                <w:sz w:val="24"/>
                <w:szCs w:val="24"/>
              </w:rPr>
              <w:t xml:space="preserve">Neizvozno orijentisana perspektiva razvoja IT-a u velikoj je mjeri povezana sa </w:t>
            </w:r>
            <w:r>
              <w:rPr>
                <w:sz w:val="24"/>
                <w:szCs w:val="24"/>
              </w:rPr>
              <w:lastRenderedPageBreak/>
              <w:t>ekonomskim napretkom i ekonomskim razvojem Crne Gore.</w:t>
            </w:r>
          </w:p>
          <w:p w14:paraId="44DBD189" w14:textId="77777777" w:rsidR="005B3072" w:rsidRDefault="00A46913">
            <w:pPr>
              <w:numPr>
                <w:ilvl w:val="0"/>
                <w:numId w:val="9"/>
              </w:numPr>
              <w:spacing w:line="276" w:lineRule="auto"/>
              <w:rPr>
                <w:sz w:val="24"/>
                <w:szCs w:val="24"/>
              </w:rPr>
            </w:pPr>
            <w:r>
              <w:rPr>
                <w:sz w:val="24"/>
                <w:szCs w:val="24"/>
              </w:rPr>
              <w:t>Prisustvo angažovanja spoljnih i slobodnih saradnika u budućnosti može dovesti do smanjenja broja osoblja raspoloživog na tržištu rada.</w:t>
            </w:r>
          </w:p>
          <w:p w14:paraId="4002552A" w14:textId="77777777" w:rsidR="005B3072" w:rsidRDefault="00A46913">
            <w:pPr>
              <w:numPr>
                <w:ilvl w:val="0"/>
                <w:numId w:val="9"/>
              </w:numPr>
              <w:spacing w:line="276" w:lineRule="auto"/>
              <w:rPr>
                <w:sz w:val="24"/>
                <w:szCs w:val="24"/>
              </w:rPr>
            </w:pPr>
            <w:r>
              <w:rPr>
                <w:sz w:val="24"/>
                <w:szCs w:val="24"/>
              </w:rPr>
              <w:t>Inovacije uglavnom potiču iz novoosnovanih preduzeća sa manje od 20 zaposlenih, a veće lokalne kompanije uglavnom ostaju ravnodušne prema inovacijama.</w:t>
            </w:r>
          </w:p>
        </w:tc>
      </w:tr>
    </w:tbl>
    <w:p w14:paraId="2C1ED584" w14:textId="77777777" w:rsidR="005B3072" w:rsidRDefault="00A46913">
      <w:pPr>
        <w:pStyle w:val="Heading1"/>
        <w:rPr>
          <w:b/>
          <w:color w:val="2E75B5"/>
          <w:sz w:val="28"/>
          <w:szCs w:val="28"/>
        </w:rPr>
      </w:pPr>
      <w:bookmarkStart w:id="61" w:name="_sqyw64" w:colFirst="0" w:colLast="0"/>
      <w:bookmarkEnd w:id="61"/>
      <w:r>
        <w:lastRenderedPageBreak/>
        <w:br w:type="page"/>
      </w:r>
      <w:r>
        <w:rPr>
          <w:b/>
          <w:color w:val="2E75B5"/>
          <w:sz w:val="28"/>
          <w:szCs w:val="28"/>
        </w:rPr>
        <w:lastRenderedPageBreak/>
        <w:t>III</w:t>
      </w:r>
      <w:r>
        <w:rPr>
          <w:b/>
          <w:color w:val="2E75B5"/>
          <w:sz w:val="28"/>
          <w:szCs w:val="28"/>
        </w:rPr>
        <w:tab/>
        <w:t>VIZIJA I IDENTIFIKOVANI STRATEŠKI PRAVCI</w:t>
      </w:r>
    </w:p>
    <w:p w14:paraId="35F1FEBF" w14:textId="77777777" w:rsidR="005B3072" w:rsidRDefault="005B3072"/>
    <w:p w14:paraId="1FC6BE67" w14:textId="77777777" w:rsidR="005B3072" w:rsidRDefault="00A46913">
      <w:pPr>
        <w:spacing w:after="0" w:line="276" w:lineRule="auto"/>
        <w:jc w:val="right"/>
        <w:rPr>
          <w:b/>
          <w:i/>
          <w:color w:val="0000FF"/>
          <w:sz w:val="26"/>
          <w:szCs w:val="26"/>
        </w:rPr>
      </w:pPr>
      <w:r>
        <w:rPr>
          <w:b/>
          <w:i/>
          <w:color w:val="0000FF"/>
          <w:sz w:val="26"/>
          <w:szCs w:val="26"/>
        </w:rPr>
        <w:t>Brz digitalni razvoj dostupan svima -</w:t>
      </w:r>
    </w:p>
    <w:p w14:paraId="2683472B" w14:textId="77777777" w:rsidR="005B3072" w:rsidRDefault="00A46913">
      <w:pPr>
        <w:spacing w:after="0" w:line="276" w:lineRule="auto"/>
        <w:jc w:val="right"/>
      </w:pPr>
      <w:r>
        <w:rPr>
          <w:b/>
          <w:i/>
          <w:color w:val="0000FF"/>
          <w:sz w:val="26"/>
          <w:szCs w:val="26"/>
        </w:rPr>
        <w:t xml:space="preserve"> šansa za dugoročni uspjeh i prosperitet cijelog društva</w:t>
      </w:r>
    </w:p>
    <w:p w14:paraId="154DF69E" w14:textId="77777777" w:rsidR="005B3072" w:rsidRDefault="005B3072">
      <w:pPr>
        <w:spacing w:after="0" w:line="276" w:lineRule="auto"/>
        <w:rPr>
          <w:sz w:val="24"/>
          <w:szCs w:val="24"/>
        </w:rPr>
      </w:pPr>
    </w:p>
    <w:p w14:paraId="6AFAD580" w14:textId="77777777" w:rsidR="005B3072" w:rsidRDefault="00A46913">
      <w:pPr>
        <w:jc w:val="both"/>
        <w:rPr>
          <w:sz w:val="24"/>
          <w:szCs w:val="24"/>
        </w:rPr>
      </w:pPr>
      <w:r>
        <w:rPr>
          <w:sz w:val="24"/>
          <w:szCs w:val="24"/>
        </w:rPr>
        <w:t xml:space="preserve">Da bi inicijativa digitalne transformacije cjelokupnog društva dala pozitivne rezultate, i da bi strateški dokumenti i prateći akcioni planovi bili efikasno sredstvo u cilju sprovođenja ovakvih inicijativa, potrebno je da postoji jasna vizija rezultata koji se žele postići ali i spremnost svih učesnika jednog sistema da ravnopravno učestvuju u kreiranju digitalnog društva. U tom smislu, u definisanju vizije i rezultata, ne smije se zanemariti ni jedan element budućeg digitalnog društva jer se njegovim isključivanjem iz cjelokupnog sistema (počev od analize stanja, preko definisanja ciljeva i vizije razvoja, do implementacije različitih rješenja) ne može stvoriti zaokružena cjelina tj. digitalno društvo. Iako se srateški okviri razlikuju od zemlje do zemlje, ono što je zajedničko svima jeste potreba za sinergijskom ulogom svih učesnika/elemenata koji čine digitalno društvo. </w:t>
      </w:r>
    </w:p>
    <w:p w14:paraId="33DD81FE" w14:textId="77777777" w:rsidR="005B3072" w:rsidRDefault="00A46913">
      <w:pPr>
        <w:pBdr>
          <w:top w:val="nil"/>
          <w:left w:val="nil"/>
          <w:bottom w:val="nil"/>
          <w:right w:val="nil"/>
          <w:between w:val="nil"/>
        </w:pBdr>
        <w:jc w:val="both"/>
        <w:rPr>
          <w:sz w:val="24"/>
          <w:szCs w:val="24"/>
          <w:shd w:val="clear" w:color="auto" w:fill="F7CBAC"/>
        </w:rPr>
      </w:pPr>
      <w:r>
        <w:rPr>
          <w:sz w:val="24"/>
          <w:szCs w:val="24"/>
        </w:rPr>
        <w:t xml:space="preserve">Crna Gora je u prethodnom periodu uspostavila dobru osnovu za razvoj digitalnog društva koju dalje treba unaprijeđivati paralelno sa napretkom tehnologije. Međutim ukoliko nije obezbijeđena pouzdana infrastruktura, setovi kvalitetnih i otvorenih podataka i visok nivo automatske razmjene, nije moguće kreirati e-usluge u skladu sa potrebama građana i privrede, niti je moguće obezbijediti pristup korisnicima pod jednakim uslovima. Srž transformacije u pravcu digitalnog društva, jeste u uspostavljanju kvalitetne fizičko-tehnološke infrastrukture, kao i u osiguranju dostupnih visokokvalitetnih podataka i njihovoj pravilnoj upotrebi u cilju stvaranja nove vrijednosti.  Podaci predstavljaju ogroman resurs za poboljšanje života ljudi, rješavanje društvenih izazova, generisanje novog ekonomskog rasta i obezbjeđivanje konkurentske pozicije Crne Gore u procesu digitalne transformacije, ali treba imati u vidu da upravljanje podacima postavlja izazove vezane za povjerenje, privatnost, sigurnost i korišćenje podataka uz puno poštovanje zakonskih normi i etičkih principa.  </w:t>
      </w:r>
    </w:p>
    <w:p w14:paraId="53D0B5BA" w14:textId="77777777" w:rsidR="005B3072" w:rsidRDefault="00A46913">
      <w:pPr>
        <w:jc w:val="both"/>
        <w:rPr>
          <w:sz w:val="24"/>
          <w:szCs w:val="24"/>
        </w:rPr>
      </w:pPr>
      <w:r>
        <w:rPr>
          <w:sz w:val="24"/>
          <w:szCs w:val="24"/>
        </w:rPr>
        <w:t>Transformacija nije moguća ukoliko ne postoji liderstvo i politička volja na najvišem nivou u jednoj državi. Postojanje lidera, njihove podrške (u institucionalnom, političkom, normativnom pa i finansijskom smislu) kao i visoki nivo shvatanja i spremnosti prihvatanja digitalnih promjena, preduslov su dobrih rezultata. U Crnoj Gori je, kao što je</w:t>
      </w:r>
      <w:r>
        <w:rPr>
          <w:i/>
          <w:sz w:val="24"/>
          <w:szCs w:val="24"/>
        </w:rPr>
        <w:t xml:space="preserve"> Analiza stanja za pripremu strategije digitalne transformacije Crne Gore 2022-2026</w:t>
      </w:r>
      <w:r>
        <w:rPr>
          <w:sz w:val="24"/>
          <w:szCs w:val="24"/>
        </w:rPr>
        <w:t xml:space="preserve"> pokazala, uspostavljen jasan i detaljan normativni sistem, koji je jedan od koraka i preduslova kreiranja digitalnog društva. Dalja adekvatna primjena zakonskih rješenja zavisiće od opredjeljenja Vlade u pravcu sprovođenja digitalne transformacije. </w:t>
      </w:r>
    </w:p>
    <w:p w14:paraId="08D89337" w14:textId="77777777" w:rsidR="005B3072" w:rsidRDefault="00A46913">
      <w:pPr>
        <w:jc w:val="both"/>
        <w:rPr>
          <w:sz w:val="24"/>
          <w:szCs w:val="24"/>
        </w:rPr>
      </w:pPr>
      <w:r>
        <w:rPr>
          <w:sz w:val="24"/>
          <w:szCs w:val="24"/>
        </w:rPr>
        <w:t xml:space="preserve">Prisustvo radne snage koja je IT obrazovana, angažovanje lokalnih IT obrazovanih eksperata i podizanje javne svijesti o važnosti primjene ali i edukacije u oblasti digitalnih tehnologija i promjena, uslov su kreiranja društva znanja na kojem počiva digitalno društvo. Edukacije i treninzi, počev od najnižeg nivoa obrazovanja pa do najvišeg nivoa i nivoa obrazovanja odraslih kroz specijalizovane teme, dugoročno gledano, može dati pozitivne rezultate. Podizanje javne svijesti o značaju i benefitima koje tehnologija i tehnološki podržana rješenja predstavljaju, nezaobilazan je element u procesu digitalne transformacije. Crna Gora prepoznaje potrebu za jačanjem ovog elementa digitalnog društva, jer bez znanja i dijeljenja </w:t>
      </w:r>
      <w:r>
        <w:rPr>
          <w:sz w:val="24"/>
          <w:szCs w:val="24"/>
        </w:rPr>
        <w:lastRenderedPageBreak/>
        <w:t>znanja nije moguće sprovesti ali ni koristiti rješenja digitalno transformisanog društva. Takođe, kvalitetno i inkluzivno obrazovanje zasnovano na pametnoj upotrebi digitalnih tehnologija predstavlja preduslov održivosti svih ostalih mjera i intervencija. Inicijative i aktivnosti poslovnog sektora su važne kako za jačanje (digitalne) ekonomije tako i za cjelokupno društvo jer upravo ova kategorija predstavlja jedan od ključnih pokretača inovativnih rješenja i primjene takvih rješenja u praksi. Prepoznavanje ključne uloge IKT sektora u Crnoj Gori, pružanje podrške njihovim inicijativama i inovativnim rješenjima, uključivanje ovog sektora u procese digitalne transformacije, uz zajednički cilj da se kreira jednako društvo zasnovano na znanju, dugoročno će dati dobre rezultate za cjelokupno crnogorsko digitalno društvo.</w:t>
      </w:r>
    </w:p>
    <w:p w14:paraId="77945502" w14:textId="77777777" w:rsidR="005B3072" w:rsidRDefault="00A46913">
      <w:pPr>
        <w:jc w:val="both"/>
        <w:rPr>
          <w:sz w:val="24"/>
          <w:szCs w:val="24"/>
        </w:rPr>
      </w:pPr>
      <w:r>
        <w:rPr>
          <w:sz w:val="24"/>
          <w:szCs w:val="24"/>
        </w:rPr>
        <w:t xml:space="preserve">Imajući u vidu sve prethodno navedene ključne elemente u procesu kreiranja strateškog okvira i njegovih inicijativa, Strategijom digitalne transformacije 2022-2026, Crna Gora mora sistematski i na uravnotežen način razvijati digitalnu infrastrukturu, obezbijediti tačne, ažurne i bezbjedno dostupne podatke, razvijati digitalna rješenja, optimizovati, povezati ​​i digitalizovati procese i usluge i omogućiti svima jednake pristupe ovim rješenjima. Zajedničkim angažovanjem svih ovih elemenata, podstaći će se društveni razvoj, koji treba da se zasniva na principima jednakosti i dostupnosti, kako bi svi osjetili benefite digitalne transformacije. Ukoliko se očekuje da digitalne tehnologije pomognu u kreiranju boljeg i konkurentnijeg društva, zajedničke inicijative i aktivnosti svih elemenata jednog društva, sa svim specifičnostima koje karakterišu svaki pojedinačni element, učiniće da Crna Gora napreduje u procesu digitalne transformacije i da, zbog svojih specifičnosti, zabilježi brzi rast i razvoj u funkciji kreiranja boljeg i održivog digitalnog društva.  </w:t>
      </w:r>
    </w:p>
    <w:p w14:paraId="108E1821" w14:textId="77777777" w:rsidR="005B3072" w:rsidRDefault="00A46913">
      <w:pPr>
        <w:jc w:val="both"/>
        <w:rPr>
          <w:sz w:val="24"/>
          <w:szCs w:val="24"/>
        </w:rPr>
      </w:pPr>
      <w:r>
        <w:rPr>
          <w:sz w:val="24"/>
          <w:szCs w:val="24"/>
        </w:rPr>
        <w:t>Digitalni razvoj je danas prioritet u gotovo svim zemljama svijeta. Razumijevanje „brzine“</w:t>
      </w:r>
      <w:r w:rsidR="00B464EC">
        <w:rPr>
          <w:sz w:val="24"/>
          <w:szCs w:val="24"/>
        </w:rPr>
        <w:t xml:space="preserve"> </w:t>
      </w:r>
      <w:r>
        <w:rPr>
          <w:sz w:val="24"/>
          <w:szCs w:val="24"/>
        </w:rPr>
        <w:t xml:space="preserve">napretka važnije je od samih referentnih pozicija koje različiti indeksi digitalnog razvoja predstavljaju, jer se uspjeh neće mjeriti samo u poređenju sa drugim već i u odnosu na prethodne faze digitalnog razvoja. U tom smislu, Crna Gora ima potencijalnu prednost jer kao manja država može brzo da reaguje na tehnološke mogućnosti i lakše obezbijedi neophodnu infrastrukturu i to jeste jedan od osnova koji treba iskoristiti u implementaciji ove Strategije. Vizija bržeg razvoja u današnjem digitalnom svijetu je ambiciozan i snažan motivator, ali ona mora počivati na principima poštovanja različitosti, jednakosti i inkluzije. </w:t>
      </w:r>
      <w:r>
        <w:rPr>
          <w:noProof/>
        </w:rPr>
        <w:drawing>
          <wp:anchor distT="114300" distB="114300" distL="114300" distR="114300" simplePos="0" relativeHeight="251665408" behindDoc="0" locked="0" layoutInCell="1" hidden="0" allowOverlap="1" wp14:anchorId="6FA5DCF7" wp14:editId="491AF361">
            <wp:simplePos x="0" y="0"/>
            <wp:positionH relativeFrom="column">
              <wp:posOffset>2757805</wp:posOffset>
            </wp:positionH>
            <wp:positionV relativeFrom="paragraph">
              <wp:posOffset>133350</wp:posOffset>
            </wp:positionV>
            <wp:extent cx="3709988" cy="3235109"/>
            <wp:effectExtent l="0" t="0" r="0" b="0"/>
            <wp:wrapSquare wrapText="bothSides" distT="114300" distB="114300" distL="114300" distR="1143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3709988" cy="3235109"/>
                    </a:xfrm>
                    <a:prstGeom prst="rect">
                      <a:avLst/>
                    </a:prstGeom>
                    <a:ln/>
                  </pic:spPr>
                </pic:pic>
              </a:graphicData>
            </a:graphic>
          </wp:anchor>
        </w:drawing>
      </w:r>
    </w:p>
    <w:p w14:paraId="36405AC4" w14:textId="77777777" w:rsidR="005B3072" w:rsidRDefault="00A46913">
      <w:pPr>
        <w:spacing w:before="240" w:after="240"/>
        <w:jc w:val="both"/>
        <w:rPr>
          <w:sz w:val="24"/>
          <w:szCs w:val="24"/>
        </w:rPr>
      </w:pPr>
      <w:r>
        <w:rPr>
          <w:sz w:val="24"/>
          <w:szCs w:val="24"/>
        </w:rPr>
        <w:t xml:space="preserve">Za bolju izgradnju inkluzivnog digitalnog društva u Crnoj Gori potrebno je obezbijediti jednake uslove za sve građane na putu društva znanja i raditi na prevazilaženju digitalnog jaza u svakom pogledu. Savremeno </w:t>
      </w:r>
      <w:r>
        <w:rPr>
          <w:sz w:val="24"/>
          <w:szCs w:val="24"/>
        </w:rPr>
        <w:lastRenderedPageBreak/>
        <w:t>digitalno društvo mora se graditi na vrijednostima ravnopravnosti, inkluzivnosti, otvorenosti i jednakih šansi za sve. To podrazumijeva da svaki pojedinac mora biti ravnopravan član i korisnik digitalnog ekosistema, ali i da istovremeno mora preuzeti dio odgovornosti za napredak društva čije benefite koristi. Stoga, nužno je integrisati aktivnosti koje smanjuju digitalnu isključenost u svakom pogledu. Iako omogućavanje pristupa informaciono-komunikacionim tehnologijama i servisima može dati jednake šanse svim građanima, to nije jedini garant iskorišćenosti tehnologija i benefita koje pojedinac i društvo u cjelini mogu ostvariti. Potrebno je stoga raditi na podizanju svijesti svih društvenih grupa o mogućnostima koje ove tehnologije pružaju u svakodnevnom životu. Sa druge strane, socijalna i ekonomska isključenost osjetljivih grupa može se prevazići i kreiranjem elektronskih usluga koje će prepoznati doprinos koji ove grupe mogu dati društvu. Imajući u vidu gore navedeno, strateški pravci uključivanja ranjivih i marginalizovanih društvenih grupa moraju se sagledati pojedinačno kroz odgovarajuće aktivnosti u okviru akcionih planova koji će pratiti ovu strategiju.</w:t>
      </w:r>
      <w:r>
        <w:rPr>
          <w:noProof/>
        </w:rPr>
        <w:drawing>
          <wp:anchor distT="114300" distB="114300" distL="114300" distR="114300" simplePos="0" relativeHeight="251666432" behindDoc="0" locked="0" layoutInCell="1" hidden="0" allowOverlap="1" wp14:anchorId="29F7AFA0" wp14:editId="1E19495F">
            <wp:simplePos x="0" y="0"/>
            <wp:positionH relativeFrom="column">
              <wp:posOffset>19051</wp:posOffset>
            </wp:positionH>
            <wp:positionV relativeFrom="paragraph">
              <wp:posOffset>371475</wp:posOffset>
            </wp:positionV>
            <wp:extent cx="4267200" cy="3552825"/>
            <wp:effectExtent l="0" t="0" r="0" b="0"/>
            <wp:wrapSquare wrapText="bothSides" distT="114300" distB="11430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4267200" cy="3552825"/>
                    </a:xfrm>
                    <a:prstGeom prst="rect">
                      <a:avLst/>
                    </a:prstGeom>
                    <a:ln/>
                  </pic:spPr>
                </pic:pic>
              </a:graphicData>
            </a:graphic>
          </wp:anchor>
        </w:drawing>
      </w:r>
    </w:p>
    <w:p w14:paraId="5DE6F48E" w14:textId="77777777" w:rsidR="005B3072" w:rsidRDefault="00A46913">
      <w:pPr>
        <w:rPr>
          <w:sz w:val="24"/>
          <w:szCs w:val="24"/>
        </w:rPr>
      </w:pPr>
      <w:r>
        <w:rPr>
          <w:sz w:val="24"/>
          <w:szCs w:val="24"/>
        </w:rPr>
        <w:t xml:space="preserve">Izazovi u digitalnoj transformaciji Crne Gore koji su identifikovani u Analizi stanja, adresirani su kroz </w:t>
      </w:r>
      <w:r>
        <w:rPr>
          <w:b/>
          <w:sz w:val="24"/>
          <w:szCs w:val="24"/>
        </w:rPr>
        <w:t xml:space="preserve">dva strateška cilja </w:t>
      </w:r>
      <w:r>
        <w:rPr>
          <w:sz w:val="24"/>
          <w:szCs w:val="24"/>
        </w:rPr>
        <w:t xml:space="preserve">koja reflektuju i oslikavaju crnogorsku digitalnu stvarnosti i dalje se kanališu u okviru sedam operativnih ciljeva kroz prioritetne oblasti odnosno grupe aktivnosti u cilju postizanja željenog napretka. </w:t>
      </w:r>
    </w:p>
    <w:p w14:paraId="0040E63F" w14:textId="77777777" w:rsidR="005B3072" w:rsidRDefault="00A46913">
      <w:pPr>
        <w:jc w:val="both"/>
        <w:rPr>
          <w:b/>
          <w:sz w:val="24"/>
          <w:szCs w:val="24"/>
        </w:rPr>
      </w:pPr>
      <w:r>
        <w:rPr>
          <w:sz w:val="24"/>
          <w:szCs w:val="24"/>
        </w:rPr>
        <w:t xml:space="preserve">Prvi strateški cilj stavlja fokus na </w:t>
      </w:r>
      <w:r>
        <w:rPr>
          <w:b/>
          <w:sz w:val="24"/>
          <w:szCs w:val="24"/>
        </w:rPr>
        <w:t>Unapređenje kapaciteta i sposobnosti za digitalnu transformaciju Crne Gore,</w:t>
      </w:r>
      <w:r>
        <w:rPr>
          <w:sz w:val="24"/>
          <w:szCs w:val="24"/>
        </w:rPr>
        <w:t xml:space="preserve"> a drugi na </w:t>
      </w:r>
      <w:r>
        <w:rPr>
          <w:b/>
          <w:sz w:val="24"/>
          <w:szCs w:val="24"/>
        </w:rPr>
        <w:t xml:space="preserve">Jačanje digitalne svijesti crnogorskog društva i digitalne konkurentnosti IKT sektora. </w:t>
      </w:r>
    </w:p>
    <w:p w14:paraId="54CDBFA0" w14:textId="77777777" w:rsidR="005B3072" w:rsidRDefault="005B3072">
      <w:pPr>
        <w:jc w:val="both"/>
        <w:rPr>
          <w:b/>
          <w:sz w:val="24"/>
          <w:szCs w:val="24"/>
        </w:rPr>
      </w:pPr>
    </w:p>
    <w:p w14:paraId="743D3491" w14:textId="77777777" w:rsidR="005B3072" w:rsidRDefault="005B3072">
      <w:pPr>
        <w:jc w:val="both"/>
        <w:rPr>
          <w:b/>
          <w:sz w:val="24"/>
          <w:szCs w:val="24"/>
        </w:rPr>
      </w:pPr>
    </w:p>
    <w:p w14:paraId="6B1685ED" w14:textId="77777777" w:rsidR="005B3072" w:rsidRDefault="005B3072">
      <w:pPr>
        <w:jc w:val="both"/>
        <w:rPr>
          <w:b/>
          <w:sz w:val="24"/>
          <w:szCs w:val="24"/>
        </w:rPr>
      </w:pPr>
    </w:p>
    <w:p w14:paraId="5A1CBAA0" w14:textId="77777777" w:rsidR="005B3072" w:rsidRDefault="005B3072">
      <w:pPr>
        <w:jc w:val="both"/>
        <w:rPr>
          <w:b/>
          <w:sz w:val="24"/>
          <w:szCs w:val="24"/>
        </w:rPr>
      </w:pPr>
    </w:p>
    <w:p w14:paraId="1B306AC3" w14:textId="77777777" w:rsidR="005B3072" w:rsidRDefault="00A46913">
      <w:pPr>
        <w:pStyle w:val="Heading1"/>
        <w:rPr>
          <w:b/>
          <w:color w:val="0070C0"/>
          <w:sz w:val="28"/>
          <w:szCs w:val="28"/>
        </w:rPr>
      </w:pPr>
      <w:bookmarkStart w:id="62" w:name="_3cqmetx" w:colFirst="0" w:colLast="0"/>
      <w:bookmarkEnd w:id="62"/>
      <w:r>
        <w:rPr>
          <w:b/>
          <w:color w:val="0070C0"/>
          <w:sz w:val="28"/>
          <w:szCs w:val="28"/>
        </w:rPr>
        <w:lastRenderedPageBreak/>
        <w:t>IV</w:t>
      </w:r>
      <w:r>
        <w:rPr>
          <w:b/>
          <w:color w:val="0070C0"/>
          <w:sz w:val="28"/>
          <w:szCs w:val="28"/>
        </w:rPr>
        <w:tab/>
        <w:t>STRATEŠKI I OPERATIVNI CILJEVI SA PRATEĆIM INDIKATORIMA</w:t>
      </w:r>
    </w:p>
    <w:p w14:paraId="2B7C7E21" w14:textId="77777777" w:rsidR="005B3072" w:rsidRDefault="005B3072"/>
    <w:p w14:paraId="61FF6FCF" w14:textId="77777777" w:rsidR="005B3072" w:rsidRDefault="00A46913">
      <w:pPr>
        <w:pBdr>
          <w:top w:val="nil"/>
          <w:left w:val="nil"/>
          <w:bottom w:val="nil"/>
          <w:right w:val="nil"/>
          <w:between w:val="nil"/>
        </w:pBdr>
        <w:shd w:val="clear" w:color="auto" w:fill="3CE4BC"/>
        <w:spacing w:before="120" w:after="120" w:line="240" w:lineRule="auto"/>
        <w:rPr>
          <w:color w:val="002060"/>
          <w:sz w:val="28"/>
          <w:szCs w:val="28"/>
        </w:rPr>
      </w:pPr>
      <w:r>
        <w:rPr>
          <w:color w:val="002060"/>
          <w:sz w:val="28"/>
          <w:szCs w:val="28"/>
        </w:rPr>
        <w:t xml:space="preserve">Strateški cilj I: </w:t>
      </w:r>
    </w:p>
    <w:p w14:paraId="1F713E67" w14:textId="77777777" w:rsidR="005B3072" w:rsidRDefault="00A46913">
      <w:pPr>
        <w:pBdr>
          <w:top w:val="nil"/>
          <w:left w:val="nil"/>
          <w:bottom w:val="nil"/>
          <w:right w:val="nil"/>
          <w:between w:val="nil"/>
        </w:pBdr>
        <w:shd w:val="clear" w:color="auto" w:fill="3CE4BC"/>
        <w:spacing w:before="120" w:after="120" w:line="240" w:lineRule="auto"/>
        <w:rPr>
          <w:b/>
          <w:color w:val="FFFFFF"/>
          <w:sz w:val="28"/>
          <w:szCs w:val="28"/>
        </w:rPr>
      </w:pPr>
      <w:r>
        <w:rPr>
          <w:b/>
          <w:color w:val="002060"/>
          <w:sz w:val="28"/>
          <w:szCs w:val="28"/>
        </w:rPr>
        <w:t>Unapređenje kapaciteta i sposobnosti za digitalnu transformaciju Crne Gore</w:t>
      </w:r>
    </w:p>
    <w:p w14:paraId="5673C5F7" w14:textId="77777777" w:rsidR="005B3072" w:rsidRDefault="005B3072">
      <w:pPr>
        <w:jc w:val="both"/>
        <w:rPr>
          <w:sz w:val="24"/>
          <w:szCs w:val="24"/>
        </w:rPr>
      </w:pPr>
    </w:p>
    <w:p w14:paraId="327E78B0" w14:textId="77777777" w:rsidR="005B3072" w:rsidRDefault="00A46913">
      <w:pPr>
        <w:jc w:val="both"/>
        <w:rPr>
          <w:sz w:val="24"/>
          <w:szCs w:val="24"/>
        </w:rPr>
      </w:pPr>
      <w:r>
        <w:rPr>
          <w:sz w:val="24"/>
          <w:szCs w:val="24"/>
        </w:rPr>
        <w:t>Uspješna digitalna transformacija ili dugoročna brza digitalna transformacija mora obuhvatiti sve ključne razvojne elemente tzv. pametnih zajednica.</w:t>
      </w:r>
    </w:p>
    <w:p w14:paraId="38E8B741" w14:textId="77777777" w:rsidR="005B3072" w:rsidRDefault="00A46913">
      <w:pPr>
        <w:jc w:val="both"/>
        <w:rPr>
          <w:sz w:val="24"/>
          <w:szCs w:val="24"/>
        </w:rPr>
      </w:pPr>
      <w:r>
        <w:rPr>
          <w:sz w:val="24"/>
          <w:szCs w:val="24"/>
        </w:rPr>
        <w:t>Ravnomjeran razvoj svih djelova društva obezbjeđuje se kroz koordinisano upravljanje, međusobno povezani procesi smanjuju negativne uticaje silosa i omogućavaju holističke usluge građanima i privredi. Nedvosmislenost, dostupnost i sigurnost podataka su osnovni preduslovi za efikasno funkcionisanje svih usluga i snažnu integraciju u “back-office” sisteme. Moćna i sigurna infrastruktura omogućava stabilnu i brzu implementaciju svih digitalnih rješenja kako bi ona bila uvijek dostupna i pouzdana. Ključni faktor uspjeha je, naravno, znanje krajnjih korisnika digitalnih usluga, znanje zaposlenih koji koriste digitalne sisteme na radnom mjestu i znanje programera koji stvaraju nove usluge i digitalne alate.</w:t>
      </w:r>
    </w:p>
    <w:p w14:paraId="52CAFEBF" w14:textId="77777777" w:rsidR="005B3072" w:rsidRDefault="00A46913" w:rsidP="00362F20">
      <w:pPr>
        <w:jc w:val="both"/>
        <w:rPr>
          <w:b/>
          <w:sz w:val="24"/>
          <w:szCs w:val="24"/>
        </w:rPr>
      </w:pPr>
      <w:r>
        <w:rPr>
          <w:b/>
          <w:sz w:val="24"/>
          <w:szCs w:val="24"/>
        </w:rPr>
        <w:t>Svi faktori uspješnosti unutrašnjeg digitalnog razvoja Crne Gore su adresirani sa četiri operativna cilja.</w:t>
      </w:r>
    </w:p>
    <w:p w14:paraId="509BBFD3" w14:textId="77777777" w:rsidR="005B3072" w:rsidRDefault="00A46913">
      <w:pPr>
        <w:rPr>
          <w:b/>
          <w:sz w:val="24"/>
          <w:szCs w:val="24"/>
        </w:rPr>
      </w:pPr>
      <w:r>
        <w:rPr>
          <w:b/>
          <w:sz w:val="24"/>
          <w:szCs w:val="24"/>
        </w:rPr>
        <w:t>OPERATIVNI CILJ 1.1</w:t>
      </w:r>
    </w:p>
    <w:p w14:paraId="021AE4B6" w14:textId="77777777" w:rsidR="005B3072" w:rsidRDefault="00A46913">
      <w:pPr>
        <w:rPr>
          <w:b/>
          <w:color w:val="002060"/>
          <w:sz w:val="24"/>
          <w:szCs w:val="24"/>
        </w:rPr>
      </w:pPr>
      <w:r>
        <w:rPr>
          <w:b/>
          <w:color w:val="002060"/>
          <w:sz w:val="24"/>
          <w:szCs w:val="24"/>
        </w:rPr>
        <w:t>Efikasna i efektivna koordinacija i praćenje digitalne transformacije</w:t>
      </w:r>
    </w:p>
    <w:p w14:paraId="5CC4D289" w14:textId="77777777" w:rsidR="005B3072" w:rsidRDefault="00A46913">
      <w:pPr>
        <w:jc w:val="both"/>
        <w:rPr>
          <w:sz w:val="24"/>
          <w:szCs w:val="24"/>
        </w:rPr>
      </w:pPr>
      <w:r>
        <w:rPr>
          <w:sz w:val="24"/>
          <w:szCs w:val="24"/>
        </w:rPr>
        <w:t>Digitalnom infrastrukturom, zbog svoje prirode, je neophodno centralno upravljanje i koordiniranje, kako bi se osigurala kompatibilnost i izvršavanje brojnih procesa i tehnologija. Koordinatorska uloga na najširem društvenom nivou, koji obuhvata najmanje sektore privrede, nauke i akademske zajednice, nevladinih organizacija i države, biće u nadležnosti nacionalnog koordinacionog tijela, uspostavljanog na postojećim modelima digitalnih koalicija u inostranstvu. Tako će se obezbijediti uravnotežen razvoj kompatibilnih sistema, korišćenje horizontalnih funkcionalnosti te takođe podstaći proaktivna koordinacija digitalnog razvoja pojedinih segmenata društva. Povećani kvalitet koordinacije i uspostavljeni mehanizmi praćenja napretka digitalne transformacije će takođe obezbijediti veću efikasnost i transparentnost korišćenja resursa te stvoriti i druge sinergijske efekte.</w:t>
      </w:r>
    </w:p>
    <w:tbl>
      <w:tblPr>
        <w:tblStyle w:val="a6"/>
        <w:tblW w:w="10155"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4935"/>
        <w:gridCol w:w="1785"/>
        <w:gridCol w:w="1740"/>
        <w:gridCol w:w="1695"/>
      </w:tblGrid>
      <w:tr w:rsidR="005B3072" w14:paraId="580B253F" w14:textId="77777777">
        <w:trPr>
          <w:trHeight w:val="1019"/>
        </w:trPr>
        <w:tc>
          <w:tcPr>
            <w:tcW w:w="4935" w:type="dxa"/>
            <w:shd w:val="clear" w:color="auto" w:fill="1F4E79"/>
            <w:tcMar>
              <w:left w:w="170" w:type="dxa"/>
            </w:tcMar>
            <w:vAlign w:val="center"/>
          </w:tcPr>
          <w:p w14:paraId="05CDC95C" w14:textId="77777777" w:rsidR="005B3072" w:rsidRDefault="00A46913">
            <w:pPr>
              <w:spacing w:before="40" w:after="40"/>
              <w:ind w:right="144" w:hanging="144"/>
              <w:jc w:val="center"/>
            </w:pPr>
            <w:r>
              <w:rPr>
                <w:b/>
                <w:color w:val="FFFFFF"/>
              </w:rPr>
              <w:t>OPERATIVNI CILJ 1.1</w:t>
            </w:r>
          </w:p>
        </w:tc>
        <w:tc>
          <w:tcPr>
            <w:tcW w:w="5220" w:type="dxa"/>
            <w:gridSpan w:val="3"/>
            <w:shd w:val="clear" w:color="auto" w:fill="1F4E79"/>
            <w:tcMar>
              <w:left w:w="170" w:type="dxa"/>
            </w:tcMar>
            <w:vAlign w:val="center"/>
          </w:tcPr>
          <w:p w14:paraId="42B29501" w14:textId="77777777" w:rsidR="005B3072" w:rsidRDefault="00A46913">
            <w:pPr>
              <w:spacing w:before="40" w:after="40"/>
              <w:ind w:right="144" w:hanging="144"/>
              <w:jc w:val="center"/>
            </w:pPr>
            <w:r>
              <w:rPr>
                <w:b/>
                <w:color w:val="FFFFFF"/>
              </w:rPr>
              <w:t xml:space="preserve"> Efikasna i efektivna koordinacija i praćenje digitalne transformacije</w:t>
            </w:r>
          </w:p>
        </w:tc>
      </w:tr>
      <w:tr w:rsidR="005B3072" w14:paraId="16F5FF19" w14:textId="77777777">
        <w:tc>
          <w:tcPr>
            <w:tcW w:w="4935" w:type="dxa"/>
            <w:shd w:val="clear" w:color="auto" w:fill="DAF2F6"/>
            <w:tcMar>
              <w:left w:w="170" w:type="dxa"/>
            </w:tcMar>
            <w:vAlign w:val="center"/>
          </w:tcPr>
          <w:p w14:paraId="3EA0D294" w14:textId="77777777" w:rsidR="005B3072" w:rsidRDefault="00A46913">
            <w:pPr>
              <w:spacing w:before="40" w:after="40"/>
              <w:ind w:right="144" w:hanging="144"/>
              <w:jc w:val="center"/>
            </w:pPr>
            <w:r>
              <w:rPr>
                <w:b/>
                <w:color w:val="1F4E79"/>
              </w:rPr>
              <w:t>Indikator</w:t>
            </w:r>
          </w:p>
        </w:tc>
        <w:tc>
          <w:tcPr>
            <w:tcW w:w="1785" w:type="dxa"/>
            <w:shd w:val="clear" w:color="auto" w:fill="DAF2F6"/>
            <w:tcMar>
              <w:left w:w="170" w:type="dxa"/>
            </w:tcMar>
            <w:vAlign w:val="center"/>
          </w:tcPr>
          <w:p w14:paraId="3ABB58CC" w14:textId="77777777" w:rsidR="005B3072" w:rsidRDefault="00A46913">
            <w:pPr>
              <w:spacing w:before="40" w:after="40"/>
              <w:ind w:right="144" w:hanging="144"/>
              <w:jc w:val="center"/>
            </w:pPr>
            <w:r>
              <w:rPr>
                <w:b/>
                <w:color w:val="1F4E79"/>
              </w:rPr>
              <w:t>Početna vrijednost</w:t>
            </w:r>
          </w:p>
        </w:tc>
        <w:tc>
          <w:tcPr>
            <w:tcW w:w="1740" w:type="dxa"/>
            <w:shd w:val="clear" w:color="auto" w:fill="DAF2F6"/>
            <w:tcMar>
              <w:left w:w="170" w:type="dxa"/>
            </w:tcMar>
            <w:vAlign w:val="center"/>
          </w:tcPr>
          <w:p w14:paraId="404A6C91" w14:textId="77777777" w:rsidR="005B3072" w:rsidRDefault="00A46913">
            <w:pPr>
              <w:spacing w:before="40" w:after="40"/>
              <w:ind w:right="144" w:hanging="144"/>
              <w:jc w:val="center"/>
            </w:pPr>
            <w:r>
              <w:rPr>
                <w:b/>
                <w:color w:val="1F4E79"/>
              </w:rPr>
              <w:t>Ciljana vrijednost do 2024.</w:t>
            </w:r>
          </w:p>
        </w:tc>
        <w:tc>
          <w:tcPr>
            <w:tcW w:w="1695" w:type="dxa"/>
            <w:shd w:val="clear" w:color="auto" w:fill="DAF2F6"/>
            <w:tcMar>
              <w:left w:w="170" w:type="dxa"/>
            </w:tcMar>
            <w:vAlign w:val="center"/>
          </w:tcPr>
          <w:p w14:paraId="0233C415" w14:textId="77777777" w:rsidR="005B3072" w:rsidRDefault="00A46913">
            <w:pPr>
              <w:spacing w:before="40" w:after="40"/>
              <w:ind w:right="144" w:hanging="144"/>
              <w:jc w:val="center"/>
            </w:pPr>
            <w:r>
              <w:rPr>
                <w:b/>
                <w:color w:val="1F4E79"/>
              </w:rPr>
              <w:t>Ciljana vrijednost do 2026.</w:t>
            </w:r>
          </w:p>
        </w:tc>
      </w:tr>
      <w:tr w:rsidR="005B3072" w14:paraId="1437A3A4" w14:textId="77777777">
        <w:tc>
          <w:tcPr>
            <w:tcW w:w="4935" w:type="dxa"/>
            <w:shd w:val="clear" w:color="auto" w:fill="auto"/>
            <w:tcMar>
              <w:left w:w="170" w:type="dxa"/>
            </w:tcMar>
          </w:tcPr>
          <w:p w14:paraId="76480EAA" w14:textId="77777777" w:rsidR="005B3072" w:rsidRDefault="00A46913">
            <w:pPr>
              <w:spacing w:before="40" w:after="40"/>
              <w:ind w:right="144" w:hanging="144"/>
              <w:jc w:val="center"/>
            </w:pPr>
            <w:r>
              <w:rPr>
                <w:b/>
                <w:color w:val="1F4E79"/>
              </w:rPr>
              <w:t xml:space="preserve">    Procenat prihvaćenih predloga od strane nacionalnog koordinacionog tijela, od ukupnog </w:t>
            </w:r>
            <w:r>
              <w:rPr>
                <w:b/>
                <w:color w:val="1F4E79"/>
              </w:rPr>
              <w:lastRenderedPageBreak/>
              <w:t>broja predloženih od strane sektorskih koordinacionih tijela</w:t>
            </w:r>
          </w:p>
        </w:tc>
        <w:tc>
          <w:tcPr>
            <w:tcW w:w="1785" w:type="dxa"/>
            <w:shd w:val="clear" w:color="auto" w:fill="auto"/>
            <w:tcMar>
              <w:left w:w="170" w:type="dxa"/>
            </w:tcMar>
            <w:vAlign w:val="center"/>
          </w:tcPr>
          <w:p w14:paraId="45678386" w14:textId="77777777" w:rsidR="005B3072" w:rsidRDefault="00A46913">
            <w:pPr>
              <w:spacing w:before="40" w:after="40"/>
              <w:ind w:right="144" w:hanging="144"/>
              <w:jc w:val="center"/>
            </w:pPr>
            <w:r>
              <w:rPr>
                <w:b/>
                <w:color w:val="1F4E79"/>
              </w:rPr>
              <w:lastRenderedPageBreak/>
              <w:t>0</w:t>
            </w:r>
          </w:p>
        </w:tc>
        <w:tc>
          <w:tcPr>
            <w:tcW w:w="1740" w:type="dxa"/>
            <w:shd w:val="clear" w:color="auto" w:fill="auto"/>
            <w:tcMar>
              <w:left w:w="170" w:type="dxa"/>
            </w:tcMar>
            <w:vAlign w:val="center"/>
          </w:tcPr>
          <w:p w14:paraId="2F2D7795" w14:textId="77777777" w:rsidR="005B3072" w:rsidRDefault="00A46913">
            <w:pPr>
              <w:spacing w:before="40" w:after="40"/>
              <w:ind w:right="144" w:hanging="144"/>
              <w:jc w:val="center"/>
            </w:pPr>
            <w:r>
              <w:rPr>
                <w:b/>
                <w:color w:val="1F4E79"/>
              </w:rPr>
              <w:t>70%</w:t>
            </w:r>
          </w:p>
        </w:tc>
        <w:tc>
          <w:tcPr>
            <w:tcW w:w="1695" w:type="dxa"/>
            <w:shd w:val="clear" w:color="auto" w:fill="auto"/>
            <w:tcMar>
              <w:left w:w="170" w:type="dxa"/>
            </w:tcMar>
            <w:vAlign w:val="center"/>
          </w:tcPr>
          <w:p w14:paraId="7E51690A" w14:textId="77777777" w:rsidR="005B3072" w:rsidRDefault="00A46913">
            <w:pPr>
              <w:spacing w:before="40" w:after="40"/>
              <w:ind w:right="144" w:hanging="144"/>
              <w:jc w:val="center"/>
            </w:pPr>
            <w:r>
              <w:rPr>
                <w:b/>
                <w:color w:val="1F4E79"/>
              </w:rPr>
              <w:t>100%</w:t>
            </w:r>
          </w:p>
        </w:tc>
      </w:tr>
      <w:tr w:rsidR="005B3072" w14:paraId="519D5FFD" w14:textId="77777777">
        <w:tc>
          <w:tcPr>
            <w:tcW w:w="4935" w:type="dxa"/>
            <w:shd w:val="clear" w:color="auto" w:fill="auto"/>
            <w:tcMar>
              <w:left w:w="170" w:type="dxa"/>
            </w:tcMar>
          </w:tcPr>
          <w:p w14:paraId="358D798F" w14:textId="77777777" w:rsidR="005B3072" w:rsidRDefault="00A46913">
            <w:pPr>
              <w:spacing w:before="40" w:after="40"/>
              <w:ind w:right="144" w:hanging="144"/>
              <w:jc w:val="center"/>
            </w:pPr>
            <w:r>
              <w:rPr>
                <w:b/>
                <w:color w:val="1F4E79"/>
              </w:rPr>
              <w:lastRenderedPageBreak/>
              <w:t>Procenat usvojenih zaključaka od strane Vlade CG na osnovu preporuka nacionalnog koordinacionog tijela</w:t>
            </w:r>
          </w:p>
        </w:tc>
        <w:tc>
          <w:tcPr>
            <w:tcW w:w="1785" w:type="dxa"/>
            <w:shd w:val="clear" w:color="auto" w:fill="auto"/>
            <w:tcMar>
              <w:left w:w="170" w:type="dxa"/>
            </w:tcMar>
            <w:vAlign w:val="center"/>
          </w:tcPr>
          <w:p w14:paraId="0F7D3885" w14:textId="77777777" w:rsidR="005B3072" w:rsidRDefault="00A46913">
            <w:pPr>
              <w:spacing w:before="40" w:after="40"/>
              <w:ind w:right="144" w:hanging="144"/>
              <w:jc w:val="center"/>
            </w:pPr>
            <w:r>
              <w:rPr>
                <w:b/>
                <w:color w:val="1F4E79"/>
              </w:rPr>
              <w:t>0</w:t>
            </w:r>
          </w:p>
        </w:tc>
        <w:tc>
          <w:tcPr>
            <w:tcW w:w="1740" w:type="dxa"/>
            <w:shd w:val="clear" w:color="auto" w:fill="auto"/>
            <w:tcMar>
              <w:left w:w="170" w:type="dxa"/>
            </w:tcMar>
            <w:vAlign w:val="center"/>
          </w:tcPr>
          <w:p w14:paraId="51EE0A6D" w14:textId="77777777" w:rsidR="005B3072" w:rsidRDefault="00A46913">
            <w:pPr>
              <w:spacing w:before="40" w:after="40"/>
              <w:ind w:right="144" w:hanging="144"/>
              <w:jc w:val="center"/>
            </w:pPr>
            <w:r>
              <w:rPr>
                <w:b/>
                <w:color w:val="1F4E79"/>
              </w:rPr>
              <w:t>80%</w:t>
            </w:r>
          </w:p>
        </w:tc>
        <w:tc>
          <w:tcPr>
            <w:tcW w:w="1695" w:type="dxa"/>
            <w:shd w:val="clear" w:color="auto" w:fill="auto"/>
            <w:tcMar>
              <w:left w:w="170" w:type="dxa"/>
            </w:tcMar>
            <w:vAlign w:val="center"/>
          </w:tcPr>
          <w:p w14:paraId="3412D5B5" w14:textId="77777777" w:rsidR="005B3072" w:rsidRDefault="00A46913">
            <w:pPr>
              <w:spacing w:before="40" w:after="40"/>
              <w:ind w:right="144" w:hanging="144"/>
              <w:jc w:val="center"/>
            </w:pPr>
            <w:r>
              <w:rPr>
                <w:b/>
                <w:color w:val="1F4E79"/>
              </w:rPr>
              <w:t>100%</w:t>
            </w:r>
          </w:p>
        </w:tc>
      </w:tr>
    </w:tbl>
    <w:p w14:paraId="1D784195" w14:textId="77777777" w:rsidR="005B3072" w:rsidRDefault="005B3072">
      <w:pPr>
        <w:jc w:val="both"/>
        <w:rPr>
          <w:sz w:val="24"/>
          <w:szCs w:val="24"/>
        </w:rPr>
      </w:pPr>
    </w:p>
    <w:p w14:paraId="2978AE59" w14:textId="77777777" w:rsidR="005B3072" w:rsidRDefault="00A46913">
      <w:pPr>
        <w:rPr>
          <w:b/>
          <w:sz w:val="24"/>
          <w:szCs w:val="24"/>
        </w:rPr>
      </w:pPr>
      <w:r>
        <w:rPr>
          <w:b/>
          <w:sz w:val="24"/>
          <w:szCs w:val="24"/>
        </w:rPr>
        <w:t>OPERATIVNI CILJ 1.2</w:t>
      </w:r>
      <w:r>
        <w:rPr>
          <w:b/>
          <w:sz w:val="24"/>
          <w:szCs w:val="24"/>
        </w:rPr>
        <w:tab/>
      </w:r>
    </w:p>
    <w:p w14:paraId="15C54F2C" w14:textId="77777777" w:rsidR="005B3072" w:rsidRDefault="00A46913">
      <w:pPr>
        <w:rPr>
          <w:b/>
          <w:color w:val="002060"/>
          <w:sz w:val="24"/>
          <w:szCs w:val="24"/>
        </w:rPr>
      </w:pPr>
      <w:r>
        <w:rPr>
          <w:b/>
          <w:color w:val="002060"/>
          <w:sz w:val="24"/>
          <w:szCs w:val="24"/>
        </w:rPr>
        <w:t>Poboljšanje dostupnosti, interoperabilnosti i upravljanja podacima</w:t>
      </w:r>
    </w:p>
    <w:p w14:paraId="4D7AFF5C" w14:textId="77777777" w:rsidR="005B3072" w:rsidRDefault="00A46913">
      <w:pPr>
        <w:jc w:val="both"/>
        <w:rPr>
          <w:sz w:val="24"/>
          <w:szCs w:val="24"/>
        </w:rPr>
      </w:pPr>
      <w:r>
        <w:rPr>
          <w:sz w:val="24"/>
          <w:szCs w:val="24"/>
        </w:rPr>
        <w:t>Dostupnost kvalitetnih i tačnih podataka je ključni preduslov za kvalitetne digitalne usluge i upravljanje elektronskim i drugim sistemima. Kako bi se navedeno postiglo, neophodno je obezbijediti sveobuhvatan pravni okvir za bezbjednu razmjenu podataka u pogledu prava pristupa, kao i tehničke mogućnosti za bezbjedno skladištenje i razmjenu podataka. Uz dostupnost podataka, strategija aktivno podstiče kreiranje novih digitalnih rješenja koja će iskoristiti potencijal postojećih podataka i to korišćenjem i ponovnom upotrebom podataka. Veća transparentnost i otvorenost podataka pozitivno će uticati na povećanje transparentnosti javnih institucija. Poboljšanje kvaliteta i dostupnosti podataka će rezultirati boljim elektronskim uslugama za građane, preduzeća i državnu upravu i na kraju, ali ne i najmanje važno, značajno poboljšati procese donošenja odluka i planiranja.</w:t>
      </w:r>
    </w:p>
    <w:tbl>
      <w:tblPr>
        <w:tblStyle w:val="a7"/>
        <w:tblW w:w="10163"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4372"/>
        <w:gridCol w:w="1738"/>
        <w:gridCol w:w="1996"/>
        <w:gridCol w:w="2057"/>
      </w:tblGrid>
      <w:tr w:rsidR="005B3072" w14:paraId="5B362657" w14:textId="77777777">
        <w:trPr>
          <w:trHeight w:val="1007"/>
        </w:trPr>
        <w:tc>
          <w:tcPr>
            <w:tcW w:w="4372" w:type="dxa"/>
            <w:shd w:val="clear" w:color="auto" w:fill="1F4E79"/>
            <w:tcMar>
              <w:left w:w="170" w:type="dxa"/>
            </w:tcMar>
            <w:vAlign w:val="center"/>
          </w:tcPr>
          <w:p w14:paraId="02A344FE" w14:textId="77777777" w:rsidR="005B3072" w:rsidRDefault="00A46913">
            <w:pPr>
              <w:spacing w:before="40" w:after="40"/>
              <w:ind w:right="144" w:hanging="144"/>
              <w:jc w:val="center"/>
              <w:rPr>
                <w:b/>
                <w:color w:val="FFFFFF"/>
              </w:rPr>
            </w:pPr>
            <w:r>
              <w:rPr>
                <w:b/>
                <w:color w:val="FFFFFF"/>
              </w:rPr>
              <w:t xml:space="preserve">     OPERATIVNI CILJ 1.2</w:t>
            </w:r>
          </w:p>
        </w:tc>
        <w:tc>
          <w:tcPr>
            <w:tcW w:w="5791" w:type="dxa"/>
            <w:gridSpan w:val="3"/>
            <w:shd w:val="clear" w:color="auto" w:fill="1F4E79"/>
            <w:tcMar>
              <w:left w:w="170" w:type="dxa"/>
            </w:tcMar>
            <w:vAlign w:val="center"/>
          </w:tcPr>
          <w:p w14:paraId="4C9A6C36" w14:textId="77777777" w:rsidR="005B3072" w:rsidRDefault="00A46913">
            <w:pPr>
              <w:spacing w:before="40" w:after="40"/>
              <w:ind w:right="144" w:hanging="144"/>
              <w:jc w:val="center"/>
              <w:rPr>
                <w:b/>
                <w:color w:val="FFFFFF"/>
              </w:rPr>
            </w:pPr>
            <w:r>
              <w:rPr>
                <w:b/>
                <w:color w:val="FFFFFF"/>
              </w:rPr>
              <w:t>Poboljšanje dostupnosti podataka, interoperabilnosti i upravljanje podacima</w:t>
            </w:r>
          </w:p>
        </w:tc>
      </w:tr>
      <w:tr w:rsidR="005B3072" w14:paraId="475B687E" w14:textId="77777777">
        <w:tc>
          <w:tcPr>
            <w:tcW w:w="4372" w:type="dxa"/>
            <w:shd w:val="clear" w:color="auto" w:fill="DAF2F6"/>
            <w:tcMar>
              <w:left w:w="170" w:type="dxa"/>
            </w:tcMar>
            <w:vAlign w:val="center"/>
          </w:tcPr>
          <w:p w14:paraId="4769B677"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Indikator</w:t>
            </w:r>
          </w:p>
        </w:tc>
        <w:tc>
          <w:tcPr>
            <w:tcW w:w="1738" w:type="dxa"/>
            <w:shd w:val="clear" w:color="auto" w:fill="DAF2F6"/>
            <w:tcMar>
              <w:left w:w="170" w:type="dxa"/>
            </w:tcMar>
            <w:vAlign w:val="center"/>
          </w:tcPr>
          <w:p w14:paraId="3D89CB6C"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Početna vrijednost</w:t>
            </w:r>
          </w:p>
        </w:tc>
        <w:tc>
          <w:tcPr>
            <w:tcW w:w="1996" w:type="dxa"/>
            <w:shd w:val="clear" w:color="auto" w:fill="DAF2F6"/>
            <w:tcMar>
              <w:left w:w="170" w:type="dxa"/>
            </w:tcMar>
            <w:vAlign w:val="center"/>
          </w:tcPr>
          <w:p w14:paraId="6A4DC00E"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Ciljana vrijednost do 2024.</w:t>
            </w:r>
          </w:p>
        </w:tc>
        <w:tc>
          <w:tcPr>
            <w:tcW w:w="2057" w:type="dxa"/>
            <w:shd w:val="clear" w:color="auto" w:fill="DAF2F6"/>
            <w:tcMar>
              <w:left w:w="170" w:type="dxa"/>
            </w:tcMar>
            <w:vAlign w:val="center"/>
          </w:tcPr>
          <w:p w14:paraId="43CDC06A"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Ciljana vrijednost do 2026.</w:t>
            </w:r>
          </w:p>
        </w:tc>
      </w:tr>
      <w:tr w:rsidR="005B3072" w14:paraId="48022D58" w14:textId="77777777">
        <w:tc>
          <w:tcPr>
            <w:tcW w:w="4372" w:type="dxa"/>
            <w:shd w:val="clear" w:color="auto" w:fill="auto"/>
            <w:tcMar>
              <w:left w:w="170" w:type="dxa"/>
            </w:tcMar>
          </w:tcPr>
          <w:p w14:paraId="18C47647"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Broj institucija koje objavljuju podatke na Portalu otvorenih podataka</w:t>
            </w:r>
          </w:p>
        </w:tc>
        <w:tc>
          <w:tcPr>
            <w:tcW w:w="1738" w:type="dxa"/>
            <w:shd w:val="clear" w:color="auto" w:fill="auto"/>
            <w:tcMar>
              <w:left w:w="170" w:type="dxa"/>
            </w:tcMar>
            <w:vAlign w:val="center"/>
          </w:tcPr>
          <w:p w14:paraId="43FA46BA"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20</w:t>
            </w:r>
          </w:p>
        </w:tc>
        <w:tc>
          <w:tcPr>
            <w:tcW w:w="1996" w:type="dxa"/>
            <w:shd w:val="clear" w:color="auto" w:fill="auto"/>
            <w:tcMar>
              <w:left w:w="170" w:type="dxa"/>
            </w:tcMar>
            <w:vAlign w:val="center"/>
          </w:tcPr>
          <w:p w14:paraId="73782B9A"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100</w:t>
            </w:r>
          </w:p>
        </w:tc>
        <w:tc>
          <w:tcPr>
            <w:tcW w:w="2057" w:type="dxa"/>
            <w:shd w:val="clear" w:color="auto" w:fill="auto"/>
            <w:tcMar>
              <w:left w:w="170" w:type="dxa"/>
            </w:tcMar>
            <w:vAlign w:val="center"/>
          </w:tcPr>
          <w:p w14:paraId="642DB192"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200</w:t>
            </w:r>
          </w:p>
        </w:tc>
      </w:tr>
      <w:tr w:rsidR="005B3072" w14:paraId="68AF2986" w14:textId="77777777">
        <w:tc>
          <w:tcPr>
            <w:tcW w:w="4372" w:type="dxa"/>
            <w:shd w:val="clear" w:color="auto" w:fill="auto"/>
            <w:tcMar>
              <w:left w:w="170" w:type="dxa"/>
            </w:tcMar>
          </w:tcPr>
          <w:p w14:paraId="169253C0"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Broj elektronskih registara u metaregistru</w:t>
            </w:r>
          </w:p>
        </w:tc>
        <w:tc>
          <w:tcPr>
            <w:tcW w:w="1738" w:type="dxa"/>
            <w:shd w:val="clear" w:color="auto" w:fill="auto"/>
            <w:tcMar>
              <w:left w:w="170" w:type="dxa"/>
            </w:tcMar>
            <w:vAlign w:val="center"/>
          </w:tcPr>
          <w:p w14:paraId="06A3AADF"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12</w:t>
            </w:r>
          </w:p>
        </w:tc>
        <w:tc>
          <w:tcPr>
            <w:tcW w:w="1996" w:type="dxa"/>
            <w:shd w:val="clear" w:color="auto" w:fill="auto"/>
            <w:tcMar>
              <w:left w:w="170" w:type="dxa"/>
            </w:tcMar>
            <w:vAlign w:val="center"/>
          </w:tcPr>
          <w:p w14:paraId="4FDED061"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80</w:t>
            </w:r>
          </w:p>
        </w:tc>
        <w:tc>
          <w:tcPr>
            <w:tcW w:w="2057" w:type="dxa"/>
            <w:shd w:val="clear" w:color="auto" w:fill="auto"/>
            <w:tcMar>
              <w:left w:w="170" w:type="dxa"/>
            </w:tcMar>
            <w:vAlign w:val="center"/>
          </w:tcPr>
          <w:p w14:paraId="31ECE8E3"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150</w:t>
            </w:r>
          </w:p>
        </w:tc>
      </w:tr>
      <w:tr w:rsidR="005B3072" w14:paraId="67D7D023" w14:textId="77777777">
        <w:tc>
          <w:tcPr>
            <w:tcW w:w="4372" w:type="dxa"/>
            <w:shd w:val="clear" w:color="auto" w:fill="auto"/>
            <w:tcMar>
              <w:left w:w="170" w:type="dxa"/>
            </w:tcMar>
          </w:tcPr>
          <w:p w14:paraId="22D8EA73"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 xml:space="preserve">   Procenat eUsluga koje se vode u katalogu usluga elektronske uprave, a koje po jednom upitu mogu prikupiti podatke iz više od jednog registra</w:t>
            </w:r>
          </w:p>
        </w:tc>
        <w:tc>
          <w:tcPr>
            <w:tcW w:w="1738" w:type="dxa"/>
            <w:shd w:val="clear" w:color="auto" w:fill="auto"/>
            <w:tcMar>
              <w:left w:w="170" w:type="dxa"/>
            </w:tcMar>
            <w:vAlign w:val="center"/>
          </w:tcPr>
          <w:p w14:paraId="76A6FF69"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n/a</w:t>
            </w:r>
          </w:p>
        </w:tc>
        <w:tc>
          <w:tcPr>
            <w:tcW w:w="1996" w:type="dxa"/>
            <w:shd w:val="clear" w:color="auto" w:fill="auto"/>
            <w:tcMar>
              <w:left w:w="170" w:type="dxa"/>
            </w:tcMar>
            <w:vAlign w:val="center"/>
          </w:tcPr>
          <w:p w14:paraId="7FA163D7"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10% od svih elektronskih usluga iz kataloga e-usluga</w:t>
            </w:r>
          </w:p>
        </w:tc>
        <w:tc>
          <w:tcPr>
            <w:tcW w:w="2057" w:type="dxa"/>
            <w:shd w:val="clear" w:color="auto" w:fill="auto"/>
            <w:tcMar>
              <w:left w:w="170" w:type="dxa"/>
            </w:tcMar>
            <w:vAlign w:val="center"/>
          </w:tcPr>
          <w:p w14:paraId="6D802351"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20% od svih elektronskih usluga iz kataloga e-usluga</w:t>
            </w:r>
          </w:p>
        </w:tc>
      </w:tr>
    </w:tbl>
    <w:p w14:paraId="5D58B657" w14:textId="77777777" w:rsidR="005B3072" w:rsidRDefault="005B3072">
      <w:pPr>
        <w:jc w:val="both"/>
        <w:rPr>
          <w:sz w:val="24"/>
          <w:szCs w:val="24"/>
        </w:rPr>
      </w:pPr>
    </w:p>
    <w:p w14:paraId="2F580977" w14:textId="77777777" w:rsidR="005B3072" w:rsidRDefault="00A46913">
      <w:pPr>
        <w:rPr>
          <w:b/>
          <w:sz w:val="24"/>
          <w:szCs w:val="24"/>
        </w:rPr>
      </w:pPr>
      <w:r>
        <w:rPr>
          <w:b/>
          <w:sz w:val="24"/>
          <w:szCs w:val="24"/>
        </w:rPr>
        <w:t>OPERATIVNI CILJ 1.3</w:t>
      </w:r>
      <w:r>
        <w:rPr>
          <w:b/>
          <w:sz w:val="24"/>
          <w:szCs w:val="24"/>
        </w:rPr>
        <w:tab/>
      </w:r>
    </w:p>
    <w:p w14:paraId="5F6FD63F" w14:textId="77777777" w:rsidR="005B3072" w:rsidRDefault="00A46913">
      <w:pPr>
        <w:rPr>
          <w:b/>
          <w:color w:val="002060"/>
          <w:sz w:val="24"/>
          <w:szCs w:val="24"/>
        </w:rPr>
      </w:pPr>
      <w:r>
        <w:rPr>
          <w:b/>
          <w:color w:val="002060"/>
          <w:sz w:val="24"/>
          <w:szCs w:val="24"/>
        </w:rPr>
        <w:t>Povećana pokrivenost i modernizacija elektronske komunikacione infrastrukture</w:t>
      </w:r>
    </w:p>
    <w:p w14:paraId="607B1BAE" w14:textId="77777777" w:rsidR="005B3072" w:rsidRDefault="00A46913">
      <w:pPr>
        <w:jc w:val="both"/>
        <w:rPr>
          <w:sz w:val="24"/>
          <w:szCs w:val="24"/>
        </w:rPr>
      </w:pPr>
      <w:r>
        <w:rPr>
          <w:sz w:val="24"/>
          <w:szCs w:val="24"/>
        </w:rPr>
        <w:lastRenderedPageBreak/>
        <w:t>Dostupnost adekvatne IKT infrastrukture je osnova za sve digitalne usluge, kako za njihov razvoj, tako i za njihovu široku upotrebu. Pored digitalnih vještina, infrastruktura je ključni preduslov za široku upotrebu razvijenih digitalnih rješenja. Dakle, strategija predviđa sistematsko planiranje razvoja infrastrukture, predstavljanje novih savremenih tehnologija, sistematsko obezbjeđivanje efikasnih i sigurnih kanala između ključnih subjekata, čime se obezbjeđuje dostupnost tzv. „poslednje milje“ i dovoljan kapacitet okosnice. U obezbjeđivanju infrastrukture veoma je važna promišljena arhitektura na državnom nivou jer osigurava skladan razvoj i saradnju privatnog sektora. Štaviše, upravlja i razvojem manje komercijalno interesantnih djelova komunikacione infrastrukture kroz sistem podsticaja (npr. Finansijski, poreski i dr.). IKT infrastruktura je već definisana kao kritična infrastruktura</w:t>
      </w:r>
      <w:r>
        <w:rPr>
          <w:sz w:val="24"/>
          <w:szCs w:val="24"/>
          <w:vertAlign w:val="superscript"/>
        </w:rPr>
        <w:footnoteReference w:id="72"/>
      </w:r>
      <w:r>
        <w:rPr>
          <w:sz w:val="24"/>
          <w:szCs w:val="24"/>
        </w:rPr>
        <w:t xml:space="preserve"> u Crnoj Gori, pa će se kao takav njen razvoj fokusirati na dostupnost (poslednja milja), bezbjednost (sajber-bezbjednost) i redundantnost.</w:t>
      </w:r>
    </w:p>
    <w:tbl>
      <w:tblPr>
        <w:tblStyle w:val="a8"/>
        <w:tblW w:w="10163"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4159"/>
        <w:gridCol w:w="2000"/>
        <w:gridCol w:w="2000"/>
        <w:gridCol w:w="2004"/>
      </w:tblGrid>
      <w:tr w:rsidR="005B3072" w14:paraId="5683DCA5" w14:textId="77777777">
        <w:trPr>
          <w:trHeight w:val="1187"/>
        </w:trPr>
        <w:tc>
          <w:tcPr>
            <w:tcW w:w="4159" w:type="dxa"/>
            <w:shd w:val="clear" w:color="auto" w:fill="1F4E79"/>
            <w:vAlign w:val="center"/>
          </w:tcPr>
          <w:p w14:paraId="6DE1D885" w14:textId="77777777" w:rsidR="005B3072" w:rsidRDefault="00A46913">
            <w:pPr>
              <w:spacing w:before="40" w:after="40"/>
              <w:ind w:right="144" w:hanging="144"/>
              <w:jc w:val="center"/>
            </w:pPr>
            <w:r>
              <w:rPr>
                <w:b/>
                <w:color w:val="FFFFFF"/>
              </w:rPr>
              <w:t>OPERATIVNI CILJ 1.3</w:t>
            </w:r>
          </w:p>
        </w:tc>
        <w:tc>
          <w:tcPr>
            <w:tcW w:w="6004" w:type="dxa"/>
            <w:gridSpan w:val="3"/>
            <w:shd w:val="clear" w:color="auto" w:fill="1F4E79"/>
            <w:vAlign w:val="center"/>
          </w:tcPr>
          <w:p w14:paraId="0C3C5F41" w14:textId="77777777" w:rsidR="005B3072" w:rsidRDefault="00A46913">
            <w:pPr>
              <w:spacing w:before="40" w:after="40"/>
              <w:ind w:right="144" w:hanging="144"/>
              <w:jc w:val="center"/>
            </w:pPr>
            <w:r>
              <w:rPr>
                <w:b/>
                <w:color w:val="FFFFFF"/>
              </w:rPr>
              <w:t xml:space="preserve">   Povećana pokrivenost i modernizacija elektronske komunikacioneinfrastrukture</w:t>
            </w:r>
          </w:p>
          <w:p w14:paraId="031EFAB0" w14:textId="77777777" w:rsidR="005B3072" w:rsidRDefault="005B3072"/>
        </w:tc>
      </w:tr>
      <w:tr w:rsidR="005B3072" w14:paraId="07CA8A14" w14:textId="77777777">
        <w:tc>
          <w:tcPr>
            <w:tcW w:w="4159" w:type="dxa"/>
            <w:shd w:val="clear" w:color="auto" w:fill="DAF2F6"/>
            <w:tcMar>
              <w:left w:w="227" w:type="dxa"/>
            </w:tcMar>
            <w:vAlign w:val="center"/>
          </w:tcPr>
          <w:p w14:paraId="1BB49451" w14:textId="77777777" w:rsidR="005B3072" w:rsidRDefault="00A46913">
            <w:pPr>
              <w:spacing w:before="40" w:after="40"/>
              <w:ind w:right="144" w:hanging="144"/>
              <w:jc w:val="center"/>
            </w:pPr>
            <w:r>
              <w:rPr>
                <w:b/>
                <w:color w:val="1F4E79"/>
              </w:rPr>
              <w:t>Indikator</w:t>
            </w:r>
          </w:p>
        </w:tc>
        <w:tc>
          <w:tcPr>
            <w:tcW w:w="2000" w:type="dxa"/>
            <w:shd w:val="clear" w:color="auto" w:fill="DAF2F6"/>
            <w:tcMar>
              <w:left w:w="227" w:type="dxa"/>
            </w:tcMar>
            <w:vAlign w:val="center"/>
          </w:tcPr>
          <w:p w14:paraId="79AAA0E5" w14:textId="77777777" w:rsidR="005B3072" w:rsidRDefault="00A46913">
            <w:pPr>
              <w:spacing w:before="40" w:after="40"/>
              <w:ind w:right="144" w:hanging="144"/>
              <w:jc w:val="center"/>
            </w:pPr>
            <w:r>
              <w:rPr>
                <w:b/>
                <w:color w:val="1F4E79"/>
              </w:rPr>
              <w:t>Početna vrijednost</w:t>
            </w:r>
          </w:p>
        </w:tc>
        <w:tc>
          <w:tcPr>
            <w:tcW w:w="2000" w:type="dxa"/>
            <w:shd w:val="clear" w:color="auto" w:fill="DAF2F6"/>
            <w:tcMar>
              <w:left w:w="227" w:type="dxa"/>
            </w:tcMar>
            <w:vAlign w:val="center"/>
          </w:tcPr>
          <w:p w14:paraId="21EB573F" w14:textId="77777777" w:rsidR="005B3072" w:rsidRDefault="00A46913">
            <w:pPr>
              <w:spacing w:before="40" w:after="40"/>
              <w:ind w:right="144" w:hanging="144"/>
              <w:jc w:val="center"/>
            </w:pPr>
            <w:r>
              <w:rPr>
                <w:b/>
                <w:color w:val="1F4E79"/>
              </w:rPr>
              <w:t>Ciljana vrijednost do 2024.</w:t>
            </w:r>
          </w:p>
        </w:tc>
        <w:tc>
          <w:tcPr>
            <w:tcW w:w="2004" w:type="dxa"/>
            <w:shd w:val="clear" w:color="auto" w:fill="DAF2F6"/>
            <w:tcMar>
              <w:left w:w="227" w:type="dxa"/>
            </w:tcMar>
            <w:vAlign w:val="center"/>
          </w:tcPr>
          <w:p w14:paraId="5C7ECEA5" w14:textId="77777777" w:rsidR="005B3072" w:rsidRDefault="00A46913">
            <w:pPr>
              <w:spacing w:before="40" w:after="40"/>
              <w:ind w:right="144" w:hanging="144"/>
              <w:jc w:val="center"/>
            </w:pPr>
            <w:r>
              <w:rPr>
                <w:b/>
                <w:color w:val="1F4E79"/>
              </w:rPr>
              <w:t>Ciljana vrijednost do 2026.</w:t>
            </w:r>
          </w:p>
        </w:tc>
      </w:tr>
      <w:tr w:rsidR="005B3072" w14:paraId="4DB14F01" w14:textId="77777777">
        <w:trPr>
          <w:trHeight w:val="258"/>
        </w:trPr>
        <w:tc>
          <w:tcPr>
            <w:tcW w:w="4159" w:type="dxa"/>
            <w:shd w:val="clear" w:color="auto" w:fill="auto"/>
          </w:tcPr>
          <w:p w14:paraId="001FD798" w14:textId="77777777" w:rsidR="005B3072" w:rsidRDefault="00A46913">
            <w:pPr>
              <w:spacing w:before="40" w:after="40"/>
              <w:ind w:right="144" w:hanging="144"/>
              <w:jc w:val="center"/>
            </w:pPr>
            <w:r>
              <w:rPr>
                <w:b/>
                <w:color w:val="1F4E79"/>
              </w:rPr>
              <w:t>Udio građana koji koriste internet</w:t>
            </w:r>
          </w:p>
        </w:tc>
        <w:tc>
          <w:tcPr>
            <w:tcW w:w="2000" w:type="dxa"/>
            <w:shd w:val="clear" w:color="auto" w:fill="auto"/>
          </w:tcPr>
          <w:p w14:paraId="609E89C7" w14:textId="77777777" w:rsidR="005B3072" w:rsidRDefault="00A46913">
            <w:pPr>
              <w:spacing w:before="40" w:after="40"/>
              <w:ind w:right="144" w:hanging="144"/>
              <w:jc w:val="center"/>
            </w:pPr>
            <w:r>
              <w:rPr>
                <w:b/>
                <w:color w:val="1F4E79"/>
              </w:rPr>
              <w:t>82,2%</w:t>
            </w:r>
          </w:p>
        </w:tc>
        <w:tc>
          <w:tcPr>
            <w:tcW w:w="2000" w:type="dxa"/>
            <w:shd w:val="clear" w:color="auto" w:fill="auto"/>
          </w:tcPr>
          <w:p w14:paraId="3D1893E7" w14:textId="77777777" w:rsidR="005B3072" w:rsidRDefault="00A46913">
            <w:pPr>
              <w:spacing w:before="40" w:after="40"/>
              <w:ind w:right="144" w:hanging="144"/>
              <w:jc w:val="center"/>
            </w:pPr>
            <w:r>
              <w:rPr>
                <w:b/>
                <w:color w:val="1F4E79"/>
              </w:rPr>
              <w:t>86%</w:t>
            </w:r>
          </w:p>
        </w:tc>
        <w:tc>
          <w:tcPr>
            <w:tcW w:w="2004" w:type="dxa"/>
            <w:shd w:val="clear" w:color="auto" w:fill="auto"/>
          </w:tcPr>
          <w:p w14:paraId="72EEC966" w14:textId="77777777" w:rsidR="005B3072" w:rsidRDefault="00A46913">
            <w:pPr>
              <w:spacing w:before="40" w:after="40"/>
              <w:ind w:right="144" w:hanging="144"/>
              <w:jc w:val="center"/>
            </w:pPr>
            <w:r>
              <w:rPr>
                <w:b/>
                <w:color w:val="1F4E79"/>
              </w:rPr>
              <w:t>89%</w:t>
            </w:r>
          </w:p>
        </w:tc>
      </w:tr>
      <w:tr w:rsidR="005B3072" w14:paraId="4D75548A" w14:textId="77777777">
        <w:tc>
          <w:tcPr>
            <w:tcW w:w="4159" w:type="dxa"/>
            <w:shd w:val="clear" w:color="auto" w:fill="auto"/>
          </w:tcPr>
          <w:p w14:paraId="2630CA6F" w14:textId="77777777" w:rsidR="005B3072" w:rsidRDefault="00A46913">
            <w:pPr>
              <w:spacing w:before="40" w:after="40"/>
              <w:ind w:right="144" w:hanging="144"/>
              <w:jc w:val="center"/>
            </w:pPr>
            <w:r>
              <w:rPr>
                <w:b/>
                <w:color w:val="1F4E79"/>
              </w:rPr>
              <w:t xml:space="preserve">   Procenat pokrivenosti domaćinstava fiksnim BB-om brzinom od 100Mbps+</w:t>
            </w:r>
          </w:p>
        </w:tc>
        <w:tc>
          <w:tcPr>
            <w:tcW w:w="2000" w:type="dxa"/>
            <w:shd w:val="clear" w:color="auto" w:fill="auto"/>
          </w:tcPr>
          <w:p w14:paraId="38D2BB79" w14:textId="77777777" w:rsidR="005B3072" w:rsidRDefault="00A46913">
            <w:pPr>
              <w:spacing w:before="40" w:after="40"/>
              <w:ind w:right="144" w:hanging="144"/>
              <w:jc w:val="center"/>
            </w:pPr>
            <w:r>
              <w:rPr>
                <w:b/>
                <w:color w:val="1F4E79"/>
              </w:rPr>
              <w:t>76,7%</w:t>
            </w:r>
          </w:p>
        </w:tc>
        <w:tc>
          <w:tcPr>
            <w:tcW w:w="2000" w:type="dxa"/>
            <w:shd w:val="clear" w:color="auto" w:fill="auto"/>
          </w:tcPr>
          <w:p w14:paraId="076EDED0" w14:textId="77777777" w:rsidR="005B3072" w:rsidRDefault="00A46913">
            <w:pPr>
              <w:spacing w:before="40" w:after="40"/>
              <w:ind w:right="144" w:hanging="144"/>
              <w:jc w:val="center"/>
            </w:pPr>
            <w:r>
              <w:rPr>
                <w:b/>
                <w:color w:val="1F4E79"/>
              </w:rPr>
              <w:t>81.6%</w:t>
            </w:r>
          </w:p>
        </w:tc>
        <w:tc>
          <w:tcPr>
            <w:tcW w:w="2004" w:type="dxa"/>
            <w:shd w:val="clear" w:color="auto" w:fill="auto"/>
          </w:tcPr>
          <w:p w14:paraId="43667A79" w14:textId="77777777" w:rsidR="005B3072" w:rsidRDefault="00A46913">
            <w:pPr>
              <w:spacing w:before="40" w:after="40"/>
              <w:ind w:right="144" w:hanging="144"/>
              <w:jc w:val="center"/>
            </w:pPr>
            <w:r>
              <w:rPr>
                <w:b/>
                <w:color w:val="1F4E79"/>
              </w:rPr>
              <w:t>86,4%</w:t>
            </w:r>
          </w:p>
        </w:tc>
      </w:tr>
      <w:tr w:rsidR="005B3072" w14:paraId="58B25071" w14:textId="77777777">
        <w:tc>
          <w:tcPr>
            <w:tcW w:w="4159" w:type="dxa"/>
            <w:shd w:val="clear" w:color="auto" w:fill="auto"/>
          </w:tcPr>
          <w:p w14:paraId="29391125" w14:textId="77777777" w:rsidR="005B3072" w:rsidRDefault="00A46913">
            <w:pPr>
              <w:spacing w:before="40" w:after="40"/>
              <w:ind w:right="144" w:hanging="144"/>
              <w:jc w:val="center"/>
              <w:rPr>
                <w:b/>
                <w:color w:val="1F4E79"/>
              </w:rPr>
            </w:pPr>
            <w:r>
              <w:rPr>
                <w:b/>
                <w:color w:val="1F4E79"/>
              </w:rPr>
              <w:t>Procenat pokrivenosti stanovništva mobilnim BB-om brzinom od 10 Mb/s+</w:t>
            </w:r>
          </w:p>
        </w:tc>
        <w:tc>
          <w:tcPr>
            <w:tcW w:w="2000" w:type="dxa"/>
            <w:shd w:val="clear" w:color="auto" w:fill="auto"/>
          </w:tcPr>
          <w:p w14:paraId="0D537835" w14:textId="77777777" w:rsidR="005B3072" w:rsidRDefault="00A46913">
            <w:pPr>
              <w:spacing w:before="40" w:after="40"/>
              <w:ind w:right="144" w:hanging="144"/>
              <w:jc w:val="center"/>
              <w:rPr>
                <w:b/>
                <w:color w:val="1F4E79"/>
              </w:rPr>
            </w:pPr>
            <w:r>
              <w:rPr>
                <w:b/>
                <w:color w:val="1F4E79"/>
              </w:rPr>
              <w:t>97,2%</w:t>
            </w:r>
          </w:p>
        </w:tc>
        <w:tc>
          <w:tcPr>
            <w:tcW w:w="2000" w:type="dxa"/>
            <w:shd w:val="clear" w:color="auto" w:fill="auto"/>
          </w:tcPr>
          <w:p w14:paraId="563752D5" w14:textId="77777777" w:rsidR="005B3072" w:rsidRDefault="00A46913">
            <w:pPr>
              <w:spacing w:before="40" w:after="40"/>
              <w:ind w:right="144" w:hanging="144"/>
              <w:jc w:val="center"/>
              <w:rPr>
                <w:b/>
                <w:color w:val="1F4E79"/>
              </w:rPr>
            </w:pPr>
            <w:r>
              <w:rPr>
                <w:b/>
                <w:color w:val="1F4E79"/>
              </w:rPr>
              <w:t>98%</w:t>
            </w:r>
          </w:p>
        </w:tc>
        <w:tc>
          <w:tcPr>
            <w:tcW w:w="2004" w:type="dxa"/>
            <w:shd w:val="clear" w:color="auto" w:fill="auto"/>
          </w:tcPr>
          <w:p w14:paraId="23719D75" w14:textId="77777777" w:rsidR="005B3072" w:rsidRDefault="00A46913">
            <w:pPr>
              <w:spacing w:before="40" w:after="40"/>
              <w:ind w:right="144" w:hanging="144"/>
              <w:jc w:val="center"/>
              <w:rPr>
                <w:b/>
                <w:color w:val="1F4E79"/>
              </w:rPr>
            </w:pPr>
            <w:r>
              <w:rPr>
                <w:b/>
                <w:color w:val="1F4E79"/>
              </w:rPr>
              <w:t>99%</w:t>
            </w:r>
          </w:p>
        </w:tc>
      </w:tr>
    </w:tbl>
    <w:p w14:paraId="4BC4EF11" w14:textId="77777777" w:rsidR="005B3072" w:rsidRDefault="005B3072">
      <w:pPr>
        <w:jc w:val="both"/>
        <w:rPr>
          <w:sz w:val="24"/>
          <w:szCs w:val="24"/>
        </w:rPr>
      </w:pPr>
    </w:p>
    <w:p w14:paraId="5D144E38" w14:textId="77777777" w:rsidR="005B3072" w:rsidRDefault="00A46913">
      <w:pPr>
        <w:rPr>
          <w:b/>
          <w:sz w:val="24"/>
          <w:szCs w:val="24"/>
        </w:rPr>
      </w:pPr>
      <w:r>
        <w:rPr>
          <w:b/>
          <w:sz w:val="24"/>
          <w:szCs w:val="24"/>
        </w:rPr>
        <w:t>OPERATIVNI CILJ 1.4</w:t>
      </w:r>
      <w:r>
        <w:rPr>
          <w:b/>
          <w:sz w:val="24"/>
          <w:szCs w:val="24"/>
        </w:rPr>
        <w:tab/>
      </w:r>
    </w:p>
    <w:p w14:paraId="6F099B86" w14:textId="77777777" w:rsidR="005B3072" w:rsidRDefault="00A46913">
      <w:pPr>
        <w:rPr>
          <w:b/>
          <w:color w:val="002060"/>
          <w:sz w:val="24"/>
          <w:szCs w:val="24"/>
        </w:rPr>
      </w:pPr>
      <w:r>
        <w:rPr>
          <w:b/>
          <w:color w:val="002060"/>
          <w:sz w:val="24"/>
          <w:szCs w:val="24"/>
        </w:rPr>
        <w:t>Razvoj i unapređenje digitalnih znanja i vještina crnogorskog društva</w:t>
      </w:r>
    </w:p>
    <w:p w14:paraId="5EA05412" w14:textId="77777777" w:rsidR="005B3072" w:rsidRDefault="00A46913">
      <w:pPr>
        <w:jc w:val="both"/>
      </w:pPr>
      <w:r>
        <w:rPr>
          <w:sz w:val="24"/>
          <w:szCs w:val="24"/>
        </w:rPr>
        <w:t xml:space="preserve">Dostupna infrastruktura, pristupačne usluge i aktuelne potrebe pojedinaca ili organizacija nisu dovoljni za široku upotrebu digitalnih rješenja ako nije uspostavljen adekvatan nivo vještina. Digitalne vještine treba razvijati u najranijim fazama školovanja, a kasnije nadograđivati kroz srednjoškolsko obrazovanje i zatim tokom tercijalnog obrazovanja razvijati konkretne kvalifikacije. Formalni dio obrazovanja do tercijalnog unapređivaće se i pratiti kroz aktivnosti </w:t>
      </w:r>
      <w:r>
        <w:rPr>
          <w:i/>
          <w:sz w:val="24"/>
          <w:szCs w:val="24"/>
        </w:rPr>
        <w:t xml:space="preserve">Strategije za digitalizaciju obrazovnog sistema, te u skladu sa tim </w:t>
      </w:r>
      <w:r>
        <w:rPr>
          <w:sz w:val="24"/>
          <w:szCs w:val="24"/>
        </w:rPr>
        <w:t xml:space="preserve">Strategija digitalne transformacije posebno prepoznaje tri odvojene grupe digitalnog znanja koje treba ojačati, a to su: korisnici, službenici i programeri. U cilju povećanja nivoa digitalnih vještina, Strategijom su definisane aktivnosti u oblasti formalnog obrazovanja, doživotnog učenja za sve ciljne grupe građana i </w:t>
      </w:r>
      <w:r>
        <w:rPr>
          <w:sz w:val="24"/>
          <w:szCs w:val="24"/>
        </w:rPr>
        <w:lastRenderedPageBreak/>
        <w:t>niz aktivnosti koje se odnose na podizanje vještina zaposlenih u javnom i privatnom sektoru. Značajno mjesto pripada i povećanju procenta zaposlenih žena/IT stručnjakinja, kao i jačanja</w:t>
      </w:r>
      <w:r>
        <w:t xml:space="preserve"> </w:t>
      </w:r>
      <w:r>
        <w:rPr>
          <w:sz w:val="24"/>
          <w:szCs w:val="24"/>
        </w:rPr>
        <w:t xml:space="preserve">nivoa znanja i vještina u oblastima STEM-a i digitalne transformacije. Važan dio obezbjeđivanja znanja i vještina (naročito u grupi „programera“ IKT rešenja) je i sistem podsticaja za jačanje karijerne orijentacije. U javnom sektoru, kroz unapređenje platforme digitalnog učenja (e-Learning) u Upravi za kadrove, ali i za planiranje i dizajn specifičnih kurseva za nadogradnju vještina službenika koji pružaju digitalne usluge, gradiće se digitalno znanje i usvajati digitalne vještine neophodne za efikasno sprovođenje digitalne transformacije. Digitalna pismenost na različitim nivoima složenosti i za različite namjene jedna je od ključnih konkurentskih prednosti savremenog društva u savremenom svijetu, te će stoga Crna Gora pojačati napore za stvaranje uslova za dugoročan i brz digitalni razvoj. </w:t>
      </w:r>
    </w:p>
    <w:tbl>
      <w:tblPr>
        <w:tblStyle w:val="a9"/>
        <w:tblW w:w="10163"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4096"/>
        <w:gridCol w:w="2022"/>
        <w:gridCol w:w="2022"/>
        <w:gridCol w:w="2023"/>
      </w:tblGrid>
      <w:tr w:rsidR="005B3072" w14:paraId="30B7A43B" w14:textId="77777777">
        <w:trPr>
          <w:trHeight w:val="827"/>
        </w:trPr>
        <w:tc>
          <w:tcPr>
            <w:tcW w:w="4096" w:type="dxa"/>
            <w:shd w:val="clear" w:color="auto" w:fill="1F4E79"/>
            <w:vAlign w:val="center"/>
          </w:tcPr>
          <w:p w14:paraId="47C62210" w14:textId="77777777" w:rsidR="005B3072" w:rsidRDefault="00A46913">
            <w:pPr>
              <w:spacing w:before="40" w:after="40"/>
              <w:ind w:right="144" w:hanging="144"/>
              <w:jc w:val="center"/>
            </w:pPr>
            <w:r>
              <w:t xml:space="preserve">     </w:t>
            </w:r>
            <w:r>
              <w:rPr>
                <w:b/>
                <w:color w:val="FFFFFF"/>
              </w:rPr>
              <w:t>OPERATIVNI CILJ 1.4</w:t>
            </w:r>
          </w:p>
        </w:tc>
        <w:tc>
          <w:tcPr>
            <w:tcW w:w="6067" w:type="dxa"/>
            <w:gridSpan w:val="3"/>
            <w:shd w:val="clear" w:color="auto" w:fill="1F4E79"/>
            <w:vAlign w:val="center"/>
          </w:tcPr>
          <w:p w14:paraId="17158C64" w14:textId="77777777" w:rsidR="005B3072" w:rsidRDefault="00A46913">
            <w:pPr>
              <w:spacing w:before="40" w:after="40"/>
              <w:ind w:right="144" w:hanging="144"/>
              <w:jc w:val="center"/>
            </w:pPr>
            <w:r>
              <w:t xml:space="preserve">     </w:t>
            </w:r>
            <w:r>
              <w:rPr>
                <w:b/>
                <w:color w:val="FFFFFF"/>
              </w:rPr>
              <w:t>Razvoj i unapređenje digitalnih znanja i vještina crnogorskog društva</w:t>
            </w:r>
          </w:p>
        </w:tc>
      </w:tr>
      <w:tr w:rsidR="005B3072" w14:paraId="4830DE37" w14:textId="77777777">
        <w:tc>
          <w:tcPr>
            <w:tcW w:w="4096" w:type="dxa"/>
            <w:shd w:val="clear" w:color="auto" w:fill="DAF2F6"/>
            <w:tcMar>
              <w:left w:w="227" w:type="dxa"/>
            </w:tcMar>
            <w:vAlign w:val="center"/>
          </w:tcPr>
          <w:p w14:paraId="1024455A" w14:textId="77777777" w:rsidR="005B3072" w:rsidRDefault="00A46913">
            <w:pPr>
              <w:spacing w:before="40" w:after="40"/>
              <w:ind w:right="144" w:hanging="144"/>
              <w:jc w:val="center"/>
            </w:pPr>
            <w:r>
              <w:rPr>
                <w:b/>
                <w:color w:val="1F4E79"/>
              </w:rPr>
              <w:t>Indikator</w:t>
            </w:r>
          </w:p>
        </w:tc>
        <w:tc>
          <w:tcPr>
            <w:tcW w:w="2022" w:type="dxa"/>
            <w:shd w:val="clear" w:color="auto" w:fill="DAF2F6"/>
            <w:tcMar>
              <w:left w:w="227" w:type="dxa"/>
            </w:tcMar>
            <w:vAlign w:val="center"/>
          </w:tcPr>
          <w:p w14:paraId="5A853FF9" w14:textId="77777777" w:rsidR="005B3072" w:rsidRDefault="00A46913">
            <w:pPr>
              <w:spacing w:before="40" w:after="40"/>
              <w:ind w:right="144" w:hanging="144"/>
              <w:jc w:val="center"/>
            </w:pPr>
            <w:r>
              <w:rPr>
                <w:b/>
                <w:color w:val="1F4E79"/>
              </w:rPr>
              <w:t>Početna vrijednost</w:t>
            </w:r>
          </w:p>
        </w:tc>
        <w:tc>
          <w:tcPr>
            <w:tcW w:w="2022" w:type="dxa"/>
            <w:shd w:val="clear" w:color="auto" w:fill="DAF2F6"/>
            <w:tcMar>
              <w:left w:w="227" w:type="dxa"/>
            </w:tcMar>
            <w:vAlign w:val="center"/>
          </w:tcPr>
          <w:p w14:paraId="44F408BA" w14:textId="77777777" w:rsidR="005B3072" w:rsidRDefault="00A46913">
            <w:pPr>
              <w:spacing w:before="40" w:after="40"/>
              <w:ind w:right="144" w:hanging="144"/>
              <w:jc w:val="center"/>
            </w:pPr>
            <w:r>
              <w:rPr>
                <w:b/>
                <w:color w:val="1F4E79"/>
              </w:rPr>
              <w:t>Ciljana vrijednost do 2024.</w:t>
            </w:r>
          </w:p>
        </w:tc>
        <w:tc>
          <w:tcPr>
            <w:tcW w:w="2023" w:type="dxa"/>
            <w:shd w:val="clear" w:color="auto" w:fill="DAF2F6"/>
            <w:tcMar>
              <w:left w:w="227" w:type="dxa"/>
            </w:tcMar>
            <w:vAlign w:val="center"/>
          </w:tcPr>
          <w:p w14:paraId="60FF962B" w14:textId="77777777" w:rsidR="005B3072" w:rsidRDefault="00A46913">
            <w:pPr>
              <w:spacing w:before="40" w:after="40"/>
              <w:ind w:right="144" w:hanging="144"/>
              <w:jc w:val="center"/>
            </w:pPr>
            <w:r>
              <w:rPr>
                <w:b/>
                <w:color w:val="1F4E79"/>
              </w:rPr>
              <w:t>Ciljana vrijednost do 2026.</w:t>
            </w:r>
          </w:p>
        </w:tc>
      </w:tr>
      <w:tr w:rsidR="005B3072" w14:paraId="41566434" w14:textId="77777777">
        <w:tc>
          <w:tcPr>
            <w:tcW w:w="4096" w:type="dxa"/>
            <w:shd w:val="clear" w:color="auto" w:fill="auto"/>
          </w:tcPr>
          <w:p w14:paraId="15C9C1B8" w14:textId="77777777" w:rsidR="005B3072" w:rsidRDefault="00A46913">
            <w:pPr>
              <w:spacing w:before="40" w:after="40"/>
              <w:ind w:right="144" w:hanging="144"/>
              <w:jc w:val="center"/>
            </w:pPr>
            <w:r>
              <w:rPr>
                <w:b/>
                <w:color w:val="1F4E79"/>
              </w:rPr>
              <w:t xml:space="preserve">    Procenat diplomiranih studenata studijskih programa iz oblasti IT-ja u odnosu na ukupan broj diplomiranih studenata na svim univerzitetima</w:t>
            </w:r>
          </w:p>
        </w:tc>
        <w:tc>
          <w:tcPr>
            <w:tcW w:w="2022" w:type="dxa"/>
            <w:shd w:val="clear" w:color="auto" w:fill="auto"/>
            <w:vAlign w:val="center"/>
          </w:tcPr>
          <w:p w14:paraId="78196C3C" w14:textId="77777777" w:rsidR="005B3072" w:rsidRDefault="00A46913">
            <w:pPr>
              <w:spacing w:before="40" w:after="40"/>
              <w:ind w:right="144" w:hanging="144"/>
              <w:jc w:val="center"/>
            </w:pPr>
            <w:r>
              <w:rPr>
                <w:b/>
                <w:color w:val="1F4E79"/>
              </w:rPr>
              <w:t>8%</w:t>
            </w:r>
          </w:p>
        </w:tc>
        <w:tc>
          <w:tcPr>
            <w:tcW w:w="2022" w:type="dxa"/>
            <w:shd w:val="clear" w:color="auto" w:fill="auto"/>
            <w:vAlign w:val="center"/>
          </w:tcPr>
          <w:p w14:paraId="025A2313" w14:textId="77777777" w:rsidR="005B3072" w:rsidRDefault="00A46913">
            <w:pPr>
              <w:spacing w:before="40" w:after="40"/>
              <w:ind w:right="144" w:hanging="144"/>
              <w:jc w:val="center"/>
            </w:pPr>
            <w:r>
              <w:rPr>
                <w:b/>
                <w:color w:val="1F4E79"/>
              </w:rPr>
              <w:t>12%</w:t>
            </w:r>
          </w:p>
        </w:tc>
        <w:tc>
          <w:tcPr>
            <w:tcW w:w="2023" w:type="dxa"/>
            <w:shd w:val="clear" w:color="auto" w:fill="auto"/>
            <w:vAlign w:val="center"/>
          </w:tcPr>
          <w:p w14:paraId="57004B52" w14:textId="77777777" w:rsidR="005B3072" w:rsidRDefault="00A46913">
            <w:pPr>
              <w:spacing w:before="40" w:after="40"/>
              <w:ind w:right="144" w:hanging="144"/>
              <w:jc w:val="center"/>
            </w:pPr>
            <w:r>
              <w:rPr>
                <w:b/>
                <w:color w:val="1F4E79"/>
              </w:rPr>
              <w:t>15%</w:t>
            </w:r>
          </w:p>
        </w:tc>
      </w:tr>
      <w:tr w:rsidR="005B3072" w14:paraId="18774373" w14:textId="77777777">
        <w:tc>
          <w:tcPr>
            <w:tcW w:w="4096" w:type="dxa"/>
            <w:shd w:val="clear" w:color="auto" w:fill="auto"/>
          </w:tcPr>
          <w:p w14:paraId="2A4F0073" w14:textId="77777777" w:rsidR="005B3072" w:rsidRDefault="00A46913">
            <w:pPr>
              <w:spacing w:before="40" w:after="40"/>
              <w:ind w:right="144" w:hanging="144"/>
              <w:jc w:val="center"/>
              <w:rPr>
                <w:color w:val="FF0000"/>
              </w:rPr>
            </w:pPr>
            <w:r>
              <w:rPr>
                <w:b/>
                <w:color w:val="1F4E79"/>
              </w:rPr>
              <w:t xml:space="preserve">  </w:t>
            </w:r>
            <w:r>
              <w:rPr>
                <w:b/>
                <w:color w:val="FF0000"/>
              </w:rPr>
              <w:t xml:space="preserve"> </w:t>
            </w:r>
            <w:r>
              <w:rPr>
                <w:b/>
                <w:color w:val="1F4E79"/>
              </w:rPr>
              <w:t>Broj obučenih građana/ki iz osjetljive grupe građana koji su pohađali obuke za ICT kod organizatora obrazovanja odraslih</w:t>
            </w:r>
          </w:p>
        </w:tc>
        <w:tc>
          <w:tcPr>
            <w:tcW w:w="2022" w:type="dxa"/>
            <w:shd w:val="clear" w:color="auto" w:fill="auto"/>
            <w:vAlign w:val="center"/>
          </w:tcPr>
          <w:p w14:paraId="33D10249"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0</w:t>
            </w:r>
          </w:p>
        </w:tc>
        <w:tc>
          <w:tcPr>
            <w:tcW w:w="2022" w:type="dxa"/>
            <w:shd w:val="clear" w:color="auto" w:fill="auto"/>
            <w:vAlign w:val="center"/>
          </w:tcPr>
          <w:p w14:paraId="7451816F"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300</w:t>
            </w:r>
          </w:p>
        </w:tc>
        <w:tc>
          <w:tcPr>
            <w:tcW w:w="2023" w:type="dxa"/>
            <w:shd w:val="clear" w:color="auto" w:fill="auto"/>
            <w:vAlign w:val="center"/>
          </w:tcPr>
          <w:p w14:paraId="75DF7422" w14:textId="77777777" w:rsidR="005B3072" w:rsidRDefault="00A46913">
            <w:pPr>
              <w:pBdr>
                <w:top w:val="nil"/>
                <w:left w:val="nil"/>
                <w:bottom w:val="nil"/>
                <w:right w:val="nil"/>
                <w:between w:val="nil"/>
              </w:pBdr>
              <w:spacing w:before="40" w:after="40"/>
              <w:ind w:right="144" w:hanging="144"/>
              <w:jc w:val="center"/>
              <w:rPr>
                <w:b/>
                <w:color w:val="1F4E79"/>
              </w:rPr>
            </w:pPr>
            <w:r>
              <w:rPr>
                <w:b/>
                <w:color w:val="1F4E79"/>
              </w:rPr>
              <w:t>600</w:t>
            </w:r>
          </w:p>
        </w:tc>
      </w:tr>
    </w:tbl>
    <w:p w14:paraId="32635970" w14:textId="77777777" w:rsidR="005B3072" w:rsidRDefault="005B3072">
      <w:pPr>
        <w:jc w:val="both"/>
      </w:pPr>
    </w:p>
    <w:p w14:paraId="286ADC2E" w14:textId="77777777" w:rsidR="005B3072" w:rsidRDefault="00A46913">
      <w:pPr>
        <w:pBdr>
          <w:top w:val="nil"/>
          <w:left w:val="nil"/>
          <w:bottom w:val="nil"/>
          <w:right w:val="nil"/>
          <w:between w:val="nil"/>
        </w:pBdr>
        <w:shd w:val="clear" w:color="auto" w:fill="3CE4BC"/>
        <w:spacing w:before="120" w:after="120" w:line="240" w:lineRule="auto"/>
        <w:rPr>
          <w:b/>
          <w:sz w:val="28"/>
          <w:szCs w:val="28"/>
        </w:rPr>
      </w:pPr>
      <w:r>
        <w:rPr>
          <w:b/>
          <w:sz w:val="28"/>
          <w:szCs w:val="28"/>
        </w:rPr>
        <w:t>Strateški cilj II:</w:t>
      </w:r>
    </w:p>
    <w:p w14:paraId="268D96EC" w14:textId="77777777" w:rsidR="005B3072" w:rsidRDefault="00A46913">
      <w:pPr>
        <w:pBdr>
          <w:top w:val="nil"/>
          <w:left w:val="nil"/>
          <w:bottom w:val="nil"/>
          <w:right w:val="nil"/>
          <w:between w:val="nil"/>
        </w:pBdr>
        <w:shd w:val="clear" w:color="auto" w:fill="3CE4BC"/>
        <w:spacing w:before="120" w:after="120" w:line="240" w:lineRule="auto"/>
        <w:rPr>
          <w:b/>
          <w:sz w:val="28"/>
          <w:szCs w:val="28"/>
        </w:rPr>
      </w:pPr>
      <w:r>
        <w:rPr>
          <w:b/>
          <w:sz w:val="28"/>
          <w:szCs w:val="28"/>
        </w:rPr>
        <w:t>Jačanje digitalne svijesti crnogorskog društva i digitalne konkurentnosti IKT sektora</w:t>
      </w:r>
    </w:p>
    <w:p w14:paraId="20E396C8" w14:textId="77777777" w:rsidR="005B3072" w:rsidRDefault="005B3072">
      <w:pPr>
        <w:pBdr>
          <w:top w:val="nil"/>
          <w:left w:val="nil"/>
          <w:bottom w:val="nil"/>
          <w:right w:val="nil"/>
          <w:between w:val="nil"/>
        </w:pBdr>
        <w:spacing w:before="120" w:after="120" w:line="240" w:lineRule="auto"/>
        <w:rPr>
          <w:b/>
          <w:color w:val="1F4E79"/>
          <w:sz w:val="28"/>
          <w:szCs w:val="28"/>
        </w:rPr>
      </w:pPr>
    </w:p>
    <w:p w14:paraId="561C2F3A" w14:textId="77777777" w:rsidR="005B3072" w:rsidRDefault="00A46913">
      <w:pPr>
        <w:jc w:val="both"/>
        <w:rPr>
          <w:sz w:val="24"/>
          <w:szCs w:val="24"/>
        </w:rPr>
      </w:pPr>
      <w:r>
        <w:rPr>
          <w:sz w:val="24"/>
          <w:szCs w:val="24"/>
        </w:rPr>
        <w:t xml:space="preserve">Realnost realizacije velikog dijela strateških dokumenata često nije sjajna jer se mnogi ciljevi, iako dobro planirani i realni, često ne ostvaruju, a mjere ne donose željene efekte. U oblasti digitalizacije među stručnjacima nema sumnje u neophodnost i opravdanost razvoja i korišćenja savremenih digitalnih rješenja, ali se ovaj cilj ne može ostvariti ukoliko šira javnost ne prepozna sopstvene i kolektivne koristi od razvijenog digitalnog okruženja i njegovu široku upotrebu. U Analizi stanja, svijest o značaju digitalnog razvoja identifikovana je kao jedan od ključnih izazova. Sa ovim strateškim ciljem, posebna pažnja posvećena je elektronskim servisima, koji predstavljaju veliki potencijal za unapređenje efikasnosti javne uprave kao sistema, kao i za unapređenje usluga ka građanima i privredi. Razvoj IKT industrije je sistematski adresiran i aktivnosti imaju za cilj da doprinesu povećanju dodate vrijednosti, poboljšanju strukture zaposlenih, smanjenje odliva mozgova i privlačenje talenata i iz inostranstva. Pošto je dobro </w:t>
      </w:r>
      <w:r>
        <w:rPr>
          <w:sz w:val="24"/>
          <w:szCs w:val="24"/>
        </w:rPr>
        <w:lastRenderedPageBreak/>
        <w:t>razvijen IKT sektor jedna od ključnih pokretačkih snaga za modernizaciju cjelokupne privrede, mjere su usmjerene i na razvoj lokalnog IKT sektora i njegovu ulogu u razvoju IKT infrastrukture.</w:t>
      </w:r>
    </w:p>
    <w:p w14:paraId="124CA33B" w14:textId="77777777" w:rsidR="005B3072" w:rsidRDefault="00A46913">
      <w:pPr>
        <w:jc w:val="both"/>
        <w:rPr>
          <w:b/>
          <w:sz w:val="24"/>
          <w:szCs w:val="24"/>
        </w:rPr>
      </w:pPr>
      <w:r>
        <w:rPr>
          <w:b/>
          <w:sz w:val="24"/>
          <w:szCs w:val="24"/>
        </w:rPr>
        <w:t xml:space="preserve">Dakle, drugi strateški cilj naglašava važnost svijesti, razumijevanja i djelovanja kako građana tako i privrede, uz sistemsko unapređenje elektronskih servisa i jačanje IKT sektora. </w:t>
      </w:r>
    </w:p>
    <w:p w14:paraId="211EDC23" w14:textId="77777777" w:rsidR="005B3072" w:rsidRDefault="00A46913">
      <w:pPr>
        <w:rPr>
          <w:b/>
          <w:sz w:val="24"/>
          <w:szCs w:val="24"/>
        </w:rPr>
      </w:pPr>
      <w:r>
        <w:rPr>
          <w:b/>
          <w:sz w:val="24"/>
          <w:szCs w:val="24"/>
        </w:rPr>
        <w:t>OPERATIVNI CILJ 2.1</w:t>
      </w:r>
    </w:p>
    <w:p w14:paraId="37EFEC0E" w14:textId="77777777" w:rsidR="005B3072" w:rsidRDefault="00A46913">
      <w:pPr>
        <w:rPr>
          <w:b/>
          <w:color w:val="002060"/>
          <w:sz w:val="24"/>
          <w:szCs w:val="24"/>
        </w:rPr>
      </w:pPr>
      <w:r>
        <w:rPr>
          <w:b/>
          <w:color w:val="002060"/>
          <w:sz w:val="24"/>
          <w:szCs w:val="24"/>
        </w:rPr>
        <w:t>Podizanje svijesti građana i privrede o važnosti digitalnog razvoja</w:t>
      </w:r>
    </w:p>
    <w:p w14:paraId="0A3F978D" w14:textId="77777777" w:rsidR="005B3072" w:rsidRDefault="00A46913">
      <w:pPr>
        <w:jc w:val="both"/>
      </w:pPr>
      <w:r>
        <w:rPr>
          <w:sz w:val="24"/>
          <w:szCs w:val="24"/>
        </w:rPr>
        <w:t>Razumijevanje neophodnosti i prednosti digitalnog razvoja u najširem smislu ne treba olako shvatati. Razumijevanje se takođe ne može povećati samo sporadičnim saopštavanjem zajedničkih koristi. Pošto je digitalna transformacija dugotrajan proces koji zahtijeva široku mobilizaciju ljudi i svih vrsta organizacija, ovaj operativni cilj se bavi sistematskom konceptualizacijom i planiranjem argumenata, komunikacionih kanala, ključnih poruka i njihovih nosilaca u vidu sveobuhvatne komunikacione kampanje. To će omogućiti ciljanije i koordinisanije povećanje razumijevanja fizičkih i pravnih lica o individualnim i kolektivnim prednostima digitalizacije. Takođe, važno je pružiti potrebnu pažnju i organizaciji kampanja u cilju promocije pristupačnog i bezbjednog digitalnog društva za žene i djevojčice. Da bi se ovaj cilj efikasno postigao, neophodno je da različiti entiteti saopštavaju sinhrone poruke i ističu iste prednosti kroz različite kanale na različite načine. S tim ciljem je predviđena i pojačana unutrašnja koordinacija unutar državne uprave.</w:t>
      </w:r>
    </w:p>
    <w:tbl>
      <w:tblPr>
        <w:tblStyle w:val="aa"/>
        <w:tblW w:w="10163"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3104"/>
        <w:gridCol w:w="1976"/>
        <w:gridCol w:w="2540"/>
        <w:gridCol w:w="2543"/>
      </w:tblGrid>
      <w:tr w:rsidR="005B3072" w14:paraId="0E6A0EF8" w14:textId="77777777">
        <w:trPr>
          <w:trHeight w:val="827"/>
        </w:trPr>
        <w:tc>
          <w:tcPr>
            <w:tcW w:w="3104" w:type="dxa"/>
            <w:shd w:val="clear" w:color="auto" w:fill="1F4E79"/>
            <w:tcMar>
              <w:left w:w="170" w:type="dxa"/>
            </w:tcMar>
            <w:vAlign w:val="center"/>
          </w:tcPr>
          <w:p w14:paraId="44A5B41F" w14:textId="77777777" w:rsidR="005B3072" w:rsidRDefault="00A46913">
            <w:pPr>
              <w:spacing w:before="40" w:after="40"/>
              <w:ind w:right="144" w:hanging="144"/>
              <w:jc w:val="center"/>
            </w:pPr>
            <w:r>
              <w:rPr>
                <w:b/>
                <w:color w:val="FFFFFF"/>
              </w:rPr>
              <w:t>OPERATIVNI CILJ 2.1</w:t>
            </w:r>
          </w:p>
        </w:tc>
        <w:tc>
          <w:tcPr>
            <w:tcW w:w="7059" w:type="dxa"/>
            <w:gridSpan w:val="3"/>
            <w:shd w:val="clear" w:color="auto" w:fill="1F4E79"/>
            <w:tcMar>
              <w:left w:w="170" w:type="dxa"/>
            </w:tcMar>
            <w:vAlign w:val="center"/>
          </w:tcPr>
          <w:p w14:paraId="23FBD012" w14:textId="77777777" w:rsidR="005B3072" w:rsidRDefault="00A46913">
            <w:pPr>
              <w:spacing w:before="40" w:after="40"/>
              <w:ind w:right="144" w:hanging="144"/>
              <w:jc w:val="center"/>
            </w:pPr>
            <w:r>
              <w:rPr>
                <w:b/>
                <w:color w:val="FFFFFF"/>
              </w:rPr>
              <w:t xml:space="preserve">    Podizanje svijesti građana i privrede o važnosti digitalnog razvoja</w:t>
            </w:r>
          </w:p>
        </w:tc>
      </w:tr>
      <w:tr w:rsidR="005B3072" w14:paraId="6DDF8E6C" w14:textId="77777777">
        <w:tc>
          <w:tcPr>
            <w:tcW w:w="3104" w:type="dxa"/>
            <w:shd w:val="clear" w:color="auto" w:fill="DAF2F6"/>
            <w:tcMar>
              <w:left w:w="170" w:type="dxa"/>
            </w:tcMar>
            <w:vAlign w:val="center"/>
          </w:tcPr>
          <w:p w14:paraId="15CCFE10" w14:textId="77777777" w:rsidR="005B3072" w:rsidRDefault="00A46913">
            <w:pPr>
              <w:spacing w:before="40" w:after="40"/>
              <w:ind w:right="144" w:hanging="144"/>
              <w:jc w:val="center"/>
            </w:pPr>
            <w:r>
              <w:rPr>
                <w:b/>
                <w:color w:val="1F4E79"/>
              </w:rPr>
              <w:t>Indikator</w:t>
            </w:r>
          </w:p>
        </w:tc>
        <w:tc>
          <w:tcPr>
            <w:tcW w:w="1976" w:type="dxa"/>
            <w:shd w:val="clear" w:color="auto" w:fill="DAF2F6"/>
            <w:tcMar>
              <w:left w:w="170" w:type="dxa"/>
            </w:tcMar>
            <w:vAlign w:val="center"/>
          </w:tcPr>
          <w:p w14:paraId="743B679A" w14:textId="77777777" w:rsidR="005B3072" w:rsidRDefault="00A46913">
            <w:pPr>
              <w:spacing w:before="40" w:after="40"/>
              <w:ind w:right="144" w:hanging="144"/>
              <w:jc w:val="center"/>
            </w:pPr>
            <w:r>
              <w:rPr>
                <w:b/>
                <w:color w:val="1F4E79"/>
              </w:rPr>
              <w:t>Početna vrijednost</w:t>
            </w:r>
          </w:p>
        </w:tc>
        <w:tc>
          <w:tcPr>
            <w:tcW w:w="2540" w:type="dxa"/>
            <w:shd w:val="clear" w:color="auto" w:fill="DAF2F6"/>
            <w:tcMar>
              <w:left w:w="170" w:type="dxa"/>
            </w:tcMar>
            <w:vAlign w:val="center"/>
          </w:tcPr>
          <w:p w14:paraId="26027D34" w14:textId="77777777" w:rsidR="005B3072" w:rsidRDefault="00A46913">
            <w:pPr>
              <w:spacing w:before="40" w:after="40"/>
              <w:ind w:right="144" w:hanging="144"/>
              <w:jc w:val="center"/>
            </w:pPr>
            <w:r>
              <w:rPr>
                <w:b/>
                <w:color w:val="1F4E79"/>
              </w:rPr>
              <w:t>Ciljana vrijednost do 2024.</w:t>
            </w:r>
          </w:p>
        </w:tc>
        <w:tc>
          <w:tcPr>
            <w:tcW w:w="2543" w:type="dxa"/>
            <w:shd w:val="clear" w:color="auto" w:fill="DAF2F6"/>
            <w:tcMar>
              <w:left w:w="170" w:type="dxa"/>
            </w:tcMar>
            <w:vAlign w:val="center"/>
          </w:tcPr>
          <w:p w14:paraId="4889E9EA" w14:textId="77777777" w:rsidR="005B3072" w:rsidRDefault="00A46913">
            <w:pPr>
              <w:spacing w:before="40" w:after="40"/>
              <w:ind w:right="144" w:hanging="144"/>
              <w:jc w:val="center"/>
            </w:pPr>
            <w:r>
              <w:rPr>
                <w:b/>
                <w:color w:val="1F4E79"/>
              </w:rPr>
              <w:t>Ciljana vrijednost do 2026.</w:t>
            </w:r>
          </w:p>
        </w:tc>
      </w:tr>
      <w:tr w:rsidR="005B3072" w14:paraId="452AD5E1" w14:textId="77777777">
        <w:tc>
          <w:tcPr>
            <w:tcW w:w="3104" w:type="dxa"/>
            <w:shd w:val="clear" w:color="auto" w:fill="auto"/>
            <w:tcMar>
              <w:left w:w="170" w:type="dxa"/>
            </w:tcMar>
          </w:tcPr>
          <w:p w14:paraId="3467ABF6" w14:textId="77777777" w:rsidR="005B3072" w:rsidRDefault="00A46913">
            <w:pPr>
              <w:spacing w:before="40" w:after="40"/>
              <w:ind w:right="144" w:hanging="144"/>
              <w:jc w:val="center"/>
            </w:pPr>
            <w:r>
              <w:rPr>
                <w:b/>
                <w:color w:val="1F4E79"/>
              </w:rPr>
              <w:t>Procenat državnih organa koji su aktivno uključeni u komunikacionoj kampanji</w:t>
            </w:r>
          </w:p>
        </w:tc>
        <w:tc>
          <w:tcPr>
            <w:tcW w:w="1976" w:type="dxa"/>
            <w:shd w:val="clear" w:color="auto" w:fill="auto"/>
            <w:tcMar>
              <w:left w:w="170" w:type="dxa"/>
            </w:tcMar>
          </w:tcPr>
          <w:p w14:paraId="083CD769" w14:textId="77777777" w:rsidR="005B3072" w:rsidRDefault="00A46913">
            <w:pPr>
              <w:spacing w:before="40" w:after="40"/>
              <w:ind w:right="144" w:hanging="144"/>
              <w:jc w:val="center"/>
            </w:pPr>
            <w:r>
              <w:rPr>
                <w:b/>
                <w:color w:val="1F4E79"/>
              </w:rPr>
              <w:t>/</w:t>
            </w:r>
          </w:p>
        </w:tc>
        <w:tc>
          <w:tcPr>
            <w:tcW w:w="2540" w:type="dxa"/>
            <w:shd w:val="clear" w:color="auto" w:fill="auto"/>
            <w:tcMar>
              <w:left w:w="170" w:type="dxa"/>
            </w:tcMar>
          </w:tcPr>
          <w:p w14:paraId="21207EDC" w14:textId="77777777" w:rsidR="005B3072" w:rsidRDefault="00A46913">
            <w:pPr>
              <w:spacing w:before="40" w:after="40"/>
              <w:ind w:right="144" w:hanging="144"/>
              <w:jc w:val="center"/>
            </w:pPr>
            <w:r>
              <w:rPr>
                <w:b/>
                <w:color w:val="1F4E79"/>
              </w:rPr>
              <w:t>50% državnih organa u odnosu na ukupan broj</w:t>
            </w:r>
          </w:p>
        </w:tc>
        <w:tc>
          <w:tcPr>
            <w:tcW w:w="2543" w:type="dxa"/>
            <w:shd w:val="clear" w:color="auto" w:fill="auto"/>
            <w:tcMar>
              <w:left w:w="170" w:type="dxa"/>
            </w:tcMar>
          </w:tcPr>
          <w:p w14:paraId="76AF7BBC" w14:textId="77777777" w:rsidR="005B3072" w:rsidRDefault="00A46913">
            <w:pPr>
              <w:spacing w:before="40" w:after="40"/>
              <w:ind w:right="144" w:hanging="144"/>
              <w:jc w:val="center"/>
            </w:pPr>
            <w:r>
              <w:rPr>
                <w:b/>
                <w:color w:val="1F4E79"/>
              </w:rPr>
              <w:t>75% državnih organa u odnosu na ukupan broj</w:t>
            </w:r>
          </w:p>
        </w:tc>
      </w:tr>
      <w:tr w:rsidR="005B3072" w14:paraId="5A459085" w14:textId="77777777">
        <w:tc>
          <w:tcPr>
            <w:tcW w:w="3104" w:type="dxa"/>
            <w:shd w:val="clear" w:color="auto" w:fill="auto"/>
            <w:tcMar>
              <w:left w:w="170" w:type="dxa"/>
            </w:tcMar>
          </w:tcPr>
          <w:p w14:paraId="175BF8E0" w14:textId="77777777" w:rsidR="005B3072" w:rsidRDefault="00A46913">
            <w:pPr>
              <w:spacing w:before="40" w:after="40"/>
              <w:ind w:right="144" w:hanging="144"/>
              <w:jc w:val="center"/>
            </w:pPr>
            <w:r>
              <w:rPr>
                <w:b/>
                <w:color w:val="1F4E79"/>
              </w:rPr>
              <w:t xml:space="preserve">   Procenat građana informisanih o dostupnosti i načinu korišćenja elektronskih usluga</w:t>
            </w:r>
          </w:p>
        </w:tc>
        <w:tc>
          <w:tcPr>
            <w:tcW w:w="1976" w:type="dxa"/>
            <w:shd w:val="clear" w:color="auto" w:fill="auto"/>
            <w:tcMar>
              <w:left w:w="170" w:type="dxa"/>
            </w:tcMar>
          </w:tcPr>
          <w:p w14:paraId="3E675E93" w14:textId="77777777" w:rsidR="005B3072" w:rsidRDefault="00A46913">
            <w:pPr>
              <w:spacing w:before="40" w:after="40"/>
              <w:ind w:right="144" w:hanging="144"/>
              <w:jc w:val="center"/>
            </w:pPr>
            <w:r>
              <w:rPr>
                <w:b/>
                <w:color w:val="1F4E79"/>
              </w:rPr>
              <w:t>22% građana sebe smatra uglavnom ili potpuno upoznatim sa elektronskim uslugama</w:t>
            </w:r>
          </w:p>
        </w:tc>
        <w:tc>
          <w:tcPr>
            <w:tcW w:w="2540" w:type="dxa"/>
            <w:shd w:val="clear" w:color="auto" w:fill="auto"/>
            <w:tcMar>
              <w:left w:w="170" w:type="dxa"/>
            </w:tcMar>
          </w:tcPr>
          <w:p w14:paraId="1EA405E5" w14:textId="77777777" w:rsidR="005B3072" w:rsidRDefault="00A46913">
            <w:pPr>
              <w:spacing w:before="40" w:after="40"/>
              <w:ind w:right="144" w:hanging="144"/>
              <w:jc w:val="center"/>
            </w:pPr>
            <w:r>
              <w:rPr>
                <w:b/>
                <w:color w:val="1F4E79"/>
              </w:rPr>
              <w:t>45% građana sebe smatra uglavnom ili potpuno upoznatim sa elektronskim uslugama</w:t>
            </w:r>
          </w:p>
        </w:tc>
        <w:tc>
          <w:tcPr>
            <w:tcW w:w="2543" w:type="dxa"/>
            <w:shd w:val="clear" w:color="auto" w:fill="auto"/>
            <w:tcMar>
              <w:left w:w="170" w:type="dxa"/>
            </w:tcMar>
          </w:tcPr>
          <w:p w14:paraId="1582E987" w14:textId="77777777" w:rsidR="005B3072" w:rsidRDefault="00A46913">
            <w:pPr>
              <w:spacing w:before="40" w:after="40"/>
              <w:ind w:right="144" w:hanging="144"/>
              <w:jc w:val="center"/>
            </w:pPr>
            <w:r>
              <w:rPr>
                <w:b/>
                <w:color w:val="1F4E79"/>
              </w:rPr>
              <w:t>65% građana sebe smatra uglavnom ili potpuno upoznatim sa elektronskim uslugama</w:t>
            </w:r>
          </w:p>
        </w:tc>
      </w:tr>
      <w:tr w:rsidR="005B3072" w14:paraId="4186D5E1" w14:textId="77777777">
        <w:tc>
          <w:tcPr>
            <w:tcW w:w="3104" w:type="dxa"/>
            <w:shd w:val="clear" w:color="auto" w:fill="auto"/>
            <w:tcMar>
              <w:left w:w="170" w:type="dxa"/>
            </w:tcMar>
          </w:tcPr>
          <w:p w14:paraId="39C62C29" w14:textId="77777777" w:rsidR="005B3072" w:rsidRDefault="00A46913">
            <w:pPr>
              <w:spacing w:before="40" w:after="40"/>
              <w:ind w:right="144" w:hanging="144"/>
              <w:jc w:val="center"/>
            </w:pPr>
            <w:r>
              <w:rPr>
                <w:b/>
                <w:color w:val="1F4E79"/>
              </w:rPr>
              <w:t>Procenat informisanosti privrede o dostupnosti i načinu korišćenja elektronskih usluga</w:t>
            </w:r>
          </w:p>
        </w:tc>
        <w:tc>
          <w:tcPr>
            <w:tcW w:w="1976" w:type="dxa"/>
            <w:shd w:val="clear" w:color="auto" w:fill="auto"/>
            <w:tcMar>
              <w:left w:w="170" w:type="dxa"/>
            </w:tcMar>
          </w:tcPr>
          <w:p w14:paraId="029905AD" w14:textId="77777777" w:rsidR="005B3072" w:rsidRDefault="00A46913">
            <w:pPr>
              <w:spacing w:before="40" w:after="40"/>
              <w:ind w:right="144" w:hanging="144"/>
              <w:jc w:val="center"/>
            </w:pPr>
            <w:r>
              <w:rPr>
                <w:b/>
                <w:color w:val="1F4E79"/>
              </w:rPr>
              <w:t xml:space="preserve">87% privrede sebe smatra uglavnom ili potpuno upoznatim sa </w:t>
            </w:r>
            <w:r>
              <w:rPr>
                <w:b/>
                <w:color w:val="1F4E79"/>
              </w:rPr>
              <w:lastRenderedPageBreak/>
              <w:t>elektronskim uslugama</w:t>
            </w:r>
          </w:p>
        </w:tc>
        <w:tc>
          <w:tcPr>
            <w:tcW w:w="2540" w:type="dxa"/>
            <w:shd w:val="clear" w:color="auto" w:fill="auto"/>
            <w:tcMar>
              <w:left w:w="170" w:type="dxa"/>
            </w:tcMar>
          </w:tcPr>
          <w:p w14:paraId="437B7D16" w14:textId="77777777" w:rsidR="005B3072" w:rsidRDefault="00A46913">
            <w:pPr>
              <w:spacing w:before="40" w:after="40"/>
              <w:ind w:right="144" w:hanging="144"/>
              <w:jc w:val="center"/>
            </w:pPr>
            <w:r>
              <w:rPr>
                <w:b/>
                <w:color w:val="1F4E79"/>
              </w:rPr>
              <w:lastRenderedPageBreak/>
              <w:t>90% privrede sebe smatra uglavnom ili potpuno upoznatim sa elektronskim uslugama</w:t>
            </w:r>
          </w:p>
        </w:tc>
        <w:tc>
          <w:tcPr>
            <w:tcW w:w="2543" w:type="dxa"/>
            <w:shd w:val="clear" w:color="auto" w:fill="auto"/>
            <w:tcMar>
              <w:left w:w="170" w:type="dxa"/>
            </w:tcMar>
          </w:tcPr>
          <w:p w14:paraId="737A9A85" w14:textId="77777777" w:rsidR="005B3072" w:rsidRDefault="00A46913">
            <w:pPr>
              <w:spacing w:before="40" w:after="40"/>
              <w:ind w:right="144" w:hanging="144"/>
              <w:jc w:val="center"/>
            </w:pPr>
            <w:r>
              <w:rPr>
                <w:b/>
                <w:color w:val="1F4E79"/>
              </w:rPr>
              <w:t>95% privrede sebe smatra uglavnom ili potpuno upoznatim sa elektronskim uslugama</w:t>
            </w:r>
          </w:p>
        </w:tc>
      </w:tr>
    </w:tbl>
    <w:p w14:paraId="6CC7F26D" w14:textId="77777777" w:rsidR="005B3072" w:rsidRDefault="005B3072">
      <w:pPr>
        <w:jc w:val="both"/>
      </w:pPr>
    </w:p>
    <w:p w14:paraId="4DAC29B2" w14:textId="77777777" w:rsidR="005B3072" w:rsidRDefault="00A46913">
      <w:pPr>
        <w:rPr>
          <w:b/>
          <w:sz w:val="24"/>
          <w:szCs w:val="24"/>
        </w:rPr>
      </w:pPr>
      <w:r>
        <w:rPr>
          <w:b/>
          <w:sz w:val="24"/>
          <w:szCs w:val="24"/>
        </w:rPr>
        <w:t>OPERATIVNI CILJ 2.2</w:t>
      </w:r>
    </w:p>
    <w:p w14:paraId="60C8734B" w14:textId="77777777" w:rsidR="005B3072" w:rsidRDefault="00A46913">
      <w:pPr>
        <w:jc w:val="both"/>
        <w:rPr>
          <w:b/>
          <w:color w:val="002060"/>
          <w:sz w:val="24"/>
          <w:szCs w:val="24"/>
        </w:rPr>
      </w:pPr>
      <w:r>
        <w:rPr>
          <w:b/>
          <w:color w:val="002060"/>
          <w:sz w:val="24"/>
          <w:szCs w:val="24"/>
        </w:rPr>
        <w:t>Unapređenje kvaliteta, količine i upotreba e-usluga</w:t>
      </w:r>
    </w:p>
    <w:p w14:paraId="04FBF817" w14:textId="77777777" w:rsidR="005B3072" w:rsidRDefault="00A46913">
      <w:pPr>
        <w:jc w:val="both"/>
        <w:rPr>
          <w:rFonts w:ascii="Arial" w:eastAsia="Arial" w:hAnsi="Arial" w:cs="Arial"/>
          <w:sz w:val="24"/>
          <w:szCs w:val="24"/>
        </w:rPr>
      </w:pPr>
      <w:r>
        <w:rPr>
          <w:sz w:val="24"/>
          <w:szCs w:val="24"/>
        </w:rPr>
        <w:t xml:space="preserve">Nivo digitalne zrelosti jedne zemlje ogleda se prije svega kroz fazu razvoja i korišćenje elektronskih usluga za građane i privredu. U Crnoj Gori trenutno postoji veliki broj elektronskih usluga u fazi razvoja, a njihova svakodnevna upotreba je znatno ispod očekivanja. Kako bi se izbjegao sve veći izazov gdje je ponuda mnogo veća od potražnje, ovaj cilj se fokusira na sistematsko povećanje atraktivnosti, kvaliteta, kvantiteta, interoperabilnosti i lakoće korišćenja elektronskih usluga. Uspješnost pojedinačne e-usluge se prije svega ocjenjuje kroz intenzitet njenog korišćenja. Buduće aktivnosti se fokusiraju na holističke principe razvoja usluga usmjerenih na korisnika. U cilju stvaranja boljeg korisničkog iskustva potrebno je unaprijediti nacionalnu eID šemu i kroz ciljane aktivnosti prilagoditi postojeće kao i razviti </w:t>
      </w:r>
      <w:r>
        <w:rPr>
          <w:b/>
          <w:sz w:val="24"/>
          <w:szCs w:val="24"/>
        </w:rPr>
        <w:t xml:space="preserve">nove eID </w:t>
      </w:r>
      <w:r>
        <w:rPr>
          <w:sz w:val="24"/>
          <w:szCs w:val="24"/>
        </w:rPr>
        <w:t xml:space="preserve">sisteme i mehanizme, a naročito unaprijediti sistem elektronske identifikacije uz korišćenje mobilnih tehnologija, pri čemu je potrebno ukazati na potrebu jasne segregacije prikupljenih podataka po polu, zajedno sa rodnim prilagođavanjem servisa za elektronsku razmjenu podataka. Takođe, široka upotreba </w:t>
      </w:r>
      <w:r>
        <w:rPr>
          <w:b/>
          <w:sz w:val="24"/>
          <w:szCs w:val="24"/>
        </w:rPr>
        <w:t>interoperabilnih elektronskih servisa</w:t>
      </w:r>
      <w:r>
        <w:rPr>
          <w:sz w:val="24"/>
          <w:szCs w:val="24"/>
        </w:rPr>
        <w:t xml:space="preserve"> povezanih sa državnim IT sistemom je najefikasniji način za modernizaciju i racionalizaciju državne uprave, koja se na ovaj način najbolje može približiti građanima.</w:t>
      </w:r>
      <w:r>
        <w:rPr>
          <w:rFonts w:ascii="Arial" w:eastAsia="Arial" w:hAnsi="Arial" w:cs="Arial"/>
          <w:sz w:val="24"/>
          <w:szCs w:val="24"/>
        </w:rPr>
        <w:t xml:space="preserve"> </w:t>
      </w:r>
    </w:p>
    <w:p w14:paraId="516936CA" w14:textId="77777777" w:rsidR="005B3072" w:rsidRDefault="005B3072">
      <w:pPr>
        <w:jc w:val="both"/>
        <w:rPr>
          <w:rFonts w:ascii="Arial" w:eastAsia="Arial" w:hAnsi="Arial" w:cs="Arial"/>
          <w:sz w:val="24"/>
          <w:szCs w:val="24"/>
        </w:rPr>
      </w:pPr>
    </w:p>
    <w:tbl>
      <w:tblPr>
        <w:tblStyle w:val="ab"/>
        <w:tblW w:w="10168"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4096"/>
        <w:gridCol w:w="2024"/>
        <w:gridCol w:w="2024"/>
        <w:gridCol w:w="2024"/>
      </w:tblGrid>
      <w:tr w:rsidR="005B3072" w14:paraId="621365B3" w14:textId="77777777">
        <w:trPr>
          <w:trHeight w:val="926"/>
        </w:trPr>
        <w:tc>
          <w:tcPr>
            <w:tcW w:w="4096" w:type="dxa"/>
            <w:shd w:val="clear" w:color="auto" w:fill="1F4E79"/>
            <w:tcMar>
              <w:left w:w="170" w:type="dxa"/>
            </w:tcMar>
            <w:vAlign w:val="center"/>
          </w:tcPr>
          <w:p w14:paraId="4C67B235" w14:textId="77777777" w:rsidR="005B3072" w:rsidRDefault="00A46913">
            <w:pPr>
              <w:spacing w:before="40" w:after="40"/>
              <w:ind w:right="144" w:hanging="144"/>
              <w:jc w:val="center"/>
            </w:pPr>
            <w:r>
              <w:rPr>
                <w:b/>
                <w:color w:val="FFFFFF"/>
              </w:rPr>
              <w:t>OPERATIVNI CILJ 2.2</w:t>
            </w:r>
          </w:p>
        </w:tc>
        <w:tc>
          <w:tcPr>
            <w:tcW w:w="6072" w:type="dxa"/>
            <w:gridSpan w:val="3"/>
            <w:shd w:val="clear" w:color="auto" w:fill="1F4E79"/>
            <w:tcMar>
              <w:left w:w="170" w:type="dxa"/>
            </w:tcMar>
            <w:vAlign w:val="center"/>
          </w:tcPr>
          <w:p w14:paraId="412C7864" w14:textId="77777777" w:rsidR="005B3072" w:rsidRDefault="00A46913">
            <w:pPr>
              <w:spacing w:before="40" w:after="40"/>
              <w:ind w:right="144" w:hanging="144"/>
              <w:jc w:val="center"/>
            </w:pPr>
            <w:r>
              <w:rPr>
                <w:b/>
                <w:color w:val="FFFFFF"/>
              </w:rPr>
              <w:t>Unapređenje kvaliteta, količine i upotreba e-usluga </w:t>
            </w:r>
          </w:p>
        </w:tc>
      </w:tr>
      <w:tr w:rsidR="005B3072" w14:paraId="4556FE63" w14:textId="77777777">
        <w:tc>
          <w:tcPr>
            <w:tcW w:w="4096" w:type="dxa"/>
            <w:shd w:val="clear" w:color="auto" w:fill="DAF2F6"/>
            <w:tcMar>
              <w:left w:w="170" w:type="dxa"/>
            </w:tcMar>
            <w:vAlign w:val="center"/>
          </w:tcPr>
          <w:p w14:paraId="1D3167E9" w14:textId="77777777" w:rsidR="005B3072" w:rsidRDefault="00A46913">
            <w:pPr>
              <w:spacing w:before="40" w:after="40"/>
              <w:ind w:right="144" w:hanging="144"/>
              <w:jc w:val="center"/>
            </w:pPr>
            <w:r>
              <w:rPr>
                <w:b/>
                <w:color w:val="1F4E79"/>
              </w:rPr>
              <w:t>Indikator</w:t>
            </w:r>
          </w:p>
        </w:tc>
        <w:tc>
          <w:tcPr>
            <w:tcW w:w="2024" w:type="dxa"/>
            <w:shd w:val="clear" w:color="auto" w:fill="DAF2F6"/>
            <w:tcMar>
              <w:left w:w="170" w:type="dxa"/>
            </w:tcMar>
            <w:vAlign w:val="center"/>
          </w:tcPr>
          <w:p w14:paraId="0B6C0DFF" w14:textId="77777777" w:rsidR="005B3072" w:rsidRDefault="00A46913">
            <w:pPr>
              <w:spacing w:before="40" w:after="40"/>
              <w:ind w:right="144" w:hanging="144"/>
              <w:jc w:val="center"/>
            </w:pPr>
            <w:r>
              <w:rPr>
                <w:b/>
                <w:color w:val="1F4E79"/>
              </w:rPr>
              <w:t>Početna vrijednost</w:t>
            </w:r>
          </w:p>
        </w:tc>
        <w:tc>
          <w:tcPr>
            <w:tcW w:w="2024" w:type="dxa"/>
            <w:shd w:val="clear" w:color="auto" w:fill="DAF2F6"/>
            <w:tcMar>
              <w:left w:w="170" w:type="dxa"/>
            </w:tcMar>
            <w:vAlign w:val="center"/>
          </w:tcPr>
          <w:p w14:paraId="4B619387" w14:textId="77777777" w:rsidR="005B3072" w:rsidRDefault="00A46913">
            <w:pPr>
              <w:spacing w:before="40" w:after="40"/>
              <w:ind w:right="144" w:hanging="144"/>
              <w:jc w:val="center"/>
            </w:pPr>
            <w:r>
              <w:rPr>
                <w:b/>
                <w:color w:val="1F4E79"/>
              </w:rPr>
              <w:t>Ciljana vrijednost do 2024.</w:t>
            </w:r>
          </w:p>
        </w:tc>
        <w:tc>
          <w:tcPr>
            <w:tcW w:w="2024" w:type="dxa"/>
            <w:shd w:val="clear" w:color="auto" w:fill="DAF2F6"/>
            <w:tcMar>
              <w:left w:w="170" w:type="dxa"/>
            </w:tcMar>
            <w:vAlign w:val="center"/>
          </w:tcPr>
          <w:p w14:paraId="79657C1B" w14:textId="77777777" w:rsidR="005B3072" w:rsidRDefault="00A46913">
            <w:pPr>
              <w:spacing w:before="40" w:after="40"/>
              <w:ind w:right="144" w:hanging="144"/>
              <w:jc w:val="center"/>
            </w:pPr>
            <w:r>
              <w:rPr>
                <w:b/>
                <w:color w:val="1F4E79"/>
              </w:rPr>
              <w:t>Ciljana vrijednost do 2026.</w:t>
            </w:r>
          </w:p>
        </w:tc>
      </w:tr>
      <w:tr w:rsidR="005B3072" w14:paraId="67ACD925" w14:textId="77777777">
        <w:tc>
          <w:tcPr>
            <w:tcW w:w="4096" w:type="dxa"/>
            <w:shd w:val="clear" w:color="auto" w:fill="auto"/>
            <w:tcMar>
              <w:left w:w="170" w:type="dxa"/>
            </w:tcMar>
          </w:tcPr>
          <w:p w14:paraId="3569E911" w14:textId="77777777" w:rsidR="005B3072" w:rsidRDefault="00A46913">
            <w:pPr>
              <w:spacing w:before="40" w:after="40"/>
              <w:ind w:right="144" w:hanging="144"/>
              <w:jc w:val="center"/>
            </w:pPr>
            <w:r>
              <w:rPr>
                <w:b/>
                <w:color w:val="1F4E79"/>
              </w:rPr>
              <w:t>Index on-line usluga (OSI)</w:t>
            </w:r>
          </w:p>
        </w:tc>
        <w:tc>
          <w:tcPr>
            <w:tcW w:w="2024" w:type="dxa"/>
            <w:shd w:val="clear" w:color="auto" w:fill="auto"/>
            <w:tcMar>
              <w:left w:w="170" w:type="dxa"/>
            </w:tcMar>
            <w:vAlign w:val="center"/>
          </w:tcPr>
          <w:p w14:paraId="3B1F077E" w14:textId="77777777" w:rsidR="005B3072" w:rsidRDefault="00A46913">
            <w:pPr>
              <w:spacing w:before="40" w:after="40"/>
              <w:ind w:right="144" w:hanging="144"/>
              <w:jc w:val="center"/>
            </w:pPr>
            <w:r>
              <w:rPr>
                <w:b/>
                <w:color w:val="1F4E79"/>
              </w:rPr>
              <w:t>0,5412</w:t>
            </w:r>
          </w:p>
        </w:tc>
        <w:tc>
          <w:tcPr>
            <w:tcW w:w="2024" w:type="dxa"/>
            <w:shd w:val="clear" w:color="auto" w:fill="auto"/>
            <w:tcMar>
              <w:left w:w="170" w:type="dxa"/>
            </w:tcMar>
            <w:vAlign w:val="center"/>
          </w:tcPr>
          <w:p w14:paraId="306F5034" w14:textId="77777777" w:rsidR="005B3072" w:rsidRDefault="00A46913">
            <w:pPr>
              <w:spacing w:before="40" w:after="40"/>
              <w:ind w:right="144" w:hanging="144"/>
              <w:jc w:val="center"/>
            </w:pPr>
            <w:r>
              <w:rPr>
                <w:b/>
                <w:color w:val="1F4E79"/>
              </w:rPr>
              <w:t>10%</w:t>
            </w:r>
          </w:p>
        </w:tc>
        <w:tc>
          <w:tcPr>
            <w:tcW w:w="2024" w:type="dxa"/>
            <w:shd w:val="clear" w:color="auto" w:fill="auto"/>
            <w:tcMar>
              <w:left w:w="170" w:type="dxa"/>
            </w:tcMar>
            <w:vAlign w:val="center"/>
          </w:tcPr>
          <w:p w14:paraId="3964B627" w14:textId="77777777" w:rsidR="005B3072" w:rsidRDefault="00A46913">
            <w:pPr>
              <w:spacing w:before="40" w:after="40"/>
              <w:ind w:right="144" w:hanging="144"/>
              <w:jc w:val="center"/>
            </w:pPr>
            <w:r>
              <w:rPr>
                <w:b/>
                <w:color w:val="1F4E79"/>
              </w:rPr>
              <w:t>20%</w:t>
            </w:r>
          </w:p>
        </w:tc>
      </w:tr>
      <w:tr w:rsidR="005B3072" w14:paraId="13784B7C" w14:textId="77777777">
        <w:tc>
          <w:tcPr>
            <w:tcW w:w="4096" w:type="dxa"/>
            <w:shd w:val="clear" w:color="auto" w:fill="auto"/>
            <w:tcMar>
              <w:left w:w="170" w:type="dxa"/>
            </w:tcMar>
          </w:tcPr>
          <w:p w14:paraId="6D135E9E" w14:textId="77777777" w:rsidR="005B3072" w:rsidRDefault="00A46913">
            <w:pPr>
              <w:spacing w:before="40" w:after="40"/>
              <w:ind w:right="144" w:hanging="144"/>
              <w:jc w:val="center"/>
            </w:pPr>
            <w:r>
              <w:rPr>
                <w:b/>
                <w:color w:val="1F4E79"/>
              </w:rPr>
              <w:t>Udio jedinstvenih korisnika koji su koristili ličnu kartu za identifikaciju/potpis prilikom korišćenja elektronskih usluga</w:t>
            </w:r>
          </w:p>
        </w:tc>
        <w:tc>
          <w:tcPr>
            <w:tcW w:w="2024" w:type="dxa"/>
            <w:shd w:val="clear" w:color="auto" w:fill="auto"/>
            <w:tcMar>
              <w:left w:w="170" w:type="dxa"/>
            </w:tcMar>
            <w:vAlign w:val="center"/>
          </w:tcPr>
          <w:p w14:paraId="1B21CF1C" w14:textId="77777777" w:rsidR="005B3072" w:rsidRDefault="00A46913">
            <w:pPr>
              <w:spacing w:before="40" w:after="40"/>
              <w:ind w:right="144" w:hanging="144"/>
              <w:jc w:val="center"/>
            </w:pPr>
            <w:r>
              <w:rPr>
                <w:b/>
                <w:color w:val="1F4E79"/>
              </w:rPr>
              <w:t>n/a</w:t>
            </w:r>
          </w:p>
        </w:tc>
        <w:tc>
          <w:tcPr>
            <w:tcW w:w="2024" w:type="dxa"/>
            <w:shd w:val="clear" w:color="auto" w:fill="auto"/>
            <w:tcMar>
              <w:left w:w="170" w:type="dxa"/>
            </w:tcMar>
            <w:vAlign w:val="center"/>
          </w:tcPr>
          <w:p w14:paraId="7B131473" w14:textId="77777777" w:rsidR="005B3072" w:rsidRDefault="00A46913">
            <w:pPr>
              <w:spacing w:before="40" w:after="40"/>
              <w:ind w:right="144" w:hanging="144"/>
              <w:jc w:val="center"/>
            </w:pPr>
            <w:r>
              <w:rPr>
                <w:b/>
                <w:color w:val="1F4E79"/>
              </w:rPr>
              <w:t>20%</w:t>
            </w:r>
          </w:p>
        </w:tc>
        <w:tc>
          <w:tcPr>
            <w:tcW w:w="2024" w:type="dxa"/>
            <w:shd w:val="clear" w:color="auto" w:fill="auto"/>
            <w:tcMar>
              <w:left w:w="170" w:type="dxa"/>
            </w:tcMar>
            <w:vAlign w:val="center"/>
          </w:tcPr>
          <w:p w14:paraId="26047138" w14:textId="77777777" w:rsidR="005B3072" w:rsidRDefault="00A46913">
            <w:pPr>
              <w:spacing w:before="40" w:after="40"/>
              <w:ind w:right="144" w:hanging="144"/>
              <w:jc w:val="center"/>
            </w:pPr>
            <w:r>
              <w:rPr>
                <w:b/>
                <w:color w:val="1F4E79"/>
              </w:rPr>
              <w:t>50%</w:t>
            </w:r>
          </w:p>
        </w:tc>
      </w:tr>
      <w:tr w:rsidR="005B3072" w14:paraId="4B09D6B7" w14:textId="77777777">
        <w:tc>
          <w:tcPr>
            <w:tcW w:w="4096" w:type="dxa"/>
            <w:shd w:val="clear" w:color="auto" w:fill="auto"/>
            <w:tcMar>
              <w:left w:w="170" w:type="dxa"/>
            </w:tcMar>
          </w:tcPr>
          <w:p w14:paraId="08F49B3C" w14:textId="77777777" w:rsidR="005B3072" w:rsidRDefault="00A46913">
            <w:pPr>
              <w:spacing w:before="40" w:after="40"/>
              <w:ind w:right="144" w:hanging="144"/>
              <w:jc w:val="center"/>
            </w:pPr>
            <w:r>
              <w:rPr>
                <w:b/>
                <w:color w:val="1F4E79"/>
              </w:rPr>
              <w:t xml:space="preserve">   Broj korisnika elektronske identifikacije i usluga od povjerenja (izuzev MUP-a)</w:t>
            </w:r>
          </w:p>
        </w:tc>
        <w:tc>
          <w:tcPr>
            <w:tcW w:w="2024" w:type="dxa"/>
            <w:shd w:val="clear" w:color="auto" w:fill="auto"/>
            <w:tcMar>
              <w:left w:w="170" w:type="dxa"/>
            </w:tcMar>
            <w:vAlign w:val="center"/>
          </w:tcPr>
          <w:p w14:paraId="2AF3EF57" w14:textId="77777777" w:rsidR="005B3072" w:rsidRDefault="00A46913">
            <w:pPr>
              <w:spacing w:before="40" w:after="40"/>
              <w:ind w:right="144" w:hanging="144"/>
              <w:jc w:val="center"/>
            </w:pPr>
            <w:r>
              <w:rPr>
                <w:b/>
                <w:color w:val="1F4E79"/>
              </w:rPr>
              <w:t>20.519</w:t>
            </w:r>
          </w:p>
          <w:p w14:paraId="6B31AC54" w14:textId="77777777" w:rsidR="005B3072" w:rsidRDefault="005B3072">
            <w:pPr>
              <w:jc w:val="center"/>
            </w:pPr>
          </w:p>
        </w:tc>
        <w:tc>
          <w:tcPr>
            <w:tcW w:w="2024" w:type="dxa"/>
            <w:shd w:val="clear" w:color="auto" w:fill="auto"/>
            <w:tcMar>
              <w:left w:w="170" w:type="dxa"/>
            </w:tcMar>
            <w:vAlign w:val="center"/>
          </w:tcPr>
          <w:p w14:paraId="6BACF68B" w14:textId="77777777" w:rsidR="005B3072" w:rsidRDefault="00A46913">
            <w:pPr>
              <w:spacing w:before="40" w:after="40"/>
              <w:ind w:right="144" w:hanging="144"/>
              <w:jc w:val="center"/>
            </w:pPr>
            <w:r>
              <w:rPr>
                <w:b/>
                <w:color w:val="1F4E79"/>
              </w:rPr>
              <w:t>22.570</w:t>
            </w:r>
          </w:p>
        </w:tc>
        <w:tc>
          <w:tcPr>
            <w:tcW w:w="2024" w:type="dxa"/>
            <w:shd w:val="clear" w:color="auto" w:fill="auto"/>
            <w:tcMar>
              <w:left w:w="170" w:type="dxa"/>
            </w:tcMar>
            <w:vAlign w:val="center"/>
          </w:tcPr>
          <w:p w14:paraId="657B1F37" w14:textId="77777777" w:rsidR="005B3072" w:rsidRDefault="00A46913">
            <w:pPr>
              <w:spacing w:before="40" w:after="40"/>
              <w:ind w:right="144" w:hanging="144"/>
              <w:jc w:val="center"/>
            </w:pPr>
            <w:r>
              <w:rPr>
                <w:b/>
                <w:color w:val="1F4E79"/>
              </w:rPr>
              <w:t>27.084</w:t>
            </w:r>
          </w:p>
          <w:p w14:paraId="3F697066" w14:textId="77777777" w:rsidR="005B3072" w:rsidRDefault="005B3072">
            <w:pPr>
              <w:jc w:val="center"/>
            </w:pPr>
          </w:p>
        </w:tc>
      </w:tr>
    </w:tbl>
    <w:p w14:paraId="537F0644" w14:textId="77777777" w:rsidR="005B3072" w:rsidRDefault="005B3072">
      <w:pPr>
        <w:jc w:val="both"/>
        <w:rPr>
          <w:sz w:val="24"/>
          <w:szCs w:val="24"/>
        </w:rPr>
      </w:pPr>
    </w:p>
    <w:p w14:paraId="4B204C19" w14:textId="77777777" w:rsidR="005B3072" w:rsidRDefault="00A46913">
      <w:pPr>
        <w:rPr>
          <w:b/>
          <w:sz w:val="24"/>
          <w:szCs w:val="24"/>
        </w:rPr>
      </w:pPr>
      <w:r>
        <w:rPr>
          <w:b/>
          <w:sz w:val="24"/>
          <w:szCs w:val="24"/>
        </w:rPr>
        <w:t>OPERATIVNI CILJ 2.3</w:t>
      </w:r>
    </w:p>
    <w:p w14:paraId="31143C6A" w14:textId="77777777" w:rsidR="005B3072" w:rsidRDefault="00A46913">
      <w:pPr>
        <w:rPr>
          <w:color w:val="002060"/>
          <w:sz w:val="24"/>
          <w:szCs w:val="24"/>
        </w:rPr>
      </w:pPr>
      <w:r>
        <w:rPr>
          <w:b/>
          <w:color w:val="002060"/>
          <w:sz w:val="24"/>
          <w:szCs w:val="24"/>
        </w:rPr>
        <w:t>Unapređenje i razvoj IKT sektora</w:t>
      </w:r>
    </w:p>
    <w:p w14:paraId="705E8679" w14:textId="77777777" w:rsidR="005B3072" w:rsidRDefault="00A46913">
      <w:pPr>
        <w:jc w:val="both"/>
        <w:rPr>
          <w:sz w:val="24"/>
          <w:szCs w:val="24"/>
        </w:rPr>
      </w:pPr>
      <w:r>
        <w:rPr>
          <w:sz w:val="24"/>
          <w:szCs w:val="24"/>
        </w:rPr>
        <w:lastRenderedPageBreak/>
        <w:t xml:space="preserve">Ubrzani razvoj IKT privrede ostvariće se većom dostupnošću IKT proizvoda, većom upotrebljivošću digitalnih rješenja u svim industrijama i javnim sistemima, te uz sistemsku podršku i promociju inovacija. Definisanim mjerama povećaće se domaći tržišni potencijal IKT industrije, kao i mogućnost prodora na međunarodno tržište. Konkretne mjere za postizanje ovih ciljeva su, s jedne strane, poboljšanje uslova poslovanja (subvencije i podsticaji - eksterne akcije), a s druge strane mjere za podsticanje interne modernizacije, inovativnosti, novih znanja i partnerstava (konkurentnost - interne mjere). Crna Gora može uspješno iskoristiti svoju veličinu kako bi brzo odgovorila i prilagodila se tehnološkom razvoju i novim tržišnim prilikama, jer je infrastrukturne i normativne uslove zapravo lakše obezbijediti u manjim zemljama. </w:t>
      </w:r>
    </w:p>
    <w:tbl>
      <w:tblPr>
        <w:tblStyle w:val="ac"/>
        <w:tblW w:w="10163" w:type="dxa"/>
        <w:tblBorders>
          <w:top w:val="single" w:sz="12" w:space="0" w:color="B4C6E7"/>
          <w:left w:val="single" w:sz="12" w:space="0" w:color="B4C6E7"/>
          <w:bottom w:val="single" w:sz="12" w:space="0" w:color="B4C6E7"/>
          <w:right w:val="single" w:sz="12" w:space="0" w:color="B4C6E7"/>
          <w:insideH w:val="single" w:sz="12" w:space="0" w:color="B4C6E7"/>
          <w:insideV w:val="single" w:sz="12" w:space="0" w:color="B4C6E7"/>
        </w:tblBorders>
        <w:tblLayout w:type="fixed"/>
        <w:tblLook w:val="0400" w:firstRow="0" w:lastRow="0" w:firstColumn="0" w:lastColumn="0" w:noHBand="0" w:noVBand="1"/>
      </w:tblPr>
      <w:tblGrid>
        <w:gridCol w:w="4557"/>
        <w:gridCol w:w="1868"/>
        <w:gridCol w:w="1869"/>
        <w:gridCol w:w="1869"/>
      </w:tblGrid>
      <w:tr w:rsidR="005B3072" w14:paraId="7615BCD4" w14:textId="77777777">
        <w:trPr>
          <w:trHeight w:val="881"/>
        </w:trPr>
        <w:tc>
          <w:tcPr>
            <w:tcW w:w="4557" w:type="dxa"/>
            <w:shd w:val="clear" w:color="auto" w:fill="1F4E79"/>
            <w:vAlign w:val="center"/>
          </w:tcPr>
          <w:p w14:paraId="7559B33C" w14:textId="77777777" w:rsidR="005B3072" w:rsidRDefault="00A46913">
            <w:pPr>
              <w:spacing w:before="40" w:after="40"/>
              <w:ind w:right="144" w:hanging="144"/>
              <w:jc w:val="center"/>
            </w:pPr>
            <w:r>
              <w:rPr>
                <w:b/>
                <w:color w:val="FFFFFF"/>
              </w:rPr>
              <w:t>OPERATIVNI CILJ 2.3</w:t>
            </w:r>
          </w:p>
        </w:tc>
        <w:tc>
          <w:tcPr>
            <w:tcW w:w="5606" w:type="dxa"/>
            <w:gridSpan w:val="3"/>
            <w:shd w:val="clear" w:color="auto" w:fill="1F4E79"/>
            <w:vAlign w:val="center"/>
          </w:tcPr>
          <w:p w14:paraId="0D3DF891" w14:textId="77777777" w:rsidR="005B3072" w:rsidRDefault="005B3072"/>
          <w:p w14:paraId="1D757838" w14:textId="77777777" w:rsidR="005B3072" w:rsidRDefault="00A46913">
            <w:pPr>
              <w:spacing w:before="40" w:after="40"/>
              <w:ind w:right="144" w:hanging="144"/>
              <w:jc w:val="center"/>
            </w:pPr>
            <w:r>
              <w:rPr>
                <w:b/>
                <w:color w:val="FFFFFF"/>
              </w:rPr>
              <w:t>Unapređenje i razvoj IKT sektora </w:t>
            </w:r>
          </w:p>
          <w:p w14:paraId="3E91AFE5" w14:textId="77777777" w:rsidR="005B3072" w:rsidRDefault="005B3072"/>
        </w:tc>
      </w:tr>
      <w:tr w:rsidR="005B3072" w14:paraId="58AF3463" w14:textId="77777777">
        <w:tc>
          <w:tcPr>
            <w:tcW w:w="4557" w:type="dxa"/>
            <w:shd w:val="clear" w:color="auto" w:fill="DAF2F6"/>
          </w:tcPr>
          <w:p w14:paraId="3AFA0CA6" w14:textId="77777777" w:rsidR="005B3072" w:rsidRDefault="00A46913">
            <w:pPr>
              <w:spacing w:before="40" w:after="40"/>
              <w:ind w:right="144" w:hanging="144"/>
              <w:jc w:val="center"/>
            </w:pPr>
            <w:r>
              <w:rPr>
                <w:b/>
                <w:color w:val="1F4E79"/>
              </w:rPr>
              <w:t>Indikator</w:t>
            </w:r>
          </w:p>
        </w:tc>
        <w:tc>
          <w:tcPr>
            <w:tcW w:w="1868" w:type="dxa"/>
            <w:shd w:val="clear" w:color="auto" w:fill="DAF2F6"/>
            <w:tcMar>
              <w:left w:w="170" w:type="dxa"/>
            </w:tcMar>
            <w:vAlign w:val="center"/>
          </w:tcPr>
          <w:p w14:paraId="25C40B0E" w14:textId="77777777" w:rsidR="005B3072" w:rsidRDefault="00A46913">
            <w:pPr>
              <w:spacing w:before="40" w:after="40"/>
              <w:ind w:right="144" w:hanging="144"/>
              <w:jc w:val="center"/>
            </w:pPr>
            <w:r>
              <w:rPr>
                <w:b/>
                <w:color w:val="1F4E79"/>
              </w:rPr>
              <w:t>Početna vrijednost</w:t>
            </w:r>
          </w:p>
        </w:tc>
        <w:tc>
          <w:tcPr>
            <w:tcW w:w="1869" w:type="dxa"/>
            <w:shd w:val="clear" w:color="auto" w:fill="DAF2F6"/>
            <w:tcMar>
              <w:left w:w="170" w:type="dxa"/>
            </w:tcMar>
            <w:vAlign w:val="center"/>
          </w:tcPr>
          <w:p w14:paraId="6CE8EE40" w14:textId="77777777" w:rsidR="005B3072" w:rsidRDefault="00A46913">
            <w:pPr>
              <w:spacing w:before="40" w:after="40"/>
              <w:ind w:right="144" w:hanging="144"/>
              <w:jc w:val="center"/>
            </w:pPr>
            <w:r>
              <w:rPr>
                <w:b/>
                <w:color w:val="1F4E79"/>
              </w:rPr>
              <w:t>Ciljana vrijednost do 2024.</w:t>
            </w:r>
          </w:p>
        </w:tc>
        <w:tc>
          <w:tcPr>
            <w:tcW w:w="1869" w:type="dxa"/>
            <w:shd w:val="clear" w:color="auto" w:fill="DAF2F6"/>
            <w:tcMar>
              <w:left w:w="170" w:type="dxa"/>
            </w:tcMar>
            <w:vAlign w:val="center"/>
          </w:tcPr>
          <w:p w14:paraId="3F09091B" w14:textId="77777777" w:rsidR="005B3072" w:rsidRDefault="00A46913">
            <w:pPr>
              <w:spacing w:before="40" w:after="40"/>
              <w:ind w:right="144" w:hanging="144"/>
              <w:jc w:val="center"/>
            </w:pPr>
            <w:r>
              <w:rPr>
                <w:b/>
                <w:color w:val="1F4E79"/>
              </w:rPr>
              <w:t xml:space="preserve">  Ciljana vrijednost do 2026.</w:t>
            </w:r>
          </w:p>
        </w:tc>
      </w:tr>
      <w:tr w:rsidR="005B3072" w14:paraId="019A5287" w14:textId="77777777">
        <w:trPr>
          <w:trHeight w:val="415"/>
        </w:trPr>
        <w:tc>
          <w:tcPr>
            <w:tcW w:w="4557" w:type="dxa"/>
            <w:shd w:val="clear" w:color="auto" w:fill="auto"/>
          </w:tcPr>
          <w:p w14:paraId="5479A32A" w14:textId="77777777" w:rsidR="005B3072" w:rsidRDefault="00A46913">
            <w:pPr>
              <w:spacing w:before="40" w:after="40"/>
              <w:ind w:right="144" w:hanging="144"/>
              <w:jc w:val="center"/>
            </w:pPr>
            <w:r>
              <w:rPr>
                <w:b/>
                <w:color w:val="1F4E79"/>
              </w:rPr>
              <w:t>Broj aktivnih IKT kompanija</w:t>
            </w:r>
          </w:p>
        </w:tc>
        <w:tc>
          <w:tcPr>
            <w:tcW w:w="1868" w:type="dxa"/>
            <w:shd w:val="clear" w:color="auto" w:fill="auto"/>
            <w:tcMar>
              <w:left w:w="170" w:type="dxa"/>
            </w:tcMar>
          </w:tcPr>
          <w:p w14:paraId="59755CFF" w14:textId="77777777" w:rsidR="005B3072" w:rsidRDefault="00A46913">
            <w:pPr>
              <w:spacing w:before="40" w:after="40"/>
              <w:ind w:right="144" w:hanging="144"/>
              <w:jc w:val="center"/>
            </w:pPr>
            <w:r>
              <w:rPr>
                <w:b/>
                <w:color w:val="1F4E79"/>
              </w:rPr>
              <w:t>970</w:t>
            </w:r>
          </w:p>
        </w:tc>
        <w:tc>
          <w:tcPr>
            <w:tcW w:w="1869" w:type="dxa"/>
            <w:shd w:val="clear" w:color="auto" w:fill="auto"/>
            <w:tcMar>
              <w:left w:w="170" w:type="dxa"/>
            </w:tcMar>
          </w:tcPr>
          <w:p w14:paraId="067D7B35" w14:textId="77777777" w:rsidR="005B3072" w:rsidRDefault="00A46913">
            <w:pPr>
              <w:spacing w:before="40" w:after="40"/>
              <w:ind w:right="144" w:hanging="144"/>
              <w:jc w:val="center"/>
            </w:pPr>
            <w:r>
              <w:rPr>
                <w:b/>
                <w:color w:val="1F4E79"/>
              </w:rPr>
              <w:t>1.115</w:t>
            </w:r>
          </w:p>
        </w:tc>
        <w:tc>
          <w:tcPr>
            <w:tcW w:w="1869" w:type="dxa"/>
            <w:shd w:val="clear" w:color="auto" w:fill="auto"/>
            <w:tcMar>
              <w:left w:w="170" w:type="dxa"/>
            </w:tcMar>
          </w:tcPr>
          <w:p w14:paraId="16EC4832" w14:textId="77777777" w:rsidR="005B3072" w:rsidRDefault="00A46913">
            <w:pPr>
              <w:spacing w:before="40" w:after="40"/>
              <w:ind w:right="144" w:hanging="144"/>
              <w:jc w:val="center"/>
            </w:pPr>
            <w:r>
              <w:rPr>
                <w:b/>
                <w:color w:val="1F4E79"/>
              </w:rPr>
              <w:t>1,230</w:t>
            </w:r>
          </w:p>
        </w:tc>
      </w:tr>
      <w:tr w:rsidR="005B3072" w14:paraId="05D47BE0" w14:textId="77777777">
        <w:tc>
          <w:tcPr>
            <w:tcW w:w="4557" w:type="dxa"/>
            <w:shd w:val="clear" w:color="auto" w:fill="auto"/>
          </w:tcPr>
          <w:p w14:paraId="185CA68A" w14:textId="77777777" w:rsidR="005B3072" w:rsidRDefault="00A46913">
            <w:pPr>
              <w:spacing w:before="40" w:after="40"/>
              <w:ind w:right="144" w:hanging="144"/>
              <w:jc w:val="center"/>
            </w:pPr>
            <w:r>
              <w:rPr>
                <w:b/>
                <w:color w:val="1F4E79"/>
              </w:rPr>
              <w:t>Broj zaposlenih u IKT kompanijama (podaci razvrstani po polu)</w:t>
            </w:r>
          </w:p>
        </w:tc>
        <w:tc>
          <w:tcPr>
            <w:tcW w:w="1868" w:type="dxa"/>
            <w:shd w:val="clear" w:color="auto" w:fill="auto"/>
            <w:tcMar>
              <w:left w:w="170" w:type="dxa"/>
            </w:tcMar>
          </w:tcPr>
          <w:p w14:paraId="356DB707" w14:textId="77777777" w:rsidR="005B3072" w:rsidRDefault="00A46913">
            <w:pPr>
              <w:spacing w:before="40" w:after="40"/>
              <w:ind w:right="144" w:hanging="144"/>
              <w:jc w:val="center"/>
            </w:pPr>
            <w:r>
              <w:rPr>
                <w:b/>
                <w:color w:val="1F4E79"/>
              </w:rPr>
              <w:t>4.441</w:t>
            </w:r>
          </w:p>
        </w:tc>
        <w:tc>
          <w:tcPr>
            <w:tcW w:w="1869" w:type="dxa"/>
            <w:shd w:val="clear" w:color="auto" w:fill="auto"/>
            <w:tcMar>
              <w:left w:w="170" w:type="dxa"/>
            </w:tcMar>
          </w:tcPr>
          <w:p w14:paraId="4D13640B" w14:textId="77777777" w:rsidR="005B3072" w:rsidRDefault="00A46913">
            <w:pPr>
              <w:spacing w:before="40" w:after="40"/>
              <w:ind w:right="144" w:hanging="144"/>
              <w:jc w:val="center"/>
            </w:pPr>
            <w:r>
              <w:rPr>
                <w:b/>
                <w:color w:val="1F4E79"/>
              </w:rPr>
              <w:t>4.885</w:t>
            </w:r>
          </w:p>
        </w:tc>
        <w:tc>
          <w:tcPr>
            <w:tcW w:w="1869" w:type="dxa"/>
            <w:shd w:val="clear" w:color="auto" w:fill="auto"/>
            <w:tcMar>
              <w:left w:w="170" w:type="dxa"/>
            </w:tcMar>
          </w:tcPr>
          <w:p w14:paraId="7BF1C9B7" w14:textId="77777777" w:rsidR="005B3072" w:rsidRDefault="00A46913">
            <w:pPr>
              <w:spacing w:before="40" w:after="40"/>
              <w:ind w:right="144" w:hanging="144"/>
              <w:jc w:val="center"/>
            </w:pPr>
            <w:r>
              <w:rPr>
                <w:b/>
                <w:color w:val="1F4E79"/>
              </w:rPr>
              <w:t>5.500</w:t>
            </w:r>
          </w:p>
        </w:tc>
      </w:tr>
    </w:tbl>
    <w:p w14:paraId="43A106BC" w14:textId="77777777" w:rsidR="005B3072" w:rsidRDefault="005B3072"/>
    <w:p w14:paraId="138C2348" w14:textId="77777777" w:rsidR="005B3072" w:rsidRDefault="00A46913">
      <w:pPr>
        <w:pStyle w:val="Heading1"/>
        <w:rPr>
          <w:b/>
          <w:color w:val="0070C0"/>
          <w:sz w:val="28"/>
          <w:szCs w:val="28"/>
        </w:rPr>
      </w:pPr>
      <w:bookmarkStart w:id="63" w:name="_1rvwp1q" w:colFirst="0" w:colLast="0"/>
      <w:bookmarkEnd w:id="63"/>
      <w:r>
        <w:rPr>
          <w:b/>
          <w:color w:val="0070C0"/>
          <w:sz w:val="28"/>
          <w:szCs w:val="28"/>
        </w:rPr>
        <w:t>V</w:t>
      </w:r>
      <w:r>
        <w:rPr>
          <w:b/>
          <w:color w:val="0070C0"/>
          <w:sz w:val="28"/>
          <w:szCs w:val="28"/>
        </w:rPr>
        <w:tab/>
        <w:t>KLJUČNE AKTIVNOSTI ZA SPROVOĐENJE OPERATIVNIH CILJEVA</w:t>
      </w:r>
      <w:r>
        <w:rPr>
          <w:rFonts w:ascii="Majora Pro Bold" w:eastAsia="Majora Pro Bold" w:hAnsi="Majora Pro Bold" w:cs="Majora Pro Bold"/>
          <w:b/>
          <w:color w:val="0070C0"/>
          <w:sz w:val="18"/>
          <w:szCs w:val="18"/>
        </w:rPr>
        <w:t xml:space="preserve"> </w:t>
      </w:r>
    </w:p>
    <w:p w14:paraId="0232317D" w14:textId="77777777" w:rsidR="005B3072" w:rsidRDefault="005B3072">
      <w:pPr>
        <w:rPr>
          <w:rFonts w:ascii="Majora Pro Bold" w:eastAsia="Majora Pro Bold" w:hAnsi="Majora Pro Bold" w:cs="Majora Pro Bold"/>
          <w:b/>
          <w:sz w:val="18"/>
          <w:szCs w:val="18"/>
        </w:rPr>
      </w:pPr>
    </w:p>
    <w:p w14:paraId="5AA141F4" w14:textId="77777777" w:rsidR="005B3072" w:rsidRDefault="00A46913">
      <w:pPr>
        <w:pBdr>
          <w:bottom w:val="single" w:sz="24" w:space="1" w:color="00B0F0"/>
        </w:pBdr>
        <w:rPr>
          <w:b/>
          <w:sz w:val="26"/>
          <w:szCs w:val="26"/>
        </w:rPr>
      </w:pPr>
      <w:r>
        <w:rPr>
          <w:b/>
          <w:sz w:val="26"/>
          <w:szCs w:val="26"/>
        </w:rPr>
        <w:t>Cilj 1.1. Efikasna i efektivna koordinacija i praćenje digitalne transformacije</w:t>
      </w:r>
    </w:p>
    <w:p w14:paraId="776C1AA9" w14:textId="77777777" w:rsidR="005B3072" w:rsidRDefault="00A46913">
      <w:pPr>
        <w:jc w:val="both"/>
        <w:rPr>
          <w:sz w:val="24"/>
          <w:szCs w:val="24"/>
        </w:rPr>
      </w:pPr>
      <w:r>
        <w:rPr>
          <w:sz w:val="24"/>
          <w:szCs w:val="24"/>
        </w:rPr>
        <w:t xml:space="preserve">Kroz realizaciju aktivnosti ovog cilja i artikulaciju odgovarajućeg liderstva i izgradnju modela odlučivanja i grupisanja znanja, a samim tim i animiranja šireg kruga zainteresovanih strana uspostaviće se stabilan sistem, dovoljno fleksibilan da odgovori budućim izazovima i zahtjevima digitalne transformacije i brzih tehnoloških i društvenih promjena.  </w:t>
      </w:r>
    </w:p>
    <w:p w14:paraId="0947C141" w14:textId="77777777" w:rsidR="005B3072" w:rsidRDefault="00A46913">
      <w:pPr>
        <w:spacing w:line="240" w:lineRule="auto"/>
        <w:jc w:val="both"/>
        <w:rPr>
          <w:color w:val="000000"/>
          <w:sz w:val="24"/>
          <w:szCs w:val="24"/>
        </w:rPr>
      </w:pPr>
      <w:r>
        <w:rPr>
          <w:b/>
          <w:color w:val="1155CC"/>
          <w:sz w:val="24"/>
          <w:szCs w:val="24"/>
        </w:rPr>
        <w:t>Ključni nosioci aktivnosti</w:t>
      </w:r>
      <w:r>
        <w:rPr>
          <w:sz w:val="24"/>
          <w:szCs w:val="24"/>
        </w:rPr>
        <w:t xml:space="preserve"> u sprovođenju ovog cilja su: V</w:t>
      </w:r>
      <w:r>
        <w:rPr>
          <w:color w:val="000000"/>
          <w:sz w:val="24"/>
          <w:szCs w:val="24"/>
        </w:rPr>
        <w:t>lada Crne Gore / Generalni sekretarijat Vlade CG, MJUDDM, MONSTAT</w:t>
      </w:r>
    </w:p>
    <w:p w14:paraId="20CD97D5" w14:textId="77777777" w:rsidR="005B3072" w:rsidRDefault="00A46913">
      <w:pPr>
        <w:pBdr>
          <w:top w:val="nil"/>
          <w:left w:val="nil"/>
          <w:bottom w:val="nil"/>
          <w:right w:val="nil"/>
          <w:between w:val="nil"/>
        </w:pBdr>
        <w:spacing w:line="240" w:lineRule="auto"/>
        <w:jc w:val="both"/>
        <w:rPr>
          <w:color w:val="000000"/>
          <w:sz w:val="24"/>
          <w:szCs w:val="24"/>
        </w:rPr>
      </w:pPr>
      <w:r>
        <w:rPr>
          <w:b/>
          <w:color w:val="1155CC"/>
          <w:sz w:val="24"/>
          <w:szCs w:val="24"/>
        </w:rPr>
        <w:t>Partneri</w:t>
      </w:r>
      <w:r>
        <w:rPr>
          <w:b/>
          <w:color w:val="000000"/>
          <w:sz w:val="24"/>
          <w:szCs w:val="24"/>
        </w:rPr>
        <w:t>:</w:t>
      </w:r>
      <w:r>
        <w:rPr>
          <w:sz w:val="24"/>
          <w:szCs w:val="24"/>
        </w:rPr>
        <w:t xml:space="preserve"> PKCG,</w:t>
      </w:r>
      <w:r>
        <w:rPr>
          <w:b/>
          <w:color w:val="000000"/>
          <w:sz w:val="24"/>
          <w:szCs w:val="24"/>
        </w:rPr>
        <w:t xml:space="preserve"> </w:t>
      </w:r>
      <w:r>
        <w:rPr>
          <w:color w:val="000000"/>
          <w:sz w:val="24"/>
          <w:szCs w:val="24"/>
        </w:rPr>
        <w:t>AmCham, AMM, Savjet stranih investitora</w:t>
      </w:r>
    </w:p>
    <w:p w14:paraId="0A468938" w14:textId="77777777" w:rsidR="005B3072" w:rsidRDefault="00A46913">
      <w:pPr>
        <w:pBdr>
          <w:top w:val="nil"/>
          <w:left w:val="nil"/>
          <w:bottom w:val="nil"/>
          <w:right w:val="nil"/>
          <w:between w:val="nil"/>
        </w:pBdr>
        <w:spacing w:line="240" w:lineRule="auto"/>
        <w:jc w:val="both"/>
        <w:rPr>
          <w:sz w:val="24"/>
          <w:szCs w:val="24"/>
        </w:rPr>
      </w:pPr>
      <w:r>
        <w:rPr>
          <w:b/>
          <w:color w:val="1155CC"/>
          <w:sz w:val="24"/>
          <w:szCs w:val="24"/>
        </w:rPr>
        <w:t>Aktivnosti</w:t>
      </w:r>
      <w:r>
        <w:rPr>
          <w:color w:val="002060"/>
          <w:sz w:val="28"/>
          <w:szCs w:val="28"/>
        </w:rPr>
        <w:t xml:space="preserve"> </w:t>
      </w:r>
      <w:r>
        <w:rPr>
          <w:sz w:val="24"/>
          <w:szCs w:val="24"/>
        </w:rPr>
        <w:t>koje su prepoznate kao ključne u sprovođenju ovog cilja su:</w:t>
      </w:r>
    </w:p>
    <w:p w14:paraId="4F0ADDB8"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 xml:space="preserve">Uspostavljanje nacionalnog koordinacionog tijela na društvenom nivou u cilju unapređenja procesa digitalne transformacije Crne Gore </w:t>
      </w:r>
    </w:p>
    <w:p w14:paraId="6EE8B468"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lastRenderedPageBreak/>
        <w:t>Izrada analize postojeće upravljačke, savjetodavne, infrastrukture na nivou javne uprave relevantne za proces digitalizacije i digitalne transformacije, uz preporuku za unapređenje Savjeta za elektronsku upravu</w:t>
      </w:r>
    </w:p>
    <w:p w14:paraId="705DEE71"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Izrada analize postoj</w:t>
      </w:r>
      <w:r>
        <w:rPr>
          <w:b/>
          <w:i/>
          <w:sz w:val="24"/>
          <w:szCs w:val="24"/>
        </w:rPr>
        <w:t>e</w:t>
      </w:r>
      <w:r>
        <w:rPr>
          <w:b/>
          <w:i/>
          <w:color w:val="000000"/>
          <w:sz w:val="24"/>
          <w:szCs w:val="24"/>
        </w:rPr>
        <w:t>će kadrovske i tehničko tehnološke infrastrukture sa predlogom definisanja optimalnog organizacionog oblika za operativno izvođenje IT razvoja i podrške u državnoj upravi</w:t>
      </w:r>
    </w:p>
    <w:p w14:paraId="5E915E35"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Uspostavljanje sistema za praćenje ključnih indikatora digitalne transformacije putem redovnog izvještavanja na nacionalnom nivou</w:t>
      </w:r>
    </w:p>
    <w:p w14:paraId="09D80C85"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Formiranje i osnaživanje radne grupe/komisije za praćenje sprovođenja i realizacije aktivnosti Strategije</w:t>
      </w:r>
    </w:p>
    <w:p w14:paraId="4065080F" w14:textId="77777777" w:rsidR="005B3072" w:rsidRDefault="00A46913">
      <w:pPr>
        <w:jc w:val="both"/>
        <w:rPr>
          <w:sz w:val="24"/>
          <w:szCs w:val="24"/>
        </w:rPr>
      </w:pPr>
      <w:r>
        <w:rPr>
          <w:sz w:val="24"/>
          <w:szCs w:val="24"/>
        </w:rPr>
        <w:t>Kroz uspostavljanje nacionalnog koordinacionog tijela na društvenom nivou, analizu postojeće savjetodavne, kadrovske i tehničko tehnološke infrastrukture javna uprava će dobiti značajan doprinos prilikom kreiranja odgovarajućih pravnih okvira i infrastrukture, stvaranju moderne e-uprave, podizanju nivoa informacione bezbjednosti, pružanju podrške startap eko-sistemu, digitalizaciji poslovnih procesa, poslovanju bez papira, itd.</w:t>
      </w:r>
    </w:p>
    <w:p w14:paraId="7EF2F4B2" w14:textId="77777777" w:rsidR="005B3072" w:rsidRDefault="005B3072">
      <w:pPr>
        <w:jc w:val="both"/>
        <w:rPr>
          <w:sz w:val="24"/>
          <w:szCs w:val="24"/>
        </w:rPr>
      </w:pPr>
    </w:p>
    <w:p w14:paraId="49A25B48" w14:textId="77777777" w:rsidR="005B3072" w:rsidRDefault="00A46913">
      <w:pPr>
        <w:pBdr>
          <w:bottom w:val="single" w:sz="24" w:space="1" w:color="00B0F0"/>
        </w:pBdr>
        <w:rPr>
          <w:b/>
          <w:sz w:val="26"/>
          <w:szCs w:val="26"/>
        </w:rPr>
      </w:pPr>
      <w:r>
        <w:rPr>
          <w:b/>
          <w:sz w:val="26"/>
          <w:szCs w:val="26"/>
        </w:rPr>
        <w:t>Cilj 1.2. Poboljšanje dostupnosti, interoperabilnosti i upravljanja podacima</w:t>
      </w:r>
    </w:p>
    <w:p w14:paraId="7494B47E" w14:textId="77777777" w:rsidR="005B3072" w:rsidRDefault="00A46913">
      <w:pPr>
        <w:jc w:val="both"/>
        <w:rPr>
          <w:sz w:val="24"/>
          <w:szCs w:val="24"/>
        </w:rPr>
      </w:pPr>
      <w:bookmarkStart w:id="64" w:name="_4bvk7pj" w:colFirst="0" w:colLast="0"/>
      <w:bookmarkEnd w:id="64"/>
      <w:r>
        <w:rPr>
          <w:sz w:val="24"/>
          <w:szCs w:val="24"/>
        </w:rPr>
        <w:t xml:space="preserve">Za državu po mjeri građana, fokusiranu na pružanje usluga, važno je kroz ralizaciju aktivnosti osigurati da različite organizacije i informacioni sistemi mogu sarađivati i razmjenjivati informacije odnosno efikasnu saradnju svih činioca javne uprave kao i automatizaciju razmjene i kvalitenu integraciju procesa na svim nivoima. Državni organi treba da koriste podatke koje je država već prikupila od građana i preduzeća, umjesto da ih opterećuju traženjem tih istih podataka nekoliko puta ili da traži od građana da zatraže informacije od jednog državnog organa samo da bi te informacije predali drugom državnom organu. Iz tog razloga su potrebne digitalne baze podataka i razmjena podataka između njih. Pod procesom razmjene informacija i podataka prepoznaju se dva nivou razmjene, javni i zatvoreni. Javna razmjena se odvija putem portala Otvorenih podataka dok se razmjena kod zatvorenog tipa podataka odvija kroz JSERP. </w:t>
      </w:r>
    </w:p>
    <w:p w14:paraId="07DD2FBA" w14:textId="77777777" w:rsidR="005B3072" w:rsidRDefault="00A46913">
      <w:pPr>
        <w:jc w:val="both"/>
        <w:rPr>
          <w:sz w:val="24"/>
          <w:szCs w:val="24"/>
        </w:rPr>
      </w:pPr>
      <w:r>
        <w:rPr>
          <w:sz w:val="24"/>
          <w:szCs w:val="24"/>
        </w:rPr>
        <w:t xml:space="preserve">Bitno je da se sva ministarstva i drugi državni organi mogu povezati sa JSERP-om što će zahtijevati podršku i smjernice od organa koji će biti odgovoran za JSERP. Osim toga, treba preduzeti mjere da se ministarstava i organi motivišu za povezivanje sa JSERP-om. Za državu po mjeri građana, fokusiranu na pružanje usluga, važno je kroz realizaciju aktivnosti osigurati da različite organizacije i informacioni sistemi mogu sarađivati i razmjenjivati informacije, odnosno efikasna saradnja svih činioca javne uprave kao i automatizacija razmjene i kvalitena integraciju procesa na svim nivoima. Da bi vlada efikasno služila svojim građanima moramo biti u mogućnosti da prikupljamo pouzdane podatke u realnom vremenu i upravljamo njima na pravi način. </w:t>
      </w:r>
    </w:p>
    <w:p w14:paraId="4B7CA00D" w14:textId="77777777" w:rsidR="005B3072" w:rsidRDefault="00A46913">
      <w:pPr>
        <w:jc w:val="both"/>
        <w:rPr>
          <w:sz w:val="24"/>
          <w:szCs w:val="24"/>
        </w:rPr>
      </w:pPr>
      <w:r>
        <w:rPr>
          <w:sz w:val="24"/>
          <w:szCs w:val="24"/>
        </w:rPr>
        <w:t>Pod procesom razmjene informacija i podataka prepoznaju se dva nivou razmjene, javni i zatvoreni. Javna razmjena se odvija putem portala Otvorenih podataka dok se razmjena kod zatvorenog tipa podataka odvija kroz JSERP.</w:t>
      </w:r>
    </w:p>
    <w:p w14:paraId="0714F662" w14:textId="77777777" w:rsidR="005B3072" w:rsidRDefault="00A46913">
      <w:pPr>
        <w:jc w:val="both"/>
        <w:rPr>
          <w:sz w:val="24"/>
          <w:szCs w:val="24"/>
        </w:rPr>
      </w:pPr>
      <w:r>
        <w:rPr>
          <w:sz w:val="24"/>
          <w:szCs w:val="24"/>
        </w:rPr>
        <w:t xml:space="preserve">Državni organi moraju koristiti podatke koje su drugi državni organi već jednom prikupili od pojedinaca i preduzeća, umjesto da ih opterećuju traženjem istih podataka nekoliko puta ili prikupljanjem informacija </w:t>
      </w:r>
      <w:r>
        <w:rPr>
          <w:sz w:val="24"/>
          <w:szCs w:val="24"/>
        </w:rPr>
        <w:lastRenderedPageBreak/>
        <w:t>od jednog državnog organa samo da bi ih predali drugom državnom organu. Iako je ova razmjena informacija između organa formalno zakonski obezbijeđena u praksi se ne dešava i stoga je potrebno sandardizovati i sitematizovati digitalne baze podataka/registre i razmjenu podataka između njih.  Bitno je da se sva ministarstva i drugi državni organi povežu sa JSERP-om što će zahtijevati podršku i smjernice od organa koji je odgovoran za JSERP kao i preduzimanje ciljanih mjera da se ministarstava i organi motivišu da objavljuju i međusobno uvezuju registre u skladu sa zakonskom obavezom.</w:t>
      </w:r>
      <w:r>
        <w:rPr>
          <w:noProof/>
        </w:rPr>
        <w:drawing>
          <wp:anchor distT="114300" distB="114300" distL="114300" distR="114300" simplePos="0" relativeHeight="251667456" behindDoc="0" locked="0" layoutInCell="1" hidden="0" allowOverlap="1" wp14:anchorId="4B20767C" wp14:editId="376E5CFF">
            <wp:simplePos x="0" y="0"/>
            <wp:positionH relativeFrom="column">
              <wp:posOffset>-57148</wp:posOffset>
            </wp:positionH>
            <wp:positionV relativeFrom="paragraph">
              <wp:posOffset>1762125</wp:posOffset>
            </wp:positionV>
            <wp:extent cx="3655060" cy="3038475"/>
            <wp:effectExtent l="0" t="0" r="0" b="0"/>
            <wp:wrapSquare wrapText="bothSides" distT="114300" distB="114300" distL="114300" distR="11430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2"/>
                    <a:srcRect l="14977" r="11040"/>
                    <a:stretch>
                      <a:fillRect/>
                    </a:stretch>
                  </pic:blipFill>
                  <pic:spPr>
                    <a:xfrm>
                      <a:off x="0" y="0"/>
                      <a:ext cx="3655060" cy="3038475"/>
                    </a:xfrm>
                    <a:prstGeom prst="rect">
                      <a:avLst/>
                    </a:prstGeom>
                    <a:ln/>
                  </pic:spPr>
                </pic:pic>
              </a:graphicData>
            </a:graphic>
          </wp:anchor>
        </w:drawing>
      </w:r>
    </w:p>
    <w:p w14:paraId="4A3CB10B" w14:textId="77777777" w:rsidR="005B3072" w:rsidRDefault="00A46913">
      <w:pPr>
        <w:jc w:val="both"/>
        <w:rPr>
          <w:sz w:val="24"/>
          <w:szCs w:val="24"/>
        </w:rPr>
      </w:pPr>
      <w:r>
        <w:rPr>
          <w:sz w:val="24"/>
          <w:szCs w:val="24"/>
        </w:rPr>
        <w:t xml:space="preserve">Pravovremeni pristup visokokvalitetnim podacima u formatu koji je lako razumijeti je takođe i neophodan preduslov za donošenje boljih poslovnih odluka. Da bi preduzeća, organizacije i pojedinci u Crnoj Gori donosili dobre odluke, potrebni su im dobri podaci iz Vladinih izvora. </w:t>
      </w:r>
    </w:p>
    <w:p w14:paraId="1560C99E" w14:textId="77777777" w:rsidR="005B3072" w:rsidRDefault="00A46913">
      <w:pPr>
        <w:jc w:val="both"/>
        <w:rPr>
          <w:sz w:val="24"/>
          <w:szCs w:val="24"/>
        </w:rPr>
      </w:pPr>
      <w:bookmarkStart w:id="65" w:name="_2r0uhxc" w:colFirst="0" w:colLast="0"/>
      <w:bookmarkEnd w:id="65"/>
      <w:r>
        <w:rPr>
          <w:sz w:val="24"/>
          <w:szCs w:val="24"/>
        </w:rPr>
        <w:t>Bolji pristup visokokvalitetnim podacima može pomoći preduzećima i zajednicama da donesu bolje odluke, istovremeno stvarajući nove mogućnosti za Crnu Goru da raste i napreduje, što je krajnji cilj koji želimo dostići tokom sprovođenja ove Strategije.</w:t>
      </w:r>
    </w:p>
    <w:p w14:paraId="3D2364FA" w14:textId="77777777" w:rsidR="005B3072" w:rsidRDefault="005B3072">
      <w:pPr>
        <w:jc w:val="both"/>
        <w:rPr>
          <w:sz w:val="24"/>
          <w:szCs w:val="24"/>
        </w:rPr>
      </w:pPr>
    </w:p>
    <w:p w14:paraId="11E5959A" w14:textId="77777777" w:rsidR="005B3072" w:rsidRDefault="00A46913">
      <w:pPr>
        <w:spacing w:line="240" w:lineRule="auto"/>
        <w:jc w:val="both"/>
        <w:rPr>
          <w:sz w:val="24"/>
          <w:szCs w:val="24"/>
        </w:rPr>
      </w:pPr>
      <w:r>
        <w:rPr>
          <w:b/>
          <w:color w:val="1155CC"/>
          <w:sz w:val="24"/>
          <w:szCs w:val="24"/>
        </w:rPr>
        <w:t>Institucije nosioci aktivnosti:</w:t>
      </w:r>
      <w:r>
        <w:rPr>
          <w:b/>
          <w:sz w:val="24"/>
          <w:szCs w:val="24"/>
        </w:rPr>
        <w:t xml:space="preserve"> </w:t>
      </w:r>
      <w:r>
        <w:rPr>
          <w:sz w:val="24"/>
          <w:szCs w:val="24"/>
        </w:rPr>
        <w:t>MJUDDM, MPNKS, MUP, UZK, MONSTAT</w:t>
      </w:r>
    </w:p>
    <w:p w14:paraId="2FA8F310" w14:textId="77777777" w:rsidR="005B3072" w:rsidRDefault="00A46913">
      <w:pPr>
        <w:spacing w:line="240" w:lineRule="auto"/>
        <w:jc w:val="both"/>
        <w:rPr>
          <w:sz w:val="24"/>
          <w:szCs w:val="24"/>
        </w:rPr>
      </w:pPr>
      <w:r>
        <w:rPr>
          <w:b/>
          <w:color w:val="1155CC"/>
          <w:sz w:val="24"/>
          <w:szCs w:val="24"/>
        </w:rPr>
        <w:t>Partneri:</w:t>
      </w:r>
      <w:r>
        <w:rPr>
          <w:b/>
          <w:sz w:val="24"/>
          <w:szCs w:val="24"/>
        </w:rPr>
        <w:t xml:space="preserve">  </w:t>
      </w:r>
      <w:r>
        <w:rPr>
          <w:sz w:val="24"/>
          <w:szCs w:val="24"/>
        </w:rPr>
        <w:t>PKCG, NVO sektor, IT zajednica, državni organi i institucije koje su prepoznate kao vlasnici registara sa ličnim podacima</w:t>
      </w:r>
    </w:p>
    <w:p w14:paraId="7F81768A" w14:textId="77777777" w:rsidR="005B3072" w:rsidRDefault="00A46913">
      <w:pPr>
        <w:jc w:val="both"/>
        <w:rPr>
          <w:sz w:val="24"/>
          <w:szCs w:val="24"/>
        </w:rPr>
      </w:pPr>
      <w:r>
        <w:rPr>
          <w:b/>
          <w:color w:val="1155CC"/>
          <w:sz w:val="26"/>
          <w:szCs w:val="26"/>
        </w:rPr>
        <w:t>Ključne aktivnosti</w:t>
      </w:r>
      <w:r>
        <w:rPr>
          <w:color w:val="002060"/>
          <w:sz w:val="24"/>
          <w:szCs w:val="24"/>
        </w:rPr>
        <w:t xml:space="preserve"> </w:t>
      </w:r>
      <w:r>
        <w:rPr>
          <w:sz w:val="24"/>
          <w:szCs w:val="24"/>
        </w:rPr>
        <w:t>koje je potrebno sprovesti za realizaciju ovog cilja prepoznate su u okviru prioritetnih oblasti:</w:t>
      </w:r>
    </w:p>
    <w:p w14:paraId="24AD8226" w14:textId="77777777" w:rsidR="005B3072" w:rsidRDefault="00A46913">
      <w:pPr>
        <w:numPr>
          <w:ilvl w:val="0"/>
          <w:numId w:val="29"/>
        </w:numPr>
        <w:spacing w:after="40"/>
        <w:rPr>
          <w:b/>
          <w:i/>
          <w:sz w:val="24"/>
          <w:szCs w:val="24"/>
        </w:rPr>
      </w:pPr>
      <w:r>
        <w:rPr>
          <w:b/>
          <w:i/>
          <w:sz w:val="24"/>
          <w:szCs w:val="24"/>
        </w:rPr>
        <w:t>Digitalizacija registara i obezbjeđenje tačnosti podataka putem sigurne veze, u skladu sa Zakonom o eUpravi</w:t>
      </w:r>
    </w:p>
    <w:p w14:paraId="2F66A294" w14:textId="77777777" w:rsidR="005B3072" w:rsidRDefault="00A46913">
      <w:pPr>
        <w:numPr>
          <w:ilvl w:val="0"/>
          <w:numId w:val="29"/>
        </w:numPr>
        <w:spacing w:after="40"/>
        <w:rPr>
          <w:b/>
          <w:i/>
          <w:sz w:val="24"/>
          <w:szCs w:val="24"/>
        </w:rPr>
      </w:pPr>
      <w:r>
        <w:rPr>
          <w:b/>
          <w:i/>
          <w:sz w:val="24"/>
          <w:szCs w:val="24"/>
        </w:rPr>
        <w:t>Promocija mogućnosti upotrebe i inovacija na osnovu otvorenih podataka</w:t>
      </w:r>
    </w:p>
    <w:p w14:paraId="0F77D924" w14:textId="77777777" w:rsidR="005B3072" w:rsidRDefault="00A46913">
      <w:pPr>
        <w:numPr>
          <w:ilvl w:val="0"/>
          <w:numId w:val="29"/>
        </w:numPr>
        <w:spacing w:after="0" w:line="240" w:lineRule="auto"/>
        <w:rPr>
          <w:b/>
          <w:i/>
          <w:sz w:val="24"/>
          <w:szCs w:val="24"/>
        </w:rPr>
      </w:pPr>
      <w:r>
        <w:rPr>
          <w:b/>
          <w:i/>
          <w:sz w:val="24"/>
          <w:szCs w:val="24"/>
        </w:rPr>
        <w:t>Identifikacioni broj IB – čiju je upotrebu potrebno promovisati kao osnovu za pokretanje e-usluga za unapređenje procesa Digitalne Transformacije</w:t>
      </w:r>
    </w:p>
    <w:p w14:paraId="03D1F799" w14:textId="77777777" w:rsidR="005B3072" w:rsidRDefault="005B3072">
      <w:pPr>
        <w:pBdr>
          <w:top w:val="nil"/>
          <w:left w:val="nil"/>
          <w:bottom w:val="nil"/>
          <w:right w:val="nil"/>
          <w:between w:val="nil"/>
        </w:pBdr>
        <w:spacing w:after="0" w:line="240" w:lineRule="auto"/>
        <w:rPr>
          <w:b/>
          <w:i/>
          <w:sz w:val="24"/>
          <w:szCs w:val="24"/>
        </w:rPr>
      </w:pPr>
    </w:p>
    <w:p w14:paraId="291460EE" w14:textId="77777777" w:rsidR="005B3072" w:rsidRDefault="00A46913">
      <w:pPr>
        <w:pBdr>
          <w:top w:val="nil"/>
          <w:left w:val="nil"/>
          <w:bottom w:val="nil"/>
          <w:right w:val="nil"/>
          <w:between w:val="nil"/>
        </w:pBdr>
        <w:jc w:val="both"/>
        <w:rPr>
          <w:sz w:val="24"/>
          <w:szCs w:val="24"/>
        </w:rPr>
      </w:pPr>
      <w:r>
        <w:rPr>
          <w:sz w:val="24"/>
          <w:szCs w:val="24"/>
        </w:rPr>
        <w:t xml:space="preserve">Izradom liste standarda tehničke interoperabilnosti, uspostavljanjem novih funkcionalnosti i razvojem smjernica odnosno vodiča za institucje kao pružalaca i/ili potrošača usluga JSERP-a, uz održavanje radionica u cilju pune primjene Zakona o upravnom postupku po principu sprovođenja upravnih aktivnosti na jednom mjestu stvoriće se uslovi da institucije elektronski na brz i pouzdan način realizuju obaveze prikupljanja dokumentacije po službenoj dužnosti. </w:t>
      </w:r>
    </w:p>
    <w:p w14:paraId="0DD754B8" w14:textId="77777777" w:rsidR="005B3072" w:rsidRDefault="00A46913">
      <w:pPr>
        <w:pBdr>
          <w:top w:val="nil"/>
          <w:left w:val="nil"/>
          <w:bottom w:val="nil"/>
          <w:right w:val="nil"/>
          <w:between w:val="nil"/>
        </w:pBdr>
        <w:jc w:val="both"/>
        <w:rPr>
          <w:b/>
          <w:i/>
          <w:sz w:val="24"/>
          <w:szCs w:val="24"/>
        </w:rPr>
      </w:pPr>
      <w:r>
        <w:rPr>
          <w:sz w:val="24"/>
          <w:szCs w:val="24"/>
        </w:rPr>
        <w:lastRenderedPageBreak/>
        <w:t xml:space="preserve">Mogućnosti upotrebe i funkcije otvorenih podataka u cilju povećanja broja institucija koje objavljuju podatke na portalu otvorenih podataka i povećanja broja setova podataka “visokog stepena važnosti” potrebno je promovisati na različite načine: primjerima inspirativnih praksi za inovativno korišćenje otvorenih podataka u Crnoj Gori i u EU; održavanjem hakatona za poslovne zajednice i startapove za stvaranje inovativnih rješenja uz upotrebu otvorenih podataka; izradom odgovarajućih smjernica za institucije o načinu i značaju objavljivanja podataka u otvorenom formatu itd. </w:t>
      </w:r>
    </w:p>
    <w:p w14:paraId="18D9CA8C" w14:textId="77777777" w:rsidR="005B3072" w:rsidRDefault="005B3072">
      <w:pPr>
        <w:pBdr>
          <w:top w:val="nil"/>
          <w:left w:val="nil"/>
          <w:bottom w:val="nil"/>
          <w:right w:val="nil"/>
          <w:between w:val="nil"/>
        </w:pBdr>
        <w:spacing w:after="0" w:line="240" w:lineRule="auto"/>
        <w:rPr>
          <w:b/>
          <w:i/>
          <w:sz w:val="24"/>
          <w:szCs w:val="24"/>
        </w:rPr>
      </w:pPr>
    </w:p>
    <w:p w14:paraId="763C1D12" w14:textId="77777777" w:rsidR="005B3072" w:rsidRDefault="00A46913">
      <w:pPr>
        <w:pBdr>
          <w:bottom w:val="single" w:sz="24" w:space="1" w:color="00B0F0"/>
        </w:pBdr>
        <w:jc w:val="both"/>
        <w:rPr>
          <w:b/>
          <w:sz w:val="28"/>
          <w:szCs w:val="28"/>
        </w:rPr>
      </w:pPr>
      <w:bookmarkStart w:id="66" w:name="_1664s55" w:colFirst="0" w:colLast="0"/>
      <w:bookmarkEnd w:id="66"/>
      <w:r>
        <w:rPr>
          <w:b/>
          <w:sz w:val="26"/>
          <w:szCs w:val="26"/>
        </w:rPr>
        <w:t>Cilj</w:t>
      </w:r>
      <w:r>
        <w:rPr>
          <w:b/>
          <w:sz w:val="28"/>
          <w:szCs w:val="28"/>
        </w:rPr>
        <w:t xml:space="preserve"> 1.3. </w:t>
      </w:r>
      <w:r>
        <w:rPr>
          <w:b/>
          <w:sz w:val="26"/>
          <w:szCs w:val="26"/>
        </w:rPr>
        <w:t>Povećana pokrivenost i modernizacija elektronske komunikacione infrastrukture</w:t>
      </w:r>
    </w:p>
    <w:p w14:paraId="7B342EED" w14:textId="77777777" w:rsidR="005B3072" w:rsidRDefault="00A46913">
      <w:pPr>
        <w:spacing w:line="240" w:lineRule="auto"/>
        <w:jc w:val="both"/>
        <w:rPr>
          <w:sz w:val="24"/>
          <w:szCs w:val="24"/>
        </w:rPr>
      </w:pPr>
      <w:r>
        <w:rPr>
          <w:sz w:val="24"/>
          <w:szCs w:val="24"/>
        </w:rPr>
        <w:t xml:space="preserve">Jedan od osnovnih i neophodnih preduslova procesa digitalizacije jeste povećanje pokrivenosti populacije širokopojasnim pristupom (fiksnim i mobilnim). Upravo širenje dostupnosti fiksnog broadband pristupa sa brzinama 100Mbps+ kao i uvođenje i šira rasprostranjenost 5G servisa su ključne stavke za ubrzani i kvalitetni napredak i približavanje ciljevima iz EU dokumenta Evropsko gigabitno društvo 2025. godine. </w:t>
      </w:r>
    </w:p>
    <w:p w14:paraId="1BF92FD0" w14:textId="77777777" w:rsidR="005B3072" w:rsidRDefault="00A46913">
      <w:pPr>
        <w:spacing w:line="240" w:lineRule="auto"/>
        <w:jc w:val="both"/>
        <w:rPr>
          <w:b/>
          <w:sz w:val="24"/>
          <w:szCs w:val="24"/>
        </w:rPr>
      </w:pPr>
      <w:r>
        <w:rPr>
          <w:b/>
          <w:color w:val="1155CC"/>
          <w:sz w:val="24"/>
          <w:szCs w:val="24"/>
        </w:rPr>
        <w:t>Institucije nosioci aktivnosti</w:t>
      </w:r>
      <w:r>
        <w:rPr>
          <w:b/>
          <w:color w:val="1F4E79"/>
          <w:sz w:val="24"/>
          <w:szCs w:val="24"/>
        </w:rPr>
        <w:t xml:space="preserve">: </w:t>
      </w:r>
      <w:r>
        <w:rPr>
          <w:sz w:val="24"/>
          <w:szCs w:val="24"/>
        </w:rPr>
        <w:t>MER, PKCG, MJUDDM, EKIP</w:t>
      </w:r>
    </w:p>
    <w:p w14:paraId="41ABFFD3" w14:textId="77777777" w:rsidR="005B3072" w:rsidRDefault="00A46913">
      <w:pPr>
        <w:jc w:val="both"/>
        <w:rPr>
          <w:sz w:val="24"/>
          <w:szCs w:val="24"/>
        </w:rPr>
      </w:pPr>
      <w:r>
        <w:rPr>
          <w:b/>
          <w:color w:val="1155CC"/>
          <w:sz w:val="24"/>
          <w:szCs w:val="24"/>
        </w:rPr>
        <w:t>Ključne aktivnosti</w:t>
      </w:r>
      <w:r>
        <w:rPr>
          <w:color w:val="002060"/>
          <w:sz w:val="24"/>
          <w:szCs w:val="24"/>
        </w:rPr>
        <w:t xml:space="preserve"> </w:t>
      </w:r>
      <w:r>
        <w:rPr>
          <w:sz w:val="24"/>
          <w:szCs w:val="24"/>
        </w:rPr>
        <w:t>koje je potrebno sprovesti za realizaciju ovog cilja definisane su u okviru oblasti:</w:t>
      </w:r>
    </w:p>
    <w:p w14:paraId="7E822381"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Propisivanje ciljeva, mjera i modela za razvoj širokopojasnog pristupa, sa ciljevima koji će u najvećoj mjeri biti u skladu sa dokumentom EU „Evropsko gigabitno društvo 2025“</w:t>
      </w:r>
    </w:p>
    <w:p w14:paraId="6199149B"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Uvođenje visokog nivoa pokrivanja 5G mrežom i povećana upotreba pristupa Internetu</w:t>
      </w:r>
    </w:p>
    <w:p w14:paraId="48B86B2E"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Povećanje brzine komunikacionih linkova između ključnih državnih institucija sa 1Gbit/s na 10Gbit/s</w:t>
      </w:r>
    </w:p>
    <w:p w14:paraId="65F49AA0"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Uspostavljanje kriptovane komunikacije između ključnih državnih institucija</w:t>
      </w:r>
    </w:p>
    <w:p w14:paraId="73DCE0EF" w14:textId="77777777" w:rsidR="005B3072" w:rsidRDefault="005B3072">
      <w:pPr>
        <w:pBdr>
          <w:top w:val="nil"/>
          <w:left w:val="nil"/>
          <w:bottom w:val="nil"/>
          <w:right w:val="nil"/>
          <w:between w:val="nil"/>
        </w:pBdr>
        <w:spacing w:after="0" w:line="240" w:lineRule="auto"/>
        <w:ind w:left="360"/>
        <w:rPr>
          <w:b/>
          <w:i/>
          <w:color w:val="000000"/>
          <w:sz w:val="24"/>
          <w:szCs w:val="24"/>
        </w:rPr>
      </w:pPr>
    </w:p>
    <w:p w14:paraId="7BAE37D7" w14:textId="77777777" w:rsidR="005B3072" w:rsidRDefault="00A46913">
      <w:pPr>
        <w:jc w:val="both"/>
        <w:rPr>
          <w:sz w:val="24"/>
          <w:szCs w:val="24"/>
        </w:rPr>
      </w:pPr>
      <w:r>
        <w:rPr>
          <w:sz w:val="24"/>
          <w:szCs w:val="24"/>
        </w:rPr>
        <w:t xml:space="preserve">Ono što su neophodne pretpostavke jeste usklađivanje i donošenje odgovarajuće legislative usklađene sa EU legilativom ali i priprema i kasnije realizacija Nacionalnog plana širenja širokopojasne mreže. Naravno potrebno je formirati i nacionalnu kancelariju za širokopojasni pristup koja bi to sve pratila. Sve ove aktivnosti u ključnom domenu su u nadležnosti MER.  Takođe neizostavan element je i modernizacija i unapređenje infrastruktutre ključnih državnih institucija kroz povećanje kapaciteta kao i kriptovanje komunikacije između pomenutih institucija a u skladu sa svim važećim standardima jer sigurnost podataka i njihova dostupnost je obavezujući element u svakom digitalnom društvu. Ovaj dio realizacije je u nadležnosti MJUDDM-a, a jedan dio će se sprovoditi kroz </w:t>
      </w:r>
      <w:r>
        <w:rPr>
          <w:b/>
          <w:i/>
          <w:sz w:val="24"/>
          <w:szCs w:val="24"/>
        </w:rPr>
        <w:t>Strategiju sajber bezbjednosti 2022-2026</w:t>
      </w:r>
      <w:r>
        <w:rPr>
          <w:sz w:val="24"/>
          <w:szCs w:val="24"/>
        </w:rPr>
        <w:t>.</w:t>
      </w:r>
    </w:p>
    <w:p w14:paraId="65A13F98" w14:textId="77777777" w:rsidR="005B3072" w:rsidRDefault="005B3072">
      <w:pPr>
        <w:jc w:val="both"/>
        <w:rPr>
          <w:sz w:val="24"/>
          <w:szCs w:val="24"/>
        </w:rPr>
      </w:pPr>
    </w:p>
    <w:p w14:paraId="76119A3C" w14:textId="77777777" w:rsidR="005B3072" w:rsidRDefault="00A46913">
      <w:pPr>
        <w:pBdr>
          <w:bottom w:val="single" w:sz="24" w:space="1" w:color="00B0F0"/>
        </w:pBdr>
        <w:jc w:val="both"/>
        <w:rPr>
          <w:b/>
          <w:sz w:val="26"/>
          <w:szCs w:val="26"/>
        </w:rPr>
      </w:pPr>
      <w:r>
        <w:rPr>
          <w:b/>
          <w:sz w:val="26"/>
          <w:szCs w:val="26"/>
        </w:rPr>
        <w:t>Cilj 1.4: Razvoj i unapređenje digitalnih znanja i vještina crnogorskog društva</w:t>
      </w:r>
    </w:p>
    <w:p w14:paraId="1C56DED8" w14:textId="77777777" w:rsidR="005B3072" w:rsidRDefault="00A46913">
      <w:pPr>
        <w:jc w:val="both"/>
        <w:rPr>
          <w:sz w:val="24"/>
          <w:szCs w:val="24"/>
        </w:rPr>
      </w:pPr>
      <w:r>
        <w:rPr>
          <w:sz w:val="24"/>
          <w:szCs w:val="24"/>
        </w:rPr>
        <w:t xml:space="preserve">Razvoj i unapređenje digitalnih znanja i vještina svih grupa stanovništva je preduslov za digitalnu transformaciju jednog društva. S jedne strane, razvoj elektronskih usluga ima efekta ukoliko građani imaju dovoljan nivo digitalnih znanja i vještina da mogu da koriste elektronske usluge. Drugo, digitalizacija poslovnih procesa u javnoj upravi je moguća ukoliko službenici imaju odgovarajući nivo digitalnih znanja i vještina da sprovode procese na taj način (vrše obradu predmeta koji je pristigao elektronskim putem, obradu zahtjeva podnijetih kroz elektronsku uslugu itd). Treće, razvoj digitalizacije zavisi od IT kadra koji mora redovno da se edukuje i prati tehnološke izmjene koje se dešavaju sa razvojem tehnologije. I četvrto, </w:t>
      </w:r>
      <w:r>
        <w:rPr>
          <w:sz w:val="24"/>
          <w:szCs w:val="24"/>
        </w:rPr>
        <w:lastRenderedPageBreak/>
        <w:t>sticanje digitalnih znanja i vještina je osnova i za podsticanje zapošljavanja, jer je danas za svako radno mjesto neophodno da zaposleni posjeduje osnovna znanja korišćenja računara.</w:t>
      </w:r>
    </w:p>
    <w:p w14:paraId="4BAFBF70" w14:textId="77777777" w:rsidR="005B3072" w:rsidRDefault="00A46913">
      <w:pPr>
        <w:spacing w:before="240" w:after="240"/>
        <w:jc w:val="both"/>
        <w:rPr>
          <w:sz w:val="24"/>
          <w:szCs w:val="24"/>
        </w:rPr>
      </w:pPr>
      <w:r>
        <w:rPr>
          <w:sz w:val="24"/>
          <w:szCs w:val="24"/>
        </w:rPr>
        <w:t>Takođe, jedan od ciljeva Strategije u dijelu digitalnih vještina jeste balansiranje između "hard" i "soft" vještina. U tom smislu kada govorimo o "hard" vještinama potrebno je angažovanje u dva smjera: unapređenje znanja inžinjera za specifične oblasti IT znanja koja su potrebna tržištu i prekvalifikacija visoko obrazovanih nezaposlenih ljudi za bazične tehničke poslove u IT industriji. Ovaj projekat treba da se sprovodi zajedno sa ICT i akademskoj zajednicom.</w:t>
      </w:r>
    </w:p>
    <w:p w14:paraId="305003A8" w14:textId="77777777" w:rsidR="005B3072" w:rsidRDefault="00A46913">
      <w:pPr>
        <w:spacing w:line="240" w:lineRule="auto"/>
        <w:jc w:val="both"/>
        <w:rPr>
          <w:sz w:val="24"/>
          <w:szCs w:val="24"/>
        </w:rPr>
      </w:pPr>
      <w:r>
        <w:rPr>
          <w:b/>
          <w:color w:val="1F4E79"/>
          <w:sz w:val="24"/>
          <w:szCs w:val="24"/>
        </w:rPr>
        <w:t>Institucije nosioci aktivnosti</w:t>
      </w:r>
      <w:r>
        <w:rPr>
          <w:b/>
          <w:sz w:val="24"/>
          <w:szCs w:val="24"/>
        </w:rPr>
        <w:t xml:space="preserve">: </w:t>
      </w:r>
      <w:r>
        <w:rPr>
          <w:sz w:val="24"/>
          <w:szCs w:val="24"/>
        </w:rPr>
        <w:t>MPNKS, MJUDDM, UZK, Agencija za kontrolu i obezbjeđenje kvaliteta visokog obrazovanja</w:t>
      </w:r>
    </w:p>
    <w:p w14:paraId="08A900F4" w14:textId="77777777" w:rsidR="005B3072" w:rsidRDefault="00A46913">
      <w:pPr>
        <w:spacing w:line="240" w:lineRule="auto"/>
        <w:jc w:val="both"/>
        <w:rPr>
          <w:sz w:val="24"/>
          <w:szCs w:val="24"/>
        </w:rPr>
      </w:pPr>
      <w:r>
        <w:rPr>
          <w:b/>
          <w:color w:val="1F4E79"/>
          <w:sz w:val="24"/>
          <w:szCs w:val="24"/>
        </w:rPr>
        <w:t>Partneri:</w:t>
      </w:r>
      <w:r>
        <w:rPr>
          <w:b/>
          <w:sz w:val="24"/>
          <w:szCs w:val="24"/>
        </w:rPr>
        <w:t xml:space="preserve"> </w:t>
      </w:r>
      <w:r>
        <w:rPr>
          <w:sz w:val="24"/>
          <w:szCs w:val="24"/>
        </w:rPr>
        <w:t>PKCG, Zavod za zapošljavanje Crne Gore, ICT klasteri, Naučno-tehnološki centar, CSO, UNDP, UNICEF, Organizatori obrazovanja odraslih, Organizacije OSI, Univerziteti</w:t>
      </w:r>
    </w:p>
    <w:p w14:paraId="5696379A" w14:textId="77777777" w:rsidR="005B3072" w:rsidRDefault="00A46913">
      <w:pPr>
        <w:jc w:val="both"/>
        <w:rPr>
          <w:sz w:val="24"/>
          <w:szCs w:val="24"/>
        </w:rPr>
      </w:pPr>
      <w:r>
        <w:rPr>
          <w:b/>
          <w:color w:val="1155CC"/>
          <w:sz w:val="24"/>
          <w:szCs w:val="24"/>
        </w:rPr>
        <w:t>Ključne oblasti u okviru kojih će se sprovoditi aktivnost</w:t>
      </w:r>
      <w:r>
        <w:rPr>
          <w:b/>
          <w:color w:val="2E75B5"/>
          <w:sz w:val="24"/>
          <w:szCs w:val="24"/>
        </w:rPr>
        <w:t>i</w:t>
      </w:r>
      <w:r>
        <w:rPr>
          <w:color w:val="2E75B5"/>
          <w:sz w:val="24"/>
          <w:szCs w:val="24"/>
        </w:rPr>
        <w:t xml:space="preserve"> </w:t>
      </w:r>
      <w:r>
        <w:rPr>
          <w:sz w:val="24"/>
          <w:szCs w:val="24"/>
        </w:rPr>
        <w:t>u cilju ostvarenja ovog cilja su:</w:t>
      </w:r>
    </w:p>
    <w:p w14:paraId="5BDFFA2B"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Unapređenje sistema formalnog obrazovanja</w:t>
      </w:r>
    </w:p>
    <w:p w14:paraId="3A8D1AB0"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Podsticanje zapošljivosti kroz uspostavljanje sistema podrške za sticanje znanja i vještina</w:t>
      </w:r>
    </w:p>
    <w:p w14:paraId="5245AE53"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Unapređenje digitalnih znanja i vještina u javnoj upravi kao i osnaživanje javnih službenika u njihovoj edukaciji i daljem karijernom razvoju</w:t>
      </w:r>
    </w:p>
    <w:p w14:paraId="563D7E91"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Unapređenje digitalnih znanja i vještina za osjetljive grupe građana (starija populacija, osobe sa invaliditetom, RE populacija itd.) u procesu cjeloživotnog učenja</w:t>
      </w:r>
    </w:p>
    <w:p w14:paraId="102D6768" w14:textId="77777777" w:rsidR="005B3072" w:rsidRDefault="005B3072">
      <w:pPr>
        <w:pBdr>
          <w:top w:val="nil"/>
          <w:left w:val="nil"/>
          <w:bottom w:val="nil"/>
          <w:right w:val="nil"/>
          <w:between w:val="nil"/>
        </w:pBdr>
        <w:spacing w:after="0" w:line="240" w:lineRule="auto"/>
        <w:rPr>
          <w:b/>
          <w:i/>
          <w:color w:val="000000"/>
          <w:sz w:val="24"/>
          <w:szCs w:val="24"/>
        </w:rPr>
      </w:pPr>
    </w:p>
    <w:p w14:paraId="38E4B562" w14:textId="77777777" w:rsidR="005B3072" w:rsidRDefault="00A46913">
      <w:pPr>
        <w:jc w:val="both"/>
        <w:rPr>
          <w:b/>
          <w:sz w:val="24"/>
          <w:szCs w:val="24"/>
        </w:rPr>
      </w:pPr>
      <w:r>
        <w:rPr>
          <w:b/>
          <w:sz w:val="24"/>
          <w:szCs w:val="24"/>
        </w:rPr>
        <w:t>Unapređenje sistema formalnog obrazovanja</w:t>
      </w:r>
    </w:p>
    <w:p w14:paraId="390F37B6" w14:textId="77777777" w:rsidR="005B3072" w:rsidRDefault="00A46913">
      <w:pPr>
        <w:jc w:val="both"/>
        <w:rPr>
          <w:sz w:val="24"/>
          <w:szCs w:val="24"/>
        </w:rPr>
      </w:pPr>
      <w:r>
        <w:rPr>
          <w:sz w:val="24"/>
          <w:szCs w:val="24"/>
        </w:rPr>
        <w:t xml:space="preserve">Digitalna transformacija počinje od transformacije, odnosno od digitalizacije cijelokupnog obrazovnog sistema, počevši od predškolskog obrazovanja pa do visokog. Kada je u pitanju formalni sistem obrazovanja, </w:t>
      </w:r>
      <w:r>
        <w:rPr>
          <w:b/>
          <w:i/>
          <w:sz w:val="24"/>
          <w:szCs w:val="24"/>
        </w:rPr>
        <w:t>Strategijom za digitalizaciju obrazovnog sistema</w:t>
      </w:r>
      <w:r>
        <w:rPr>
          <w:sz w:val="24"/>
          <w:szCs w:val="24"/>
        </w:rPr>
        <w:t xml:space="preserve"> obuhvatiće se svi nivoi obrazovanja do nivoa visokog, dok će se u ovoj strategiji naći aktivnosti koje utiču na visoko obrazovanje. Glavni cilj ovih aktivnosti je da se promijeni inicijalno obrazovanje na mnogim studijskim programima (obrazovanje nastavnika, obrazovanje pravnika itd). Izmjena podrazumijeva promjene studijskih programa koje mogu da dovedu po ponovne akreditacije studijskih programa. Osim toga, važno je posebnu pažnju posvetiti povećanju broja studenata na fakultetima iz oblasti IT-ja zbog čega je potrebno razviti sistem stipendiranja.</w:t>
      </w:r>
    </w:p>
    <w:p w14:paraId="17D9030F" w14:textId="77777777" w:rsidR="005B3072" w:rsidRDefault="00A46913">
      <w:pPr>
        <w:rPr>
          <w:b/>
          <w:sz w:val="24"/>
          <w:szCs w:val="24"/>
        </w:rPr>
      </w:pPr>
      <w:r>
        <w:rPr>
          <w:b/>
          <w:sz w:val="24"/>
          <w:szCs w:val="24"/>
        </w:rPr>
        <w:t>Podsticanje zapošljivosti kroz uspostavljanje sistema podrške za sticanje znanja i vještina</w:t>
      </w:r>
    </w:p>
    <w:p w14:paraId="7B5703ED" w14:textId="77777777" w:rsidR="005B3072" w:rsidRDefault="00A46913">
      <w:pPr>
        <w:jc w:val="both"/>
        <w:rPr>
          <w:sz w:val="24"/>
          <w:szCs w:val="24"/>
        </w:rPr>
      </w:pPr>
      <w:r>
        <w:rPr>
          <w:sz w:val="24"/>
          <w:szCs w:val="24"/>
        </w:rPr>
        <w:t xml:space="preserve">Smanjenje broja nezaposlenih je jedan od osnovnih ciljeva svake države. Osposobljavanje građana digitalnim vještinama je danas osnovna edukacija koju je neophodno ponuditi nezaposlenim licima jer se upravo te vještine traže skoro na svim radnim mjestima, a nivo znanja zavisi od zahtjeva određenog radnog mjesta. Sprovođenje obuka za nezaposlene realizuje se preko organizatora obrazovanja odraslih. Da bi građani dobili mogućnost pohađanja adekvatne obuke kroz koje će steći potreban nivo znanja i vještina za zapošljavanje potrebno je sprovesti analizu ponude koja postoji na strani organizatora obrazovanja odraslih i inicirati akreditaciju novih ukoliko analiza pokaže potrebu za tim. Nakon toga, </w:t>
      </w:r>
      <w:r>
        <w:rPr>
          <w:sz w:val="24"/>
          <w:szCs w:val="24"/>
        </w:rPr>
        <w:lastRenderedPageBreak/>
        <w:t>neophodno je organizovati niz obuka kako bi se stvorili uslovi za potencijalno nova zapošljavanja, zahvaljujući sticanju traženih znanja.</w:t>
      </w:r>
    </w:p>
    <w:p w14:paraId="543EA51D" w14:textId="77777777" w:rsidR="005B3072" w:rsidRDefault="00A46913">
      <w:pPr>
        <w:rPr>
          <w:b/>
          <w:sz w:val="24"/>
          <w:szCs w:val="24"/>
        </w:rPr>
      </w:pPr>
      <w:r>
        <w:rPr>
          <w:b/>
          <w:sz w:val="24"/>
          <w:szCs w:val="24"/>
        </w:rPr>
        <w:t>Unapređenje digitalnih znanja i vještina u javnoj upravi kao i osnaživanje javnih službenika u njihovoj edukaciji i daljem karijernom razvoju</w:t>
      </w:r>
    </w:p>
    <w:p w14:paraId="025139DB" w14:textId="77777777" w:rsidR="005B3072" w:rsidRDefault="00A46913">
      <w:pPr>
        <w:jc w:val="both"/>
        <w:rPr>
          <w:sz w:val="24"/>
          <w:szCs w:val="24"/>
        </w:rPr>
      </w:pPr>
      <w:r>
        <w:rPr>
          <w:sz w:val="24"/>
          <w:szCs w:val="24"/>
        </w:rPr>
        <w:t>Aktivnosti (Ankes 1) koje se odnose na unapređenje digitalnih znanja i vještina u javnoj upravi kao i osnaživanje javnih službenika u njihovoj edukaciji i daljem karijernom razvoju, će biti prepoznate i realizovaće se kroz</w:t>
      </w:r>
      <w:r>
        <w:rPr>
          <w:b/>
          <w:sz w:val="24"/>
          <w:szCs w:val="24"/>
        </w:rPr>
        <w:t xml:space="preserve"> Strategiju reforme javne uprave 2022-2026</w:t>
      </w:r>
      <w:r>
        <w:rPr>
          <w:sz w:val="24"/>
          <w:szCs w:val="24"/>
        </w:rPr>
        <w:t>, tačnije kroz</w:t>
      </w:r>
      <w:r>
        <w:rPr>
          <w:b/>
          <w:sz w:val="24"/>
          <w:szCs w:val="24"/>
        </w:rPr>
        <w:t xml:space="preserve"> </w:t>
      </w:r>
      <w:r>
        <w:rPr>
          <w:sz w:val="24"/>
          <w:szCs w:val="24"/>
        </w:rPr>
        <w:t>Operativni cilj Javna uprava atraktivan poslodavac – efikasan sistem napredovanja i nagrađivanja na osnovu praćenja rezultata rada, ocjenjivanja i stalnog usavršavanja.</w:t>
      </w:r>
    </w:p>
    <w:p w14:paraId="012544C1" w14:textId="77777777" w:rsidR="005B3072" w:rsidRDefault="00A46913">
      <w:pPr>
        <w:jc w:val="both"/>
        <w:rPr>
          <w:sz w:val="24"/>
          <w:szCs w:val="24"/>
        </w:rPr>
      </w:pPr>
      <w:bookmarkStart w:id="67" w:name="_3q5sasy" w:colFirst="0" w:colLast="0"/>
      <w:bookmarkEnd w:id="67"/>
      <w:r>
        <w:rPr>
          <w:sz w:val="24"/>
          <w:szCs w:val="24"/>
        </w:rPr>
        <w:t xml:space="preserve">Nivoi digitalnih znanja i vještina u javnoj upravi u zavisnosti od radnog mjesta su preduslov za uspješnu modernizaciju i digitalizaciju javnog sektora. Svaki zaposleni mora da ima osnovne digitalne vještine ali i specijalizovane u odnosu na to koje radno mjesto pokriva i šta mu je potrebno za rad. S tim u vezi potrebno je kreirati osnovni program obuke kroz nekoliko modula, a koji bi omogućili sticanje osnovih znanja korišćenja računara, programa za obradu teksta, programa za tabelarne kalkulacije, program za izradu prezentacija, korišćenje interneta, bezbjedno korišćenje tehnologije i programe za online kolaboraciju. Specijalizovane obuke moraju da budu u skladu sa potrebama određenih službi (finansije, pravo itd.). Osim toga, potrebno je sprovoditi redovne obuke za korišćenje svih aplikativnih rješenja koja su implementirana u javnoj upravi. Posebnu pažnju treba posvetiti kadrovima koje se bave poslovima iz oblasti IT-ja. </w:t>
      </w:r>
    </w:p>
    <w:p w14:paraId="0DCB4A74" w14:textId="77777777" w:rsidR="005B3072" w:rsidRDefault="00A46913">
      <w:pPr>
        <w:jc w:val="both"/>
        <w:rPr>
          <w:sz w:val="24"/>
          <w:szCs w:val="24"/>
        </w:rPr>
      </w:pPr>
      <w:bookmarkStart w:id="68" w:name="_buwh563ec7dx" w:colFirst="0" w:colLast="0"/>
      <w:bookmarkEnd w:id="68"/>
      <w:r>
        <w:rPr>
          <w:sz w:val="24"/>
          <w:szCs w:val="24"/>
        </w:rPr>
        <w:t xml:space="preserve">U svrhu stvaranja efikasne, profesionalne, odgovorne i ka građanima orjentisane javne administracije, potrebno je stvoriti sistemski i kontinuiran proces stručnog osposobljavanja i usavršavanja službenika u domenu digitalnih i njima komplementarnih vještina, odnosno i omogućiti njihov kontinuirani razvoj. Potrebe građana u dijelu kvalitetnih politika, procesa i usluga, mogu zadovoljiti, a digitalnu Crnu Goru razviti samo osnaženi javni službenici i zato je lansiranje </w:t>
      </w:r>
      <w:r>
        <w:rPr>
          <w:b/>
          <w:sz w:val="24"/>
          <w:szCs w:val="24"/>
        </w:rPr>
        <w:t>Digitalne akademije</w:t>
      </w:r>
      <w:r>
        <w:rPr>
          <w:sz w:val="24"/>
          <w:szCs w:val="24"/>
        </w:rPr>
        <w:t xml:space="preserve"> - platforme za povezivanje svih relevantnih aktera koji rade na građenju digitalnih i liderskih vještina javnih službenika, studenata i ranjivih grupa od strateškog značaja. Takođe mijenjanje cjelokupne radne kulture, razvijanje produkt menadžmenta i “soft” vještina kao discipline u radu na brojnim projektima i programima, koristeći savremene alate, za državne službenike biće potpuno novo iskustvo učenja, koje će se realizovati kroz projekat </w:t>
      </w:r>
      <w:r>
        <w:rPr>
          <w:b/>
          <w:sz w:val="24"/>
          <w:szCs w:val="24"/>
        </w:rPr>
        <w:t>Digitalne akademije</w:t>
      </w:r>
      <w:r>
        <w:rPr>
          <w:sz w:val="24"/>
          <w:szCs w:val="24"/>
        </w:rPr>
        <w:t xml:space="preserve"> i u konačnom, uticati na njihove svakodnevne rezultate u radu. </w:t>
      </w:r>
    </w:p>
    <w:p w14:paraId="4AF4004D" w14:textId="77777777" w:rsidR="005B3072" w:rsidRDefault="00A46913">
      <w:pPr>
        <w:jc w:val="both"/>
        <w:rPr>
          <w:sz w:val="24"/>
          <w:szCs w:val="24"/>
        </w:rPr>
      </w:pPr>
      <w:r>
        <w:rPr>
          <w:sz w:val="24"/>
          <w:szCs w:val="24"/>
        </w:rPr>
        <w:t>Usvajanje koncepta Digitalne akademije i razvijanje Ilijas platforme za online edukaciju, predstavlja snažan impuls profesionalnog razvoja službenika. Međutim, iako će se aktivnosti ovog projekta posebno pratiti kroz Strategiju reforme javne uprave 2022-2026, širi strateški prioriteti usmjereni su zapravo na prevazilaženje digitalnog jaza i kontinuiranu edukaciju ne samo za javnih službenika već i šire javnosti sa naročitim osvrtom na marginalizovane grupe građana. Kroz Opšti program Akademije, koji može biti predmet dodatnog prilagođavanja, biće sprovedene obuke/kursevi za dizajn usmjeren na čovjeka (human-centered design) i upravljanje promjenama (change management), upravljanje projektima / upravljanje proizvodima (project management vs. product management), te agilnog menadžmenta i druge.</w:t>
      </w:r>
    </w:p>
    <w:p w14:paraId="0DBC7195" w14:textId="77777777" w:rsidR="005B3072" w:rsidRDefault="00A46913">
      <w:pPr>
        <w:jc w:val="both"/>
        <w:rPr>
          <w:b/>
          <w:sz w:val="24"/>
          <w:szCs w:val="24"/>
        </w:rPr>
      </w:pPr>
      <w:r>
        <w:rPr>
          <w:b/>
          <w:sz w:val="24"/>
          <w:szCs w:val="24"/>
        </w:rPr>
        <w:lastRenderedPageBreak/>
        <w:t>Unapređenje digitalnih znanja i vještina za osjetljive grupe građana (starija populacija, osobe sa invaliditetom, RE populacija itd.) u procesu cjeloživotnog učenja</w:t>
      </w:r>
    </w:p>
    <w:p w14:paraId="115E247E" w14:textId="77777777" w:rsidR="005B3072" w:rsidRDefault="00A46913">
      <w:pPr>
        <w:spacing w:before="240" w:after="240"/>
        <w:jc w:val="both"/>
        <w:rPr>
          <w:sz w:val="24"/>
          <w:szCs w:val="24"/>
        </w:rPr>
      </w:pPr>
      <w:r>
        <w:rPr>
          <w:sz w:val="24"/>
          <w:szCs w:val="24"/>
        </w:rPr>
        <w:t>Savremeno digitalno društvo mora se graditi na vrijednostima ravnopravnosti, inkluzivnosti, otvorenosti, jednakih šansi, stoga je nužno integrisati aktivnosti koje smanjuju digitalnu isključenost u svakom pogledu i kada govorimo o unapređenju digitalnih znanja i vještina planirati obuke osjetljivih grupa stanovništva. Obuke moraju biti prilagođene ciljnim grupama u smislu dinamike ili nekih drugih obrazovnih potreba u zavisnosti da li se odnose na mlade, stariju populaciju, nezaposlene, RE populaciju, OSI, žene, građane koji žive u seoskim područjima i druge osjetljive kategorije, bilo da se radi o ciljnim grupama koje su korisnici elektronskih usluga i/ili potencijalni kandidati za zapošljavanje. Kroz ovu oblast moglo bi se podstaći starije stanovništo na korišćenje tehnologije kako bi se efikasnije koristile neke elektronske usluge, kao na primjer eZdravlje za zakazivanje ili naručivanje recepata, a npr. osobe sa invaliditetom na korišćenje tehnologije kako bi povećali mogućnost zapošljavanja na administrativnim poslovima, kao i kategorije stanovništva koje su eventualno prepoznate kao ugrožena kategorija prilikom zapošljavanja.</w:t>
      </w:r>
      <w:r>
        <w:rPr>
          <w:sz w:val="24"/>
          <w:szCs w:val="24"/>
          <w:vertAlign w:val="superscript"/>
        </w:rPr>
        <w:footnoteReference w:id="73"/>
      </w:r>
      <w:r>
        <w:rPr>
          <w:sz w:val="24"/>
          <w:szCs w:val="24"/>
        </w:rPr>
        <w:t xml:space="preserve"> </w:t>
      </w:r>
    </w:p>
    <w:p w14:paraId="63AAB490" w14:textId="77777777" w:rsidR="005B3072" w:rsidRDefault="005B3072">
      <w:pPr>
        <w:spacing w:before="240" w:after="240"/>
        <w:jc w:val="both"/>
        <w:rPr>
          <w:sz w:val="24"/>
          <w:szCs w:val="24"/>
        </w:rPr>
      </w:pPr>
    </w:p>
    <w:p w14:paraId="26DDDA65" w14:textId="77777777" w:rsidR="005B3072" w:rsidRDefault="00A46913">
      <w:pPr>
        <w:pBdr>
          <w:bottom w:val="single" w:sz="24" w:space="1" w:color="00B0F0"/>
        </w:pBdr>
        <w:jc w:val="both"/>
        <w:rPr>
          <w:b/>
          <w:sz w:val="26"/>
          <w:szCs w:val="26"/>
        </w:rPr>
      </w:pPr>
      <w:r>
        <w:rPr>
          <w:b/>
          <w:sz w:val="26"/>
          <w:szCs w:val="26"/>
        </w:rPr>
        <w:t>Operativni cilj 2.1: Podizanje svijesti građana i privrede o važnosti digitalnog razvoja</w:t>
      </w:r>
    </w:p>
    <w:p w14:paraId="2810259E" w14:textId="77777777" w:rsidR="005B3072" w:rsidRDefault="00A46913">
      <w:pPr>
        <w:jc w:val="both"/>
        <w:rPr>
          <w:sz w:val="24"/>
          <w:szCs w:val="24"/>
        </w:rPr>
      </w:pPr>
      <w:r>
        <w:rPr>
          <w:sz w:val="24"/>
          <w:szCs w:val="24"/>
        </w:rPr>
        <w:t xml:space="preserve">Jedan od prepoznatih ključnih izazova u procesu digitalizacije jeste stepen razumjevanja i percepcija građana i biznis zajednice o važnosti digitalnog razvoja koju je teško mjeriti. Digitalna transformacija odnosno digitalni razvoj društva je proces koji zahtjeva kontinuitet u sprovođenju, dok je situacija sa pandemijom COVID-19 upravo doprinjela maloj promjeni svijesti građana u percepciji digitalizacije procesa i njihovoj neophodnosti korisnosti u svakodnevnom životu. Da bi se kreirala holistička i održiva rješenja u oblasti digitalizacije, potrebno je kontinuirano i u bliskoj saradnji sa različitim zainteresovanim akterima (biznis zajednice, civilni sektor itd) sprovoditi aktivnosti usmjerene na povećanje svijesti građana o značaju i benefitima digitalizacije, pogotovo u domenu korišćenja elektronskih usluga kreiranih prema potrebama građana, što bi uticalo i na njihovu motivaciju da doprinesu svrsishodnoj digitalizaciji. </w:t>
      </w:r>
    </w:p>
    <w:p w14:paraId="0E7FD879" w14:textId="77777777" w:rsidR="005B3072" w:rsidRDefault="00A46913">
      <w:pPr>
        <w:spacing w:line="240" w:lineRule="auto"/>
        <w:jc w:val="both"/>
        <w:rPr>
          <w:sz w:val="24"/>
          <w:szCs w:val="24"/>
        </w:rPr>
      </w:pPr>
      <w:r>
        <w:rPr>
          <w:b/>
          <w:color w:val="1F4E79"/>
          <w:sz w:val="24"/>
          <w:szCs w:val="24"/>
        </w:rPr>
        <w:t xml:space="preserve">Institucije nosioci aktivnosti: </w:t>
      </w:r>
      <w:r>
        <w:rPr>
          <w:sz w:val="24"/>
          <w:szCs w:val="24"/>
        </w:rPr>
        <w:t xml:space="preserve">MJUDDM, PKCG </w:t>
      </w:r>
    </w:p>
    <w:p w14:paraId="59A044AA" w14:textId="77777777" w:rsidR="005B3072" w:rsidRDefault="00A46913">
      <w:pPr>
        <w:widowControl w:val="0"/>
        <w:pBdr>
          <w:top w:val="nil"/>
          <w:left w:val="nil"/>
          <w:bottom w:val="nil"/>
          <w:right w:val="nil"/>
          <w:between w:val="nil"/>
        </w:pBdr>
        <w:spacing w:line="240" w:lineRule="auto"/>
        <w:jc w:val="both"/>
        <w:rPr>
          <w:sz w:val="24"/>
          <w:szCs w:val="24"/>
        </w:rPr>
      </w:pPr>
      <w:r>
        <w:rPr>
          <w:b/>
          <w:color w:val="1F4E79"/>
          <w:sz w:val="24"/>
          <w:szCs w:val="24"/>
        </w:rPr>
        <w:t>Partneri:</w:t>
      </w:r>
      <w:r>
        <w:rPr>
          <w:sz w:val="24"/>
          <w:szCs w:val="24"/>
        </w:rPr>
        <w:t xml:space="preserve"> MEK, MUP, MPNKS, ZOCG, NVO, UNDP, državni organi koji su dio internog koordinaciog tijela kao i ključni organi državne uprave targetiranih e-usluga</w:t>
      </w:r>
    </w:p>
    <w:p w14:paraId="74771C20" w14:textId="77777777" w:rsidR="005B3072" w:rsidRDefault="00A46913">
      <w:pPr>
        <w:widowControl w:val="0"/>
        <w:pBdr>
          <w:top w:val="nil"/>
          <w:left w:val="nil"/>
          <w:bottom w:val="nil"/>
          <w:right w:val="nil"/>
          <w:between w:val="nil"/>
        </w:pBdr>
        <w:spacing w:line="240" w:lineRule="auto"/>
        <w:jc w:val="both"/>
        <w:rPr>
          <w:sz w:val="24"/>
          <w:szCs w:val="24"/>
        </w:rPr>
      </w:pPr>
      <w:r>
        <w:rPr>
          <w:b/>
          <w:color w:val="1F4E79"/>
          <w:sz w:val="24"/>
          <w:szCs w:val="24"/>
        </w:rPr>
        <w:t>Aktivnosti</w:t>
      </w:r>
      <w:r>
        <w:rPr>
          <w:color w:val="1F4E79"/>
          <w:sz w:val="24"/>
          <w:szCs w:val="24"/>
        </w:rPr>
        <w:t xml:space="preserve"> </w:t>
      </w:r>
      <w:r>
        <w:rPr>
          <w:sz w:val="24"/>
          <w:szCs w:val="24"/>
        </w:rPr>
        <w:t>koje će se realizovati u cilju promocije važnosti digitalnog razvoja i podizanja svijesti građana realizovaće se kroz dvije ključne oblasti koje su usmjerene na:</w:t>
      </w:r>
    </w:p>
    <w:p w14:paraId="187EE6D2"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sz w:val="24"/>
          <w:szCs w:val="24"/>
        </w:rPr>
        <w:t xml:space="preserve">Definisanje </w:t>
      </w:r>
      <w:r>
        <w:rPr>
          <w:b/>
          <w:i/>
          <w:color w:val="000000"/>
          <w:sz w:val="24"/>
          <w:szCs w:val="24"/>
        </w:rPr>
        <w:t>i implementaciju jedinstvene komunikacione kampanje u oblasti digitalne transformacije i praćenje efekata učinka</w:t>
      </w:r>
    </w:p>
    <w:p w14:paraId="5769CF0B"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sz w:val="24"/>
          <w:szCs w:val="24"/>
        </w:rPr>
        <w:lastRenderedPageBreak/>
        <w:t xml:space="preserve">Povećanje </w:t>
      </w:r>
      <w:r>
        <w:rPr>
          <w:b/>
          <w:i/>
          <w:color w:val="000000"/>
          <w:sz w:val="24"/>
          <w:szCs w:val="24"/>
        </w:rPr>
        <w:t>informisanosti građana i privrede o značaju i benefitima digitalne transformacije (kroz jedinstvenu komunikacionu kampanju na državnom i lokalnom nivou)</w:t>
      </w:r>
    </w:p>
    <w:p w14:paraId="1138C126" w14:textId="77777777" w:rsidR="005B3072" w:rsidRDefault="005B3072">
      <w:pPr>
        <w:spacing w:line="240" w:lineRule="auto"/>
        <w:jc w:val="both"/>
        <w:rPr>
          <w:b/>
          <w:sz w:val="24"/>
          <w:szCs w:val="24"/>
          <w:highlight w:val="white"/>
        </w:rPr>
      </w:pPr>
    </w:p>
    <w:p w14:paraId="495694B6" w14:textId="77777777" w:rsidR="005B3072" w:rsidRDefault="00A46913">
      <w:pPr>
        <w:spacing w:line="240" w:lineRule="auto"/>
        <w:jc w:val="both"/>
        <w:rPr>
          <w:sz w:val="24"/>
          <w:szCs w:val="24"/>
        </w:rPr>
      </w:pPr>
      <w:r>
        <w:rPr>
          <w:b/>
          <w:sz w:val="24"/>
          <w:szCs w:val="24"/>
          <w:highlight w:val="white"/>
        </w:rPr>
        <w:t>Uspostaviti interno koordinaciono tijelo državne uprave za definisanje i implementaciju komunikacione kampanje u oblasti digitalne transformacije i praćenje efekata učinka</w:t>
      </w:r>
    </w:p>
    <w:p w14:paraId="1993F604" w14:textId="77777777" w:rsidR="005B3072" w:rsidRDefault="00A46913">
      <w:pPr>
        <w:jc w:val="both"/>
        <w:rPr>
          <w:sz w:val="24"/>
          <w:szCs w:val="24"/>
        </w:rPr>
      </w:pPr>
      <w:r>
        <w:rPr>
          <w:sz w:val="24"/>
          <w:szCs w:val="24"/>
        </w:rPr>
        <w:t xml:space="preserve">Kroz realizaciju grupe aktivnosti čijom ralizacijom se planira </w:t>
      </w:r>
      <w:r>
        <w:rPr>
          <w:i/>
          <w:sz w:val="24"/>
          <w:szCs w:val="24"/>
        </w:rPr>
        <w:t>uspostavljanje internog koordinacionog tijela državne uprave za definisanje i implementaciju komunikacione kampanje u oblasti digitalne transformacije i praćenje efekata učinka</w:t>
      </w:r>
      <w:r>
        <w:rPr>
          <w:sz w:val="24"/>
          <w:szCs w:val="24"/>
        </w:rPr>
        <w:t xml:space="preserve">, stvoriće se neophodne pretpostavke za implementaciju komunikacione kampanje (strategije) u oblasti digitalne transformacije za građane i biznis zajednicu, kao i definisanje komunikacionih planova na godišnjem nivou. Na ovaj način akcenat se stavlja na posebnoj komunikacionoj kampanji koja bi kroz jednogodišnje komunikacione planove prepoznala i dala doprinos kako kroz promotivne aktivnosti o podizanju svijesti građana i privrede o važnosti digitalnog razvoja, tako i kroz doprinos u promotivnim aktivnostima implementacije svih prepoznatih ključnih projekata kroz strategiju. </w:t>
      </w:r>
    </w:p>
    <w:p w14:paraId="5C51C082" w14:textId="77777777" w:rsidR="005B3072" w:rsidRDefault="00A46913">
      <w:pPr>
        <w:jc w:val="both"/>
        <w:rPr>
          <w:sz w:val="24"/>
          <w:szCs w:val="24"/>
        </w:rPr>
      </w:pPr>
      <w:r>
        <w:rPr>
          <w:sz w:val="24"/>
          <w:szCs w:val="24"/>
        </w:rPr>
        <w:t>Ministarstvo javne uprave digitalnog društva i medija</w:t>
      </w:r>
      <w:r>
        <w:rPr>
          <w:b/>
          <w:sz w:val="24"/>
          <w:szCs w:val="24"/>
        </w:rPr>
        <w:t xml:space="preserve"> </w:t>
      </w:r>
      <w:r>
        <w:rPr>
          <w:sz w:val="24"/>
          <w:szCs w:val="24"/>
        </w:rPr>
        <w:t>kao nosioc i koordinator većine prepoznatih aktivnosti kroz ovu mjeru će uspostaviti interno koordinaciono tijelo koje će činiti svi relevantni predstavnici državne uprave, a koje će definisati “Komunikacionu kampanju u oblasti digitalne transformacije za građane i privredu sa pratećim godišnjim komunikacionim planom” kao i praćenje efekata učinka. Ključnauloga u ovom operativnom cilju jeste uloga internog koordinacionog tijela koje će definisati krovnu komunikacionu kampanju a koja će pratiti implementaciju svih aktivnosti definisanih strategijom kroz razne promotivne aktivnosti i komunikacione kanale, kako bi se uticalo na promjenu digitalne svijesti građana i privrede o važnosti svih segmenata koje su sastavni dio digitalizacije.</w:t>
      </w:r>
    </w:p>
    <w:p w14:paraId="475318E3" w14:textId="77777777" w:rsidR="005B3072" w:rsidRDefault="00A46913">
      <w:pPr>
        <w:jc w:val="both"/>
        <w:rPr>
          <w:b/>
          <w:sz w:val="24"/>
          <w:szCs w:val="24"/>
          <w:highlight w:val="white"/>
        </w:rPr>
      </w:pPr>
      <w:r>
        <w:rPr>
          <w:b/>
          <w:sz w:val="24"/>
          <w:szCs w:val="24"/>
          <w:highlight w:val="white"/>
        </w:rPr>
        <w:t>Povećati informisanost građana i privrede o značaju i benefitima digitalne transformacije kroz jedinstvenu komunikacionu kampanju na državnom i lokalnom nivou.</w:t>
      </w:r>
    </w:p>
    <w:p w14:paraId="59EE9840" w14:textId="77777777" w:rsidR="005B3072" w:rsidRDefault="00A46913">
      <w:pPr>
        <w:jc w:val="both"/>
        <w:rPr>
          <w:sz w:val="24"/>
          <w:szCs w:val="24"/>
        </w:rPr>
      </w:pPr>
      <w:r>
        <w:rPr>
          <w:sz w:val="24"/>
          <w:szCs w:val="24"/>
        </w:rPr>
        <w:t xml:space="preserve">Kroz realizaciju prepoznatih promotivnih aktivnosti i događaja kroz direktni kontakt sa što većim brojem građana odnosno predstavnika privrede, a u cilju dobijanja relevantnih povratnih informacija koje su od značaja za dalje planiranje razvoja digitalnog društva, indirektno će se uticati na povećanje informisanosti građana i privrede o značaju i benefitima digitalne transformacije društva. Mnogo veći broj kanala komunikacije sa građanima i privredom, kao i promotivnih ključnih aktivnosti biće prepoznati kroz poseban komunikacioni plan i komunikacionu kampanju nakon uspostavljavljanja koordinacionog tijela što su aktivnosti iz prethodne mjere. </w:t>
      </w:r>
    </w:p>
    <w:p w14:paraId="3153BCA6" w14:textId="77777777" w:rsidR="005B3072" w:rsidRDefault="00A46913">
      <w:pPr>
        <w:jc w:val="both"/>
        <w:rPr>
          <w:sz w:val="24"/>
          <w:szCs w:val="24"/>
        </w:rPr>
      </w:pPr>
      <w:r>
        <w:rPr>
          <w:b/>
          <w:sz w:val="24"/>
          <w:szCs w:val="24"/>
        </w:rPr>
        <w:t xml:space="preserve">Ministarstvo javne uprave digitalnog društva i medija </w:t>
      </w:r>
      <w:r>
        <w:rPr>
          <w:sz w:val="24"/>
          <w:szCs w:val="24"/>
        </w:rPr>
        <w:t xml:space="preserve">u saradnji sa drugim zainteresovanim stranama i prepoznatim partnerima realizovaće određeni broj promotivnih kampanja i aktivnosti a u cilju bolje informisanosti građana i privrede. Sprovođenje Istraživanje o zadovoljstvu građana i biznis zajednice o elektronskim uslugama u Crnoj Gori i promotivna kampanja o benefitima i upotrebi targetiranih e-usluga za građane i biznis zajednicu su aktivnosti koje su prepoznate u sklopu projekta “E-usluge i digitalna infrastruktura kao mjera odgovora na COVID-19”, i koje se implementiraju u saradnji sa UNDP-om, a finansirane su od strane delegacije Evropske Unije. Takođe, MJUDDM će realizovati “Karavan digitalne </w:t>
      </w:r>
      <w:r>
        <w:rPr>
          <w:sz w:val="24"/>
          <w:szCs w:val="24"/>
        </w:rPr>
        <w:lastRenderedPageBreak/>
        <w:t>edukacije za građane/biznis zajednicu” dok će u sklopu iste mjere biti organizovan događaj “Privreda digitalnog doba” od strane Privredne komore Crne Gore.</w:t>
      </w:r>
    </w:p>
    <w:p w14:paraId="7478E745" w14:textId="77777777" w:rsidR="005B3072" w:rsidRDefault="005B3072">
      <w:pPr>
        <w:jc w:val="both"/>
        <w:rPr>
          <w:sz w:val="24"/>
          <w:szCs w:val="24"/>
        </w:rPr>
      </w:pPr>
    </w:p>
    <w:p w14:paraId="5D4D4065" w14:textId="77777777" w:rsidR="005B3072" w:rsidRDefault="00A46913">
      <w:pPr>
        <w:pBdr>
          <w:bottom w:val="single" w:sz="24" w:space="1" w:color="00B0F0"/>
        </w:pBdr>
        <w:jc w:val="both"/>
        <w:rPr>
          <w:b/>
          <w:sz w:val="26"/>
          <w:szCs w:val="26"/>
        </w:rPr>
      </w:pPr>
      <w:r>
        <w:rPr>
          <w:b/>
          <w:sz w:val="26"/>
          <w:szCs w:val="26"/>
        </w:rPr>
        <w:t>Operativni cilj 2.2: Unapređenje kvaliteta, količine i upotreba e-usluga</w:t>
      </w:r>
    </w:p>
    <w:p w14:paraId="77AC461E" w14:textId="77777777" w:rsidR="005B3072" w:rsidRDefault="00A46913">
      <w:pPr>
        <w:jc w:val="both"/>
        <w:rPr>
          <w:sz w:val="24"/>
          <w:szCs w:val="24"/>
        </w:rPr>
      </w:pPr>
      <w:r>
        <w:rPr>
          <w:sz w:val="24"/>
          <w:szCs w:val="24"/>
        </w:rPr>
        <w:t xml:space="preserve">Uvođenje osnovnih elektronskih javnih usluga postepeno napreduje, ali ne brzinom kojom korisnici očekuju. Ovim operativnim ciljem težimo da u narednom periodu povećamo dostupnost ključnih javnih usluga, uz istovremeno jačanje usvajanja inovativnih IKT-a, a sa druge strane i da povećamo kvalitet dostupnih elektronskih usluga i učinimo ih pristupačnijim i vidljivim kako bi povećali njihovu upotrebu. Napredak ka ovom cilju, takođe usko je povezan sa uspostavljanjem sistema digitalnog identiteta, koji je bezbjedan i lak za korišćenje. U cilju stvaranja boljeg korisničkog iskustva potrebno je unaprijediti nacionalnu eID šemu i kroz ciljane aktivnosti prilagoditi postojeće ali i </w:t>
      </w:r>
      <w:r>
        <w:rPr>
          <w:b/>
          <w:sz w:val="24"/>
          <w:szCs w:val="24"/>
        </w:rPr>
        <w:t>razviti nove eID sisteme i mehanizme. Naročito je potrebno unaprijediti sistem elektronske identifikacije uz korišćenje mobilnih tehnologija</w:t>
      </w:r>
      <w:r>
        <w:rPr>
          <w:sz w:val="24"/>
          <w:szCs w:val="24"/>
        </w:rPr>
        <w:t>.</w:t>
      </w:r>
    </w:p>
    <w:p w14:paraId="270AEE87" w14:textId="77777777" w:rsidR="005B3072" w:rsidRDefault="00A46913">
      <w:pPr>
        <w:spacing w:line="240" w:lineRule="auto"/>
        <w:jc w:val="both"/>
        <w:rPr>
          <w:sz w:val="24"/>
          <w:szCs w:val="24"/>
        </w:rPr>
      </w:pPr>
      <w:r>
        <w:rPr>
          <w:b/>
          <w:color w:val="1155CC"/>
          <w:sz w:val="24"/>
          <w:szCs w:val="24"/>
        </w:rPr>
        <w:t xml:space="preserve">Institucije nosioci aktivnosti: </w:t>
      </w:r>
      <w:r>
        <w:rPr>
          <w:sz w:val="24"/>
          <w:szCs w:val="24"/>
        </w:rPr>
        <w:t>MJUDDM, MFSS, MUP</w:t>
      </w:r>
    </w:p>
    <w:p w14:paraId="696D6DCF" w14:textId="77777777" w:rsidR="005B3072" w:rsidRDefault="00A46913">
      <w:pPr>
        <w:spacing w:line="240" w:lineRule="auto"/>
        <w:jc w:val="both"/>
        <w:rPr>
          <w:sz w:val="24"/>
          <w:szCs w:val="24"/>
        </w:rPr>
      </w:pPr>
      <w:r>
        <w:rPr>
          <w:b/>
          <w:color w:val="1155CC"/>
          <w:sz w:val="24"/>
          <w:szCs w:val="24"/>
        </w:rPr>
        <w:t xml:space="preserve">Partneri: </w:t>
      </w:r>
      <w:r>
        <w:rPr>
          <w:sz w:val="24"/>
          <w:szCs w:val="24"/>
        </w:rPr>
        <w:t xml:space="preserve">MZD, UNDP i Operativni tim </w:t>
      </w:r>
    </w:p>
    <w:p w14:paraId="261A83F4" w14:textId="77777777" w:rsidR="005B3072" w:rsidRDefault="00A46913">
      <w:pPr>
        <w:jc w:val="both"/>
        <w:rPr>
          <w:sz w:val="24"/>
          <w:szCs w:val="24"/>
        </w:rPr>
      </w:pPr>
      <w:r>
        <w:rPr>
          <w:b/>
          <w:color w:val="1155CC"/>
          <w:sz w:val="24"/>
          <w:szCs w:val="24"/>
        </w:rPr>
        <w:t xml:space="preserve">Ključne aktivnosti </w:t>
      </w:r>
      <w:r>
        <w:rPr>
          <w:sz w:val="24"/>
          <w:szCs w:val="24"/>
        </w:rPr>
        <w:t xml:space="preserve">koje je potrebno sprovoditi na planu unapređenja kvaliteta, količine i upotrebe e-usluga prepoznate su kroz dvije prioritetne oblasti: </w:t>
      </w:r>
    </w:p>
    <w:p w14:paraId="6244F4BD"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 xml:space="preserve">Razvoj i optimizacija korisnički orjentisanih elektronskih usluga </w:t>
      </w:r>
    </w:p>
    <w:p w14:paraId="0A6DF358" w14:textId="77777777" w:rsidR="005B3072" w:rsidRDefault="00A46913">
      <w:pPr>
        <w:numPr>
          <w:ilvl w:val="0"/>
          <w:numId w:val="29"/>
        </w:numPr>
        <w:pBdr>
          <w:top w:val="nil"/>
          <w:left w:val="nil"/>
          <w:bottom w:val="nil"/>
          <w:right w:val="nil"/>
          <w:between w:val="nil"/>
        </w:pBdr>
        <w:spacing w:after="0" w:line="240" w:lineRule="auto"/>
        <w:jc w:val="both"/>
        <w:rPr>
          <w:b/>
          <w:i/>
          <w:color w:val="000000"/>
          <w:sz w:val="24"/>
          <w:szCs w:val="24"/>
        </w:rPr>
      </w:pPr>
      <w:r>
        <w:rPr>
          <w:b/>
          <w:i/>
          <w:color w:val="000000"/>
          <w:sz w:val="24"/>
          <w:szCs w:val="24"/>
        </w:rPr>
        <w:t>Unapređenje primjene eID i elektronskih usluga od povjerenja u cilju daljeg razvoja i masovnog korišćenja e-usluga</w:t>
      </w:r>
    </w:p>
    <w:p w14:paraId="371D3409" w14:textId="77777777" w:rsidR="005B3072" w:rsidRDefault="005B3072">
      <w:pPr>
        <w:pBdr>
          <w:top w:val="nil"/>
          <w:left w:val="nil"/>
          <w:bottom w:val="nil"/>
          <w:right w:val="nil"/>
          <w:between w:val="nil"/>
        </w:pBdr>
        <w:spacing w:after="0" w:line="240" w:lineRule="auto"/>
        <w:ind w:left="360"/>
        <w:rPr>
          <w:b/>
          <w:i/>
          <w:color w:val="000000"/>
          <w:sz w:val="24"/>
          <w:szCs w:val="24"/>
        </w:rPr>
      </w:pPr>
    </w:p>
    <w:p w14:paraId="76621887" w14:textId="77777777" w:rsidR="005B3072" w:rsidRDefault="00A46913">
      <w:pPr>
        <w:pBdr>
          <w:top w:val="nil"/>
          <w:left w:val="nil"/>
          <w:bottom w:val="nil"/>
          <w:right w:val="nil"/>
          <w:between w:val="nil"/>
        </w:pBdr>
        <w:spacing w:line="240" w:lineRule="auto"/>
        <w:jc w:val="both"/>
        <w:rPr>
          <w:b/>
          <w:color w:val="000000"/>
          <w:sz w:val="24"/>
          <w:szCs w:val="24"/>
          <w:highlight w:val="white"/>
        </w:rPr>
      </w:pPr>
      <w:r>
        <w:rPr>
          <w:sz w:val="24"/>
          <w:szCs w:val="24"/>
        </w:rPr>
        <w:t>Kako bi iskoristili na pravi način benifite koje digitalno društvo donosi, građanima i privredi se mora omogućiti pristup javnim online uslugama. One ne bi trebale da budu samo dostupne, već i lako pristupačne na različitim uređajima i platformama, inkluzivne i prilagođene korisnicima.</w:t>
      </w:r>
    </w:p>
    <w:p w14:paraId="2C53FC63" w14:textId="77777777" w:rsidR="005B3072" w:rsidRDefault="00A46913">
      <w:pPr>
        <w:pBdr>
          <w:top w:val="nil"/>
          <w:left w:val="nil"/>
          <w:bottom w:val="nil"/>
          <w:right w:val="nil"/>
          <w:between w:val="nil"/>
        </w:pBdr>
        <w:spacing w:after="200" w:line="240" w:lineRule="auto"/>
        <w:rPr>
          <w:b/>
          <w:sz w:val="24"/>
          <w:szCs w:val="24"/>
          <w:highlight w:val="white"/>
        </w:rPr>
      </w:pPr>
      <w:r>
        <w:rPr>
          <w:b/>
          <w:sz w:val="24"/>
          <w:szCs w:val="24"/>
        </w:rPr>
        <w:t>Razvoj</w:t>
      </w:r>
      <w:r>
        <w:rPr>
          <w:b/>
          <w:color w:val="000000"/>
          <w:sz w:val="24"/>
          <w:szCs w:val="24"/>
          <w:highlight w:val="white"/>
        </w:rPr>
        <w:t xml:space="preserve"> i optimizacija korisnički orjentisanih elektronskih usluga </w:t>
      </w:r>
    </w:p>
    <w:p w14:paraId="2D0639DB" w14:textId="77777777" w:rsidR="005B3072" w:rsidRDefault="00A46913">
      <w:pPr>
        <w:jc w:val="both"/>
        <w:rPr>
          <w:sz w:val="24"/>
          <w:szCs w:val="24"/>
        </w:rPr>
      </w:pPr>
      <w:r>
        <w:rPr>
          <w:sz w:val="24"/>
          <w:szCs w:val="24"/>
        </w:rPr>
        <w:t>Pogodnost, pristupačnost, vrijednost i motivacija važni su aspekti povećanja upotrebe elektronskih usluga kako iz privatnog tako i iz javnog sektora. Korisnicima pogodnost znači intuitivan i besprekoran interfejs i usluge koje su dostupne kada su potrebne. Prava vrijednost digitalnih usluga dolazi sa daljom automatizacijom, dostupnošću i jasnom vrijednosnom ponudom.</w:t>
      </w:r>
    </w:p>
    <w:p w14:paraId="62E662DE" w14:textId="77777777" w:rsidR="005B3072" w:rsidRDefault="00A46913">
      <w:pPr>
        <w:spacing w:before="240" w:after="0" w:line="312" w:lineRule="auto"/>
        <w:jc w:val="both"/>
        <w:rPr>
          <w:sz w:val="24"/>
          <w:szCs w:val="24"/>
        </w:rPr>
      </w:pPr>
      <w:r>
        <w:rPr>
          <w:noProof/>
        </w:rPr>
        <w:lastRenderedPageBreak/>
        <w:drawing>
          <wp:anchor distT="114300" distB="114300" distL="114300" distR="114300" simplePos="0" relativeHeight="251668480" behindDoc="0" locked="0" layoutInCell="1" hidden="0" allowOverlap="1" wp14:anchorId="1FF27655" wp14:editId="33B27099">
            <wp:simplePos x="0" y="0"/>
            <wp:positionH relativeFrom="column">
              <wp:posOffset>-295272</wp:posOffset>
            </wp:positionH>
            <wp:positionV relativeFrom="paragraph">
              <wp:posOffset>247650</wp:posOffset>
            </wp:positionV>
            <wp:extent cx="2790825" cy="2299653"/>
            <wp:effectExtent l="0" t="0" r="0" b="0"/>
            <wp:wrapSquare wrapText="bothSides" distT="114300" distB="11430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3"/>
                    <a:srcRect/>
                    <a:stretch>
                      <a:fillRect/>
                    </a:stretch>
                  </pic:blipFill>
                  <pic:spPr>
                    <a:xfrm>
                      <a:off x="0" y="0"/>
                      <a:ext cx="2790825" cy="2299653"/>
                    </a:xfrm>
                    <a:prstGeom prst="rect">
                      <a:avLst/>
                    </a:prstGeom>
                    <a:ln/>
                  </pic:spPr>
                </pic:pic>
              </a:graphicData>
            </a:graphic>
          </wp:anchor>
        </w:drawing>
      </w:r>
    </w:p>
    <w:p w14:paraId="3B6BD676" w14:textId="77777777" w:rsidR="005B3072" w:rsidRDefault="00A46913">
      <w:pPr>
        <w:spacing w:before="240" w:after="0" w:line="276" w:lineRule="auto"/>
        <w:jc w:val="both"/>
        <w:rPr>
          <w:sz w:val="24"/>
          <w:szCs w:val="24"/>
        </w:rPr>
      </w:pPr>
      <w:r>
        <w:rPr>
          <w:sz w:val="24"/>
          <w:szCs w:val="24"/>
        </w:rPr>
        <w:t>Strategija digitalne transformacije Crne Gore 2022-2026, prepoznaje principe korisnički orjentisanog dizajna, stavljajući korisnika u centar razvoja digitalnih usluga, dok će Strategija reforme javne uprave 2022-2026 uspostaviti mjerenje zadovoljstva uslugama kroz savremene alate za ovu oblast. Neki od indikatora koji se mogu koristiti prilikom ocjene zadovoljstva korisnika su korisnost, upotrebljivost, jednostavno pronalaženje, uvjerljivost, dostupnost, efekat poželjnosti i vrijednost.</w:t>
      </w:r>
    </w:p>
    <w:p w14:paraId="330F315A" w14:textId="77777777" w:rsidR="005B3072" w:rsidRDefault="00A46913">
      <w:pPr>
        <w:spacing w:before="200"/>
        <w:jc w:val="both"/>
        <w:rPr>
          <w:color w:val="000000"/>
          <w:sz w:val="24"/>
          <w:szCs w:val="24"/>
        </w:rPr>
      </w:pPr>
      <w:r>
        <w:rPr>
          <w:sz w:val="24"/>
          <w:szCs w:val="24"/>
        </w:rPr>
        <w:t xml:space="preserve">Ministarstvo javne uprave, digitalnog društva i medija kao nosioc većine aktivnosti će kroz grupu aktivnosti </w:t>
      </w:r>
      <w:r>
        <w:rPr>
          <w:color w:val="000000"/>
          <w:sz w:val="24"/>
          <w:szCs w:val="24"/>
        </w:rPr>
        <w:t xml:space="preserve">preciznije definisati način na koji organi javne uprave treba da realizuju svoje usluge u elektronskom obliku izradom Metodologije za razvoj korisnički orjentisanih usluga kao i formiranjem Operativnog tima koji će pratiti i predlagati razvoj i optimizaciju postojećih procesa u digitalnom obliku. Nadalje, uspostavljanjem novih elektronskih servisa, visokog nivoa sofisticiranosti, za građane i privredu koji će se bazirati na elektronskoj razmjeni podataka i/ili mogućnošću elektronske naplate putem sistema za elektronsko plaćanje je aktivnost kojom će se realizovati i implementirati usluge od značaja za građane i privredu sa mogućnošću potpunog podnošenja zahtjeva ka javnoj upravi. </w:t>
      </w:r>
    </w:p>
    <w:p w14:paraId="68E52448" w14:textId="77777777" w:rsidR="005B3072" w:rsidRDefault="00A46913">
      <w:pPr>
        <w:spacing w:before="200"/>
        <w:jc w:val="both"/>
        <w:rPr>
          <w:sz w:val="24"/>
          <w:szCs w:val="24"/>
        </w:rPr>
      </w:pPr>
      <w:r>
        <w:rPr>
          <w:sz w:val="24"/>
          <w:szCs w:val="24"/>
        </w:rPr>
        <w:t>Takođe, Strategijom reforme javne uprave 2022-2026 definisano  je pokretanje projekta Montenegro Digital, sa ciljem sprovođenja digitalne transformacije na nivou cijele Vlade, modernizacije javne uprave, osnaženja internih kapaciteta, optimizacije IT troškova i kako bi omogućili održivi i svrsishodni razvoj digitalnih servisa i najbolje korisničko iskustvo građanima koji će:</w:t>
      </w:r>
    </w:p>
    <w:p w14:paraId="39ADCF26" w14:textId="77777777" w:rsidR="005B3072" w:rsidRDefault="00A46913">
      <w:pPr>
        <w:numPr>
          <w:ilvl w:val="0"/>
          <w:numId w:val="17"/>
        </w:numPr>
        <w:spacing w:after="0" w:line="240" w:lineRule="auto"/>
        <w:jc w:val="both"/>
        <w:rPr>
          <w:rFonts w:ascii="Arial" w:eastAsia="Arial" w:hAnsi="Arial" w:cs="Arial"/>
          <w:sz w:val="24"/>
          <w:szCs w:val="24"/>
        </w:rPr>
      </w:pPr>
      <w:r>
        <w:rPr>
          <w:sz w:val="24"/>
          <w:szCs w:val="24"/>
        </w:rPr>
        <w:t>Definisati digitalne standarde i standardizovati tehnologiju  na nivou cijele Vlade</w:t>
      </w:r>
    </w:p>
    <w:p w14:paraId="5BF0BB58" w14:textId="77777777" w:rsidR="005B3072" w:rsidRDefault="00A46913">
      <w:pPr>
        <w:numPr>
          <w:ilvl w:val="0"/>
          <w:numId w:val="17"/>
        </w:numPr>
        <w:spacing w:after="0" w:line="240" w:lineRule="auto"/>
        <w:jc w:val="both"/>
        <w:rPr>
          <w:rFonts w:ascii="Arial" w:eastAsia="Arial" w:hAnsi="Arial" w:cs="Arial"/>
          <w:sz w:val="24"/>
          <w:szCs w:val="24"/>
        </w:rPr>
      </w:pPr>
      <w:r>
        <w:rPr>
          <w:sz w:val="24"/>
          <w:szCs w:val="24"/>
        </w:rPr>
        <w:t>Obezbijediti modularne nabavke i optimizovati potrošnju u dijelu nabavke IT opreme, softverskih rješenja, licenci i realizacije digitalnih rješenja</w:t>
      </w:r>
    </w:p>
    <w:p w14:paraId="3D50174E" w14:textId="77777777" w:rsidR="005B3072" w:rsidRDefault="00A46913">
      <w:pPr>
        <w:numPr>
          <w:ilvl w:val="0"/>
          <w:numId w:val="17"/>
        </w:numPr>
        <w:spacing w:after="0" w:line="240" w:lineRule="auto"/>
        <w:jc w:val="both"/>
        <w:rPr>
          <w:rFonts w:ascii="Arial" w:eastAsia="Arial" w:hAnsi="Arial" w:cs="Arial"/>
          <w:sz w:val="24"/>
          <w:szCs w:val="24"/>
        </w:rPr>
      </w:pPr>
      <w:r>
        <w:rPr>
          <w:sz w:val="24"/>
          <w:szCs w:val="24"/>
        </w:rPr>
        <w:t>Kreirati otvoreno digitalno tržište</w:t>
      </w:r>
    </w:p>
    <w:p w14:paraId="449ADA3C" w14:textId="77777777" w:rsidR="005B3072" w:rsidRDefault="00A46913">
      <w:pPr>
        <w:numPr>
          <w:ilvl w:val="0"/>
          <w:numId w:val="17"/>
        </w:numPr>
        <w:spacing w:after="0" w:line="240" w:lineRule="auto"/>
        <w:jc w:val="both"/>
        <w:rPr>
          <w:rFonts w:ascii="Arial" w:eastAsia="Arial" w:hAnsi="Arial" w:cs="Arial"/>
        </w:rPr>
      </w:pPr>
      <w:r>
        <w:rPr>
          <w:sz w:val="24"/>
          <w:szCs w:val="24"/>
        </w:rPr>
        <w:t xml:space="preserve">Agilni razvoj procesa politika i platformi po potrebama gradjana  </w:t>
      </w:r>
    </w:p>
    <w:p w14:paraId="03B313E8" w14:textId="77777777" w:rsidR="00B464EC" w:rsidRDefault="00B464EC" w:rsidP="00B464EC">
      <w:pPr>
        <w:spacing w:before="200"/>
        <w:jc w:val="both"/>
        <w:rPr>
          <w:sz w:val="24"/>
          <w:szCs w:val="24"/>
        </w:rPr>
      </w:pPr>
    </w:p>
    <w:p w14:paraId="080F522C" w14:textId="77777777" w:rsidR="005B3072" w:rsidRPr="00B464EC" w:rsidRDefault="00A46913" w:rsidP="00B464EC">
      <w:pPr>
        <w:spacing w:before="200"/>
        <w:jc w:val="both"/>
        <w:rPr>
          <w:sz w:val="24"/>
          <w:szCs w:val="24"/>
        </w:rPr>
      </w:pPr>
      <w:r>
        <w:rPr>
          <w:b/>
          <w:color w:val="000000"/>
          <w:sz w:val="24"/>
          <w:szCs w:val="24"/>
          <w:highlight w:val="white"/>
        </w:rPr>
        <w:t>Unapređenje primjene eID i elektronskih usluga od povjerenja u cilju daljeg razvoja i masovnog korišćenja e-usluga</w:t>
      </w:r>
    </w:p>
    <w:p w14:paraId="4ED01FE0" w14:textId="77777777" w:rsidR="005B3072" w:rsidRDefault="00A46913">
      <w:pPr>
        <w:jc w:val="both"/>
        <w:rPr>
          <w:sz w:val="24"/>
          <w:szCs w:val="24"/>
        </w:rPr>
      </w:pPr>
      <w:r>
        <w:rPr>
          <w:color w:val="000000"/>
          <w:sz w:val="24"/>
          <w:szCs w:val="24"/>
          <w:highlight w:val="white"/>
        </w:rPr>
        <w:t>Važan skup aktivnosti u realizaciji ovog operativnog cilja neizostavno podrazumijeva</w:t>
      </w:r>
      <w:r>
        <w:rPr>
          <w:sz w:val="24"/>
          <w:szCs w:val="24"/>
        </w:rPr>
        <w:t xml:space="preserve"> postojanje široko rasprostranjenog i prihvaćenog digitalnog identiteta za sve građane i stanovnike a koji je bitan preduslov digitalne transformacije društva. </w:t>
      </w:r>
    </w:p>
    <w:p w14:paraId="2163AF91" w14:textId="77777777" w:rsidR="005B3072" w:rsidRDefault="00A46913">
      <w:pPr>
        <w:spacing w:after="0"/>
        <w:jc w:val="both"/>
        <w:rPr>
          <w:b/>
          <w:i/>
          <w:color w:val="1F497D"/>
          <w:sz w:val="24"/>
          <w:szCs w:val="24"/>
        </w:rPr>
      </w:pPr>
      <w:r>
        <w:rPr>
          <w:b/>
          <w:i/>
          <w:color w:val="1F497D"/>
          <w:sz w:val="24"/>
          <w:szCs w:val="24"/>
        </w:rPr>
        <w:t>Slika: Tri stuba implementacije digitalnog identiteta</w:t>
      </w:r>
    </w:p>
    <w:p w14:paraId="08530354" w14:textId="77777777" w:rsidR="005B3072" w:rsidRDefault="00A46913">
      <w:pPr>
        <w:jc w:val="both"/>
        <w:rPr>
          <w:sz w:val="24"/>
          <w:szCs w:val="24"/>
        </w:rPr>
      </w:pPr>
      <w:r>
        <w:rPr>
          <w:sz w:val="24"/>
          <w:szCs w:val="24"/>
        </w:rPr>
        <w:lastRenderedPageBreak/>
        <w:t xml:space="preserve"> </w:t>
      </w:r>
      <w:r>
        <w:rPr>
          <w:noProof/>
        </w:rPr>
        <w:drawing>
          <wp:anchor distT="114300" distB="114300" distL="114300" distR="114300" simplePos="0" relativeHeight="251669504" behindDoc="0" locked="0" layoutInCell="1" hidden="0" allowOverlap="1" wp14:anchorId="5F966FA0" wp14:editId="2945495C">
            <wp:simplePos x="0" y="0"/>
            <wp:positionH relativeFrom="column">
              <wp:posOffset>53506</wp:posOffset>
            </wp:positionH>
            <wp:positionV relativeFrom="paragraph">
              <wp:posOffset>114300</wp:posOffset>
            </wp:positionV>
            <wp:extent cx="6238875" cy="2080578"/>
            <wp:effectExtent l="0" t="0" r="0" b="0"/>
            <wp:wrapSquare wrapText="bothSides" distT="114300" distB="11430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4"/>
                    <a:srcRect/>
                    <a:stretch>
                      <a:fillRect/>
                    </a:stretch>
                  </pic:blipFill>
                  <pic:spPr>
                    <a:xfrm>
                      <a:off x="0" y="0"/>
                      <a:ext cx="6238875" cy="2080578"/>
                    </a:xfrm>
                    <a:prstGeom prst="rect">
                      <a:avLst/>
                    </a:prstGeom>
                    <a:ln/>
                  </pic:spPr>
                </pic:pic>
              </a:graphicData>
            </a:graphic>
          </wp:anchor>
        </w:drawing>
      </w:r>
    </w:p>
    <w:p w14:paraId="73B36316" w14:textId="77777777" w:rsidR="005B3072" w:rsidRDefault="00A46913">
      <w:pPr>
        <w:jc w:val="both"/>
        <w:rPr>
          <w:sz w:val="24"/>
          <w:szCs w:val="24"/>
        </w:rPr>
      </w:pPr>
      <w:r>
        <w:rPr>
          <w:sz w:val="24"/>
          <w:szCs w:val="24"/>
        </w:rPr>
        <w:t xml:space="preserve">Kako bi elektronske usluge javne uprave obuhvatile sve vrste administrativnih procedura, neophodno je da korisnici mogu sebe identifikovati na siguran način. Taj proces zahtijeva razvoj koncepta i alata digitalnog identiteta. Aktivnostima kroz ovu mjeru </w:t>
      </w:r>
      <w:r>
        <w:rPr>
          <w:b/>
          <w:sz w:val="24"/>
          <w:szCs w:val="24"/>
        </w:rPr>
        <w:t>Ministarstvo unutrašnjih poslova</w:t>
      </w:r>
      <w:r>
        <w:rPr>
          <w:sz w:val="24"/>
          <w:szCs w:val="24"/>
        </w:rPr>
        <w:t>,</w:t>
      </w:r>
      <w:r>
        <w:rPr>
          <w:b/>
          <w:sz w:val="24"/>
          <w:szCs w:val="24"/>
        </w:rPr>
        <w:t xml:space="preserve"> </w:t>
      </w:r>
      <w:r>
        <w:rPr>
          <w:sz w:val="24"/>
          <w:szCs w:val="24"/>
        </w:rPr>
        <w:t>koje</w:t>
      </w:r>
      <w:r>
        <w:rPr>
          <w:b/>
          <w:sz w:val="24"/>
          <w:szCs w:val="24"/>
        </w:rPr>
        <w:t xml:space="preserve"> </w:t>
      </w:r>
      <w:r>
        <w:rPr>
          <w:sz w:val="24"/>
          <w:szCs w:val="24"/>
        </w:rPr>
        <w:t>upravlja ključnim registrima koji su od krucijalne važnosti za uspostavljanje elektronskih usluga za građane, ali i za potrebe digitalizacije ostalih procesa koji iziskuju provjeru identiteta, će raditi na uspostavljanju novih elektronskih usluga koje su zasnovane na provjeri identiteta korisnika sa novom ličnom kratom. Pored navedenog uspostaviće se i mogućnost uvida u registre koje ova institucija vodi uspostavljanjem elektronskih servisa za uvid u lične podatke iz registara, kao i provjera korisnika koja institucija je koristila njihove lične podatke.</w:t>
      </w:r>
    </w:p>
    <w:p w14:paraId="43ED3E53" w14:textId="77777777" w:rsidR="005B3072" w:rsidRDefault="00A46913">
      <w:pPr>
        <w:pBdr>
          <w:top w:val="nil"/>
          <w:left w:val="nil"/>
          <w:bottom w:val="nil"/>
          <w:right w:val="nil"/>
          <w:between w:val="nil"/>
        </w:pBdr>
        <w:spacing w:after="0"/>
        <w:rPr>
          <w:sz w:val="24"/>
          <w:szCs w:val="24"/>
        </w:rPr>
      </w:pPr>
      <w:r>
        <w:rPr>
          <w:b/>
          <w:color w:val="0070C0"/>
          <w:sz w:val="20"/>
          <w:szCs w:val="20"/>
          <w:highlight w:val="white"/>
        </w:rPr>
        <w:t xml:space="preserve"> </w:t>
      </w:r>
      <w:r>
        <w:rPr>
          <w:sz w:val="24"/>
          <w:szCs w:val="24"/>
        </w:rPr>
        <w:t xml:space="preserve">MJUDDM će dalje raditi na uspostavljanju sistema za sigurnu identifikaciju i autentifikaciju korisnika, kroz sistem Single-Sign-On. Na ovaj način bi osigurali podizanje svijesti javnosti o korišćenju digitalnog identiteta, i pojednostavili i obezbijedili efikasniji pristup građanima i privredi svim elektronskim uslugama. </w:t>
      </w:r>
    </w:p>
    <w:p w14:paraId="7F7CCF63" w14:textId="77777777" w:rsidR="005B3072" w:rsidRDefault="005B3072">
      <w:pPr>
        <w:jc w:val="both"/>
        <w:rPr>
          <w:sz w:val="24"/>
          <w:szCs w:val="24"/>
        </w:rPr>
      </w:pPr>
    </w:p>
    <w:p w14:paraId="722D15FA" w14:textId="77777777" w:rsidR="005B3072" w:rsidRDefault="00A46913">
      <w:pPr>
        <w:pBdr>
          <w:top w:val="nil"/>
          <w:left w:val="nil"/>
          <w:bottom w:val="single" w:sz="24" w:space="1" w:color="00B0F0"/>
          <w:right w:val="nil"/>
          <w:between w:val="nil"/>
        </w:pBdr>
        <w:jc w:val="both"/>
        <w:rPr>
          <w:b/>
          <w:sz w:val="26"/>
          <w:szCs w:val="26"/>
        </w:rPr>
      </w:pPr>
      <w:r>
        <w:rPr>
          <w:b/>
          <w:sz w:val="26"/>
          <w:szCs w:val="26"/>
        </w:rPr>
        <w:t>Operativni cilj 2.3: Unapređenje i razvoj IKT sektora</w:t>
      </w:r>
    </w:p>
    <w:p w14:paraId="46B11254" w14:textId="77777777" w:rsidR="005B3072" w:rsidRDefault="00A46913">
      <w:pPr>
        <w:pBdr>
          <w:top w:val="nil"/>
          <w:left w:val="nil"/>
          <w:bottom w:val="nil"/>
          <w:right w:val="nil"/>
          <w:between w:val="nil"/>
        </w:pBdr>
        <w:spacing w:line="240" w:lineRule="auto"/>
        <w:jc w:val="both"/>
        <w:rPr>
          <w:sz w:val="24"/>
          <w:szCs w:val="24"/>
        </w:rPr>
      </w:pPr>
      <w:r>
        <w:rPr>
          <w:sz w:val="24"/>
          <w:szCs w:val="24"/>
        </w:rPr>
        <w:t>Rast i razvoj IKT prepoznat je kao ključni preduslov ostvarenja ekonomskog i društvenog razvoja i poboljšanja efikasnosti na globalnom nivou. Crna Gora ima potencijal da bude konkurentna na globalnom tržištu kada je u pitanju IT sektor, ali kako bi ovaj sektor mogao biti u funkciji digitalne transformacije i razvoja ekonomije, kao i povećanja kvaliteta i kvantiteta IT industrije u BDP-u Crne Gore, Vladine mjere podrške moraju imati za cilj da on postane nova jaka privredna grana sa visokim izvoznim potencijalom. Samo uz adekvatne mjere podrške IT sektor i digitalizacija mogu postati katalizatori razvoja inovativne privrede i osnažiti i tradicionalne privredne grane.</w:t>
      </w:r>
    </w:p>
    <w:p w14:paraId="1218F9C2" w14:textId="77777777" w:rsidR="005B3072" w:rsidRDefault="00A46913">
      <w:pPr>
        <w:spacing w:before="240" w:after="240" w:line="276" w:lineRule="auto"/>
        <w:jc w:val="both"/>
        <w:rPr>
          <w:sz w:val="24"/>
          <w:szCs w:val="24"/>
        </w:rPr>
      </w:pPr>
      <w:r>
        <w:rPr>
          <w:sz w:val="24"/>
          <w:szCs w:val="24"/>
        </w:rPr>
        <w:t xml:space="preserve">Strategija pametne specijalizacije 2019–2024 stratešku viziju razvoja Crne Gore bazira na povećanju konkurentnosti ekonomije, kroz pametni rast, održivi rast i inkluzivni rast, fokusirajući se na tri ključna strateška cilja od kojih je jedan </w:t>
      </w:r>
      <w:r>
        <w:rPr>
          <w:b/>
          <w:sz w:val="24"/>
          <w:szCs w:val="24"/>
        </w:rPr>
        <w:t xml:space="preserve">modernizovana i digitalizovana Crna Gora. </w:t>
      </w:r>
      <w:r>
        <w:rPr>
          <w:sz w:val="24"/>
          <w:szCs w:val="24"/>
        </w:rPr>
        <w:t xml:space="preserve"> IKT je ovdje definisan kao </w:t>
      </w:r>
      <w:r>
        <w:rPr>
          <w:sz w:val="24"/>
          <w:szCs w:val="24"/>
        </w:rPr>
        <w:lastRenderedPageBreak/>
        <w:t>horizontalan sektor koji pruža informaciono-tehnološku podršku izabranim prioritetima, a razvoj i primjena IKT su prepoznati kao činioci od presudnog značaja za ekonomski razvoj</w:t>
      </w:r>
      <w:r>
        <w:rPr>
          <w:sz w:val="24"/>
          <w:szCs w:val="24"/>
          <w:vertAlign w:val="superscript"/>
        </w:rPr>
        <w:footnoteReference w:id="74"/>
      </w:r>
      <w:r>
        <w:rPr>
          <w:sz w:val="24"/>
          <w:szCs w:val="24"/>
        </w:rPr>
        <w:t>.</w:t>
      </w:r>
    </w:p>
    <w:p w14:paraId="633247C3" w14:textId="77777777" w:rsidR="005B3072" w:rsidRDefault="00A46913">
      <w:pPr>
        <w:spacing w:line="240" w:lineRule="auto"/>
        <w:jc w:val="both"/>
        <w:rPr>
          <w:sz w:val="24"/>
          <w:szCs w:val="24"/>
        </w:rPr>
      </w:pPr>
      <w:r>
        <w:rPr>
          <w:b/>
          <w:color w:val="1155CC"/>
          <w:sz w:val="24"/>
          <w:szCs w:val="24"/>
        </w:rPr>
        <w:t>Institucije nosioci aktivnost</w:t>
      </w:r>
      <w:r>
        <w:rPr>
          <w:b/>
          <w:color w:val="1F4E79"/>
          <w:sz w:val="24"/>
          <w:szCs w:val="24"/>
        </w:rPr>
        <w:t>i</w:t>
      </w:r>
      <w:r>
        <w:rPr>
          <w:b/>
          <w:sz w:val="24"/>
          <w:szCs w:val="24"/>
        </w:rPr>
        <w:t xml:space="preserve"> </w:t>
      </w:r>
      <w:r>
        <w:rPr>
          <w:sz w:val="24"/>
          <w:szCs w:val="24"/>
        </w:rPr>
        <w:t xml:space="preserve">MJUDDM, MFSS, MER, Agencija za privlačenje stranih investicija, MUP, akademska zajednica (univerziteti), Investiciono-razvojni fond Crne Gore, ICT sektor </w:t>
      </w:r>
    </w:p>
    <w:p w14:paraId="1AF7FE33" w14:textId="77777777" w:rsidR="005B3072" w:rsidRDefault="00A46913">
      <w:pPr>
        <w:spacing w:line="240" w:lineRule="auto"/>
        <w:jc w:val="both"/>
        <w:rPr>
          <w:sz w:val="24"/>
          <w:szCs w:val="24"/>
        </w:rPr>
      </w:pPr>
      <w:r>
        <w:rPr>
          <w:b/>
          <w:color w:val="1155CC"/>
          <w:sz w:val="24"/>
          <w:szCs w:val="24"/>
        </w:rPr>
        <w:t>Partneri:</w:t>
      </w:r>
      <w:r>
        <w:rPr>
          <w:b/>
          <w:sz w:val="24"/>
          <w:szCs w:val="24"/>
        </w:rPr>
        <w:t xml:space="preserve"> </w:t>
      </w:r>
      <w:r>
        <w:rPr>
          <w:sz w:val="24"/>
          <w:szCs w:val="24"/>
        </w:rPr>
        <w:t>Poslovne asocijacije, Fond za inovacije Crne Gore, Naučno-tehnološki park Crne Gore, Investiciono - razvojni fond, privredni sektor</w:t>
      </w:r>
    </w:p>
    <w:p w14:paraId="36DFB5C2" w14:textId="77777777" w:rsidR="005B3072" w:rsidRDefault="00A46913">
      <w:pPr>
        <w:jc w:val="both"/>
        <w:rPr>
          <w:sz w:val="24"/>
          <w:szCs w:val="24"/>
        </w:rPr>
      </w:pPr>
      <w:r>
        <w:rPr>
          <w:b/>
          <w:color w:val="1155CC"/>
          <w:sz w:val="24"/>
          <w:szCs w:val="24"/>
        </w:rPr>
        <w:t>Ključne aktivnosti</w:t>
      </w:r>
      <w:r>
        <w:rPr>
          <w:sz w:val="24"/>
          <w:szCs w:val="24"/>
        </w:rPr>
        <w:t xml:space="preserve"> definisane u cilju podrške u ostvarivanju ovog cilja, prepoznate su u okviru posebnih kategorija:</w:t>
      </w:r>
    </w:p>
    <w:p w14:paraId="3F4C950A" w14:textId="77777777" w:rsidR="005B3072" w:rsidRDefault="00A46913">
      <w:pPr>
        <w:numPr>
          <w:ilvl w:val="0"/>
          <w:numId w:val="29"/>
        </w:numPr>
        <w:pBdr>
          <w:top w:val="nil"/>
          <w:left w:val="nil"/>
          <w:bottom w:val="nil"/>
          <w:right w:val="nil"/>
          <w:between w:val="nil"/>
        </w:pBdr>
        <w:spacing w:after="0" w:line="240" w:lineRule="auto"/>
        <w:rPr>
          <w:b/>
          <w:i/>
          <w:sz w:val="24"/>
          <w:szCs w:val="24"/>
        </w:rPr>
      </w:pPr>
      <w:r>
        <w:rPr>
          <w:b/>
          <w:i/>
          <w:sz w:val="24"/>
          <w:szCs w:val="24"/>
        </w:rPr>
        <w:t>Dostupnost IKT opreme u cilju prevazilaženja digitalnog jaza</w:t>
      </w:r>
    </w:p>
    <w:p w14:paraId="77FE77FF" w14:textId="77777777" w:rsidR="005B3072" w:rsidRDefault="00A46913">
      <w:pPr>
        <w:numPr>
          <w:ilvl w:val="0"/>
          <w:numId w:val="29"/>
        </w:numPr>
        <w:pBdr>
          <w:top w:val="nil"/>
          <w:left w:val="nil"/>
          <w:bottom w:val="nil"/>
          <w:right w:val="nil"/>
          <w:between w:val="nil"/>
        </w:pBdr>
        <w:spacing w:after="0" w:line="240" w:lineRule="auto"/>
        <w:rPr>
          <w:b/>
          <w:i/>
          <w:sz w:val="24"/>
          <w:szCs w:val="24"/>
        </w:rPr>
      </w:pPr>
      <w:r>
        <w:rPr>
          <w:b/>
          <w:i/>
          <w:sz w:val="24"/>
          <w:szCs w:val="24"/>
        </w:rPr>
        <w:t>Implementacija mehanizama za podršku rasta i digitalizacije poslovanja kompanija</w:t>
      </w:r>
    </w:p>
    <w:p w14:paraId="784E69E5" w14:textId="77777777" w:rsidR="005B3072" w:rsidRDefault="00A46913">
      <w:pPr>
        <w:numPr>
          <w:ilvl w:val="0"/>
          <w:numId w:val="29"/>
        </w:numPr>
        <w:pBdr>
          <w:top w:val="nil"/>
          <w:left w:val="nil"/>
          <w:bottom w:val="nil"/>
          <w:right w:val="nil"/>
          <w:between w:val="nil"/>
        </w:pBdr>
        <w:spacing w:after="0" w:line="240" w:lineRule="auto"/>
        <w:rPr>
          <w:b/>
          <w:i/>
          <w:sz w:val="24"/>
          <w:szCs w:val="24"/>
        </w:rPr>
      </w:pPr>
      <w:r>
        <w:rPr>
          <w:b/>
          <w:i/>
          <w:sz w:val="24"/>
          <w:szCs w:val="24"/>
        </w:rPr>
        <w:t>Digitalna transformacija organizacija (privreda, NVO, obrazovanje)</w:t>
      </w:r>
    </w:p>
    <w:p w14:paraId="7341648F" w14:textId="77777777" w:rsidR="005B3072" w:rsidRDefault="00A46913">
      <w:pPr>
        <w:numPr>
          <w:ilvl w:val="0"/>
          <w:numId w:val="29"/>
        </w:numPr>
        <w:pBdr>
          <w:top w:val="nil"/>
          <w:left w:val="nil"/>
          <w:bottom w:val="nil"/>
          <w:right w:val="nil"/>
          <w:between w:val="nil"/>
        </w:pBdr>
        <w:spacing w:after="0" w:line="240" w:lineRule="auto"/>
        <w:rPr>
          <w:b/>
          <w:i/>
          <w:sz w:val="24"/>
          <w:szCs w:val="24"/>
        </w:rPr>
      </w:pPr>
      <w:r>
        <w:rPr>
          <w:b/>
          <w:i/>
          <w:sz w:val="24"/>
          <w:szCs w:val="24"/>
        </w:rPr>
        <w:t>Definicija i implementacija mehanizma za razvoj inovativnog IKT ekosistema</w:t>
      </w:r>
    </w:p>
    <w:p w14:paraId="2EBBB138" w14:textId="77777777" w:rsidR="005B3072" w:rsidRDefault="00A46913">
      <w:pPr>
        <w:numPr>
          <w:ilvl w:val="0"/>
          <w:numId w:val="29"/>
        </w:numPr>
        <w:pBdr>
          <w:top w:val="nil"/>
          <w:left w:val="nil"/>
          <w:bottom w:val="nil"/>
          <w:right w:val="nil"/>
          <w:between w:val="nil"/>
        </w:pBdr>
        <w:spacing w:after="0" w:line="240" w:lineRule="auto"/>
        <w:rPr>
          <w:b/>
          <w:i/>
          <w:sz w:val="24"/>
          <w:szCs w:val="24"/>
        </w:rPr>
      </w:pPr>
      <w:r>
        <w:rPr>
          <w:b/>
          <w:i/>
          <w:sz w:val="24"/>
          <w:szCs w:val="24"/>
        </w:rPr>
        <w:t>Povećanje izvoza, internacionalizacija IKT kompanija i povećanje udjela domaćih IKT kompanija u međunardnim tenderima</w:t>
      </w:r>
    </w:p>
    <w:p w14:paraId="718A8124" w14:textId="77777777" w:rsidR="005B3072" w:rsidRDefault="00A46913">
      <w:pPr>
        <w:spacing w:before="240" w:after="240"/>
        <w:jc w:val="both"/>
        <w:rPr>
          <w:b/>
          <w:sz w:val="24"/>
          <w:szCs w:val="24"/>
          <w:highlight w:val="white"/>
        </w:rPr>
      </w:pPr>
      <w:r>
        <w:rPr>
          <w:b/>
          <w:sz w:val="24"/>
          <w:szCs w:val="24"/>
          <w:highlight w:val="white"/>
        </w:rPr>
        <w:t>Povećana dostupnost IKT opreme u cilju prevazilaženja digitalnog jaza</w:t>
      </w:r>
    </w:p>
    <w:p w14:paraId="69892D13" w14:textId="77777777" w:rsidR="005B3072" w:rsidRDefault="00A46913">
      <w:pPr>
        <w:spacing w:before="240" w:after="240"/>
        <w:jc w:val="both"/>
        <w:rPr>
          <w:sz w:val="24"/>
          <w:szCs w:val="24"/>
        </w:rPr>
      </w:pPr>
      <w:r>
        <w:rPr>
          <w:sz w:val="24"/>
          <w:szCs w:val="24"/>
        </w:rPr>
        <w:t>Digitalizacija ekonomije i društva sama po sebi bez adekavatnog liderstva vlada ne može izbrisati razlike i praznine između pojedinaca, domaćinstava, poslovnih sektora i geografskih oblasti, bogatih i siromašnih odnosno različitih društvenih grupa. U cilju preduzimanja koraka na prevazilaženju dijela društvenog jaza i u skladu sa principima uključenosti, jednakosti i prisupačnosti na kojima počiva misija Ministarstva javne uprave, digitalnog društva i medija, ovo ministarstvo će u cilju prevazilaženja digitalnog jaza i povećane dostupnosti IKT opreme biti nosilac sledećih aktivnosti i subvencija kojima će biti podržane socijalno ugrožene kategorije kao i učenici i studenti.</w:t>
      </w:r>
    </w:p>
    <w:p w14:paraId="4E931A6D" w14:textId="77777777" w:rsidR="005B3072" w:rsidRDefault="00A46913">
      <w:pPr>
        <w:spacing w:before="240" w:after="240"/>
        <w:jc w:val="both"/>
        <w:rPr>
          <w:sz w:val="24"/>
          <w:szCs w:val="24"/>
        </w:rPr>
      </w:pPr>
      <w:r>
        <w:rPr>
          <w:b/>
          <w:sz w:val="24"/>
          <w:szCs w:val="24"/>
          <w:highlight w:val="white"/>
        </w:rPr>
        <w:t>Implementacija odgovarajućih mehanizama za podršku rasta i digitalizacije poslovanja kompanija</w:t>
      </w:r>
    </w:p>
    <w:p w14:paraId="7C69B058" w14:textId="77777777" w:rsidR="005B3072" w:rsidRDefault="00A46913">
      <w:pPr>
        <w:spacing w:before="240" w:after="240"/>
        <w:jc w:val="both"/>
        <w:rPr>
          <w:sz w:val="24"/>
          <w:szCs w:val="24"/>
        </w:rPr>
      </w:pPr>
      <w:r>
        <w:rPr>
          <w:sz w:val="24"/>
          <w:szCs w:val="24"/>
        </w:rPr>
        <w:t>Važan skup aktivnosti u realizaciji ovog operativnog cilja neizostavno bi morao podrazumijevati i Implementaciju odgovarajućih mehanizama za podršku rasta i digitalizacije poslovanja kompanija, u čijoj bi realizaciji ključne institucije bile Ministarstvo ekonomskog razvoja i Ministarstvo finansija i socijalnog staranja. Neke od prepoznatih aktivnosti i mehanizama kroz koje bi se tokom sprovođenja ove Strategije mogla realizovati mjere implementacije mehanizama koji doprinose podršci rasta i digitalizacije poslovanja kompanija su:</w:t>
      </w:r>
    </w:p>
    <w:p w14:paraId="7D9F1D9F" w14:textId="77777777" w:rsidR="005B3072" w:rsidRDefault="00A46913">
      <w:pPr>
        <w:numPr>
          <w:ilvl w:val="0"/>
          <w:numId w:val="27"/>
        </w:numPr>
        <w:spacing w:before="240" w:after="0"/>
        <w:jc w:val="both"/>
        <w:rPr>
          <w:sz w:val="24"/>
          <w:szCs w:val="24"/>
        </w:rPr>
      </w:pPr>
      <w:r>
        <w:rPr>
          <w:sz w:val="24"/>
          <w:szCs w:val="24"/>
        </w:rPr>
        <w:t xml:space="preserve">Oslobađanje poreza i doprinosa novoosnovanim IT kompanijama, umanjenje poreza na dobit za iznos investicija kompanije u nove usluge, proizvode i tehnologije, slobađanje poreza i doprinosa novozaposlenim IT kadrovima kojima je to prvi posao, oslobađanje poreza i doprinosa </w:t>
      </w:r>
      <w:r>
        <w:rPr>
          <w:sz w:val="24"/>
          <w:szCs w:val="24"/>
        </w:rPr>
        <w:lastRenderedPageBreak/>
        <w:t>novozaposlenim IT kadrovima (pravo na oslobađanje bi stekle kompanije koje na kraju poslovne godine imaju veći broj zaposlenih u odnosu na prethodnu godinu)</w:t>
      </w:r>
    </w:p>
    <w:p w14:paraId="5C404E20" w14:textId="77777777" w:rsidR="005B3072" w:rsidRDefault="00A46913">
      <w:pPr>
        <w:numPr>
          <w:ilvl w:val="0"/>
          <w:numId w:val="27"/>
        </w:numPr>
        <w:spacing w:after="0" w:line="240" w:lineRule="auto"/>
        <w:jc w:val="both"/>
        <w:rPr>
          <w:sz w:val="24"/>
          <w:szCs w:val="24"/>
        </w:rPr>
      </w:pPr>
      <w:r>
        <w:rPr>
          <w:sz w:val="24"/>
          <w:szCs w:val="24"/>
        </w:rPr>
        <w:t>Subvencije za sve kompanije koje investiraju u digitalnu transformaciju (iznos subvencije zavisi od stepena razvijenosti kompanije kao i od složenosti digitalne transformacije koju implementira, ali svakako ne smije preći 50% vrijednosti projekta kao i subvencije za sve kompanije koje investiraju u digitalnu transformaciju od umanjenja poreza na dobit kompanije.</w:t>
      </w:r>
    </w:p>
    <w:p w14:paraId="2A021B16" w14:textId="77777777" w:rsidR="005B3072" w:rsidRDefault="005B3072">
      <w:pPr>
        <w:spacing w:after="0" w:line="240" w:lineRule="auto"/>
        <w:jc w:val="both"/>
        <w:rPr>
          <w:sz w:val="24"/>
          <w:szCs w:val="24"/>
        </w:rPr>
      </w:pPr>
    </w:p>
    <w:p w14:paraId="2DD5DF54" w14:textId="77777777" w:rsidR="005B3072" w:rsidRDefault="00A46913">
      <w:pPr>
        <w:spacing w:after="0" w:line="240" w:lineRule="auto"/>
        <w:jc w:val="both"/>
        <w:rPr>
          <w:sz w:val="24"/>
          <w:szCs w:val="24"/>
        </w:rPr>
      </w:pPr>
      <w:r>
        <w:rPr>
          <w:sz w:val="24"/>
          <w:szCs w:val="24"/>
        </w:rPr>
        <w:t>Svakako prilikom definisanja Akcionih planova i dinamike sprovođenja aktivnosti treba uz izrađenu analizu stanja iz koje su proistekli ciljevi ove Strategije imati u vidu i bitne novonastale činjenice, odnosno aktuelne institucionalne kao i promjene zakonskog okvira i programe sa čijim je sprovođenjem  Vlada Crne Gore započela tokom perioda izrade ove Strategije kako ne bi došlo do preklapanja odnosno kako bi precizno definisanim aktivnostima na najbolji mogući način doprinijeli realizaciji ovog, kao i ostalih ciljeva. Tako, prilikom definisanja prvog Akcionog plana 2022-2023 ove Strategije, treba imati u vidu da je implementacija novog Zakona o podsticajnim mjerama za istraživanja i inovacije počela od 04. oktobra 2021. godine, te da ista obuhvata i IT kompanije koje zasnivaju svoj razvoj na inovacijama. Budući da je u toku testni period primjene ovog zakona, treba sagledati efekte implementacije propisanih mjera, da bi se nakon toga mogle predložiti nove izmjene ovog Zakona i/ili eventualno predlozi izmjena nekih drugih zakona, koji se odnose na IT kompanije u širem smislu, a ne samo one koje se bave inovacionom djelatnošću. Istovremeno Ministarstvo finansija i socijalnog staranja je planiralo i otpočelo sa pripremom krupnih promjena cjelokupne poreske politike koje podrazumijevaju širok spektar poreskih olakšica (npr. smanjenje poreza na IT opremu, smanjenje poreza na novozaposlene, i sl.) u kojima se mogu djelimično prepoznati i IT kompanije.</w:t>
      </w:r>
    </w:p>
    <w:p w14:paraId="00E5662C" w14:textId="77777777" w:rsidR="005B3072" w:rsidRDefault="00A46913">
      <w:pPr>
        <w:spacing w:before="240" w:after="240"/>
        <w:jc w:val="both"/>
        <w:rPr>
          <w:sz w:val="24"/>
          <w:szCs w:val="24"/>
        </w:rPr>
      </w:pPr>
      <w:r>
        <w:rPr>
          <w:sz w:val="24"/>
          <w:szCs w:val="24"/>
        </w:rPr>
        <w:t xml:space="preserve">Osim toga </w:t>
      </w:r>
      <w:hyperlink r:id="rId35">
        <w:r>
          <w:rPr>
            <w:b/>
            <w:sz w:val="24"/>
            <w:szCs w:val="24"/>
          </w:rPr>
          <w:t>Strategijom razvoja mikro, malih i srednjih preduzeća u Crnoj Gori 2018 - 2022</w:t>
        </w:r>
      </w:hyperlink>
      <w:r>
        <w:rPr>
          <w:b/>
          <w:sz w:val="24"/>
          <w:szCs w:val="24"/>
        </w:rPr>
        <w:t>. godine</w:t>
      </w:r>
      <w:r>
        <w:rPr>
          <w:b/>
          <w:i/>
          <w:sz w:val="24"/>
          <w:szCs w:val="24"/>
        </w:rPr>
        <w:t xml:space="preserve"> </w:t>
      </w:r>
      <w:r>
        <w:rPr>
          <w:sz w:val="24"/>
          <w:szCs w:val="24"/>
        </w:rPr>
        <w:t xml:space="preserve">predviđena je realizacija aktivnosti Subvencija za sve kompanije koje investiraju u digitalnu transformaciju, kroz Programsku liniju za podršku digitalizaciji u okviru Programa za unapređenje konkurentnosti privrede, te u cilju usklađenosti strateškog okvira Crne Gore ova aktivnost, zbog preklapanja, ne može biti predmet prvog Akcionog plana ove Strategije. Međutim budući da Strategija razvoja mikro, malih i srednjih preduzeća ističe krajem 2022. godine, neophodno je pratiti kako rezultate sprovođenja ovih aktivnosti tako i buduću realizaciju bilo kroz neku od sektorskih strategija bilo kroz naredne akcione planove Strategije digitalne transformacije. Naročito imajući u vidu da se ovaj sektor usled svoje specifičnosti i potreba koje nalaže ulaganje u digitalizaciju teško može uklopiti u okviru, za njega, opredijeljenih linija kao malog segmenta MSP, te da je prepoznavanje IT sektora kao posebnog strateško razvojnog sektora ključni preduslov ostvarenja ekonomskog i društvenog razvoja i poboljšanja efikasnosti na globalnom nivou. </w:t>
      </w:r>
    </w:p>
    <w:p w14:paraId="7B8D527D" w14:textId="77777777" w:rsidR="005B3072" w:rsidRDefault="00A46913">
      <w:pPr>
        <w:rPr>
          <w:b/>
          <w:sz w:val="24"/>
          <w:szCs w:val="24"/>
          <w:highlight w:val="white"/>
        </w:rPr>
      </w:pPr>
      <w:r>
        <w:rPr>
          <w:b/>
          <w:sz w:val="24"/>
          <w:szCs w:val="24"/>
          <w:highlight w:val="white"/>
        </w:rPr>
        <w:t>Digitalna transformacija organizacija (privreda, NVO, obrazovanje)</w:t>
      </w:r>
    </w:p>
    <w:p w14:paraId="77A28190" w14:textId="77777777" w:rsidR="005B3072" w:rsidRDefault="00A46913">
      <w:pPr>
        <w:jc w:val="both"/>
        <w:rPr>
          <w:sz w:val="24"/>
          <w:szCs w:val="24"/>
        </w:rPr>
      </w:pPr>
      <w:r>
        <w:rPr>
          <w:sz w:val="24"/>
          <w:szCs w:val="24"/>
        </w:rPr>
        <w:t xml:space="preserve">Zajedničko učešće na projektima iz domena IKT, kroz partnerstvo privrednih društava sa akademskim i naučnim organizacijama uz obezbjeđenje grantova za inovativne projekte podrške saradnji naučnoistraživačke zajednice i privrede je jedan od preduslova šire digitalne transformacije i kvalitetnog povezivanja i djelovanja njenih aktera. Kroz Strategiju će se takođe pratiti i implementacija propisa koji se tiču olakšica za digitalne nomade prepoznate kroz </w:t>
      </w:r>
      <w:r>
        <w:rPr>
          <w:b/>
          <w:i/>
          <w:sz w:val="24"/>
          <w:szCs w:val="24"/>
        </w:rPr>
        <w:t>Program privlačenja digitalnih nomada u Crnoj Gori do 2025. godine</w:t>
      </w:r>
      <w:r>
        <w:rPr>
          <w:sz w:val="24"/>
          <w:szCs w:val="24"/>
        </w:rPr>
        <w:t xml:space="preserve">, kako bi se održao kontinuitet i mapirali potencijali privlačenja deficitarnih kadrova iz </w:t>
      </w:r>
      <w:r>
        <w:rPr>
          <w:sz w:val="24"/>
          <w:szCs w:val="24"/>
        </w:rPr>
        <w:lastRenderedPageBreak/>
        <w:t>inostranstva, kao i sprovodile aktivnosti na kreiranju ambijenta za privlačenje stranih investicionih fondova u IKT sektor.</w:t>
      </w:r>
    </w:p>
    <w:p w14:paraId="30517C4E" w14:textId="77777777" w:rsidR="005B3072" w:rsidRDefault="00A46913">
      <w:pPr>
        <w:pBdr>
          <w:top w:val="nil"/>
          <w:left w:val="nil"/>
          <w:bottom w:val="nil"/>
          <w:right w:val="nil"/>
          <w:between w:val="nil"/>
        </w:pBdr>
        <w:rPr>
          <w:b/>
          <w:sz w:val="24"/>
          <w:szCs w:val="24"/>
          <w:highlight w:val="white"/>
        </w:rPr>
      </w:pPr>
      <w:r>
        <w:rPr>
          <w:b/>
          <w:sz w:val="24"/>
          <w:szCs w:val="24"/>
          <w:highlight w:val="white"/>
        </w:rPr>
        <w:t>Definicija i implementacija mehanizama za razvoj inovativnog IKT ekosistema</w:t>
      </w:r>
    </w:p>
    <w:p w14:paraId="411A9414" w14:textId="77777777" w:rsidR="005B3072" w:rsidRDefault="00A46913">
      <w:pPr>
        <w:pBdr>
          <w:top w:val="nil"/>
          <w:left w:val="nil"/>
          <w:bottom w:val="nil"/>
          <w:right w:val="nil"/>
          <w:between w:val="nil"/>
        </w:pBdr>
        <w:jc w:val="both"/>
        <w:rPr>
          <w:sz w:val="24"/>
          <w:szCs w:val="24"/>
        </w:rPr>
      </w:pPr>
      <w:r>
        <w:rPr>
          <w:sz w:val="24"/>
          <w:szCs w:val="24"/>
        </w:rPr>
        <w:t>Praćenjem broja podržanih inovativnih programa i projekata iz IKT sektora i podsticaja za istraživanje i inovacije u IKT u domenu novih tehnologija u privredi, kontrolisaće se implementacija ovih mehanizama koji će biti dodatno podržani i ojačani kroz programske aktivnosti Fonda za inovacije i Kancelarije za tehnološki transfer.</w:t>
      </w:r>
    </w:p>
    <w:p w14:paraId="33AF91A4" w14:textId="77777777" w:rsidR="005B3072" w:rsidRDefault="00A46913">
      <w:pPr>
        <w:jc w:val="both"/>
        <w:rPr>
          <w:b/>
          <w:sz w:val="28"/>
          <w:szCs w:val="28"/>
          <w:highlight w:val="yellow"/>
        </w:rPr>
      </w:pPr>
      <w:r>
        <w:rPr>
          <w:b/>
          <w:sz w:val="24"/>
          <w:szCs w:val="24"/>
          <w:highlight w:val="white"/>
        </w:rPr>
        <w:t>Povećanje izvoza, internacionalizacija IKT kompanija i povećanje udjela domaćih IKT kompanija u međunarodnim tenderima</w:t>
      </w:r>
    </w:p>
    <w:p w14:paraId="71731A44" w14:textId="77777777" w:rsidR="005B3072" w:rsidRDefault="00A46913">
      <w:pPr>
        <w:pBdr>
          <w:top w:val="nil"/>
          <w:left w:val="nil"/>
          <w:bottom w:val="nil"/>
          <w:right w:val="nil"/>
          <w:between w:val="nil"/>
        </w:pBdr>
        <w:jc w:val="both"/>
        <w:rPr>
          <w:sz w:val="24"/>
          <w:szCs w:val="24"/>
        </w:rPr>
      </w:pPr>
      <w:r>
        <w:rPr>
          <w:sz w:val="24"/>
          <w:szCs w:val="24"/>
        </w:rPr>
        <w:t>Aktivnosti koje podrazumijevaju podsticaje za kompanije koje izvoze IT usluge i proizvode, subvencije za studijske posjete inostranstvu u cilju sklapanja novih poslova na internacionalnom tržištu i organizaciju IKT konferencija i sličnih događaja u Crnoj Gori, prepoznate su kao potreban, ali ne i dovoljan preduslov za istinsku internacionalizaciju IKT kompanija i povećanje udjela domaćih IKT kompanija u međunarodnim tenderima. Zakon o javnim nabavkama ne zabranjuje udruživanje domaćih kompanija i zajedničko učešće na međunarodnim tenderima, ali sa druge strane institucije prilikom objave tendera ne podstiču ovakav vid partnerstva kroz odgovarajuće uslove i načine bodovanja ponuda.</w:t>
      </w:r>
    </w:p>
    <w:p w14:paraId="67C38CCD" w14:textId="77777777" w:rsidR="005B3072" w:rsidRDefault="005B3072">
      <w:pPr>
        <w:rPr>
          <w:b/>
          <w:sz w:val="28"/>
          <w:szCs w:val="28"/>
        </w:rPr>
      </w:pPr>
    </w:p>
    <w:p w14:paraId="53FD761A" w14:textId="77777777" w:rsidR="005B3072" w:rsidRDefault="00A46913">
      <w:pPr>
        <w:rPr>
          <w:b/>
          <w:sz w:val="28"/>
          <w:szCs w:val="28"/>
        </w:rPr>
      </w:pPr>
      <w:r>
        <w:rPr>
          <w:b/>
          <w:color w:val="0070C0"/>
          <w:sz w:val="28"/>
          <w:szCs w:val="28"/>
        </w:rPr>
        <w:t>VI</w:t>
      </w:r>
      <w:r>
        <w:rPr>
          <w:b/>
          <w:color w:val="0070C0"/>
          <w:sz w:val="28"/>
          <w:szCs w:val="28"/>
        </w:rPr>
        <w:tab/>
        <w:t>OPIS AKTIVNOSTI NADLEŽNIH ORGANA I TIJELA ZA PRAĆENJE SPROVOĐENJA STRATEGIJE</w:t>
      </w:r>
    </w:p>
    <w:p w14:paraId="3DA8B749" w14:textId="77777777" w:rsidR="005B3072" w:rsidRDefault="005B3072">
      <w:pPr>
        <w:jc w:val="both"/>
        <w:rPr>
          <w:b/>
          <w:sz w:val="24"/>
          <w:szCs w:val="24"/>
        </w:rPr>
      </w:pPr>
    </w:p>
    <w:p w14:paraId="0C8C3E52" w14:textId="77777777" w:rsidR="005B3072" w:rsidRDefault="00A46913">
      <w:pPr>
        <w:pBdr>
          <w:top w:val="nil"/>
          <w:left w:val="nil"/>
          <w:bottom w:val="nil"/>
          <w:right w:val="nil"/>
          <w:between w:val="nil"/>
        </w:pBdr>
        <w:spacing w:before="40" w:after="40" w:line="240" w:lineRule="auto"/>
        <w:ind w:right="140"/>
        <w:jc w:val="both"/>
        <w:rPr>
          <w:sz w:val="24"/>
          <w:szCs w:val="24"/>
          <w:highlight w:val="white"/>
        </w:rPr>
      </w:pPr>
      <w:r>
        <w:rPr>
          <w:sz w:val="24"/>
          <w:szCs w:val="24"/>
          <w:highlight w:val="white"/>
        </w:rPr>
        <w:t xml:space="preserve">Ključne institucije koje su prepoznate u implementaciji aktivnosti kroz prepoznate operativne ciljeve Strategije su: Vlada Crne Gore/Generalni sekretarijat Vlade Crne Gore, Ministarstvo javne uprave, digitalnog društva i medija, Ministarstvo prosvjete, nauke, kulture i sporta, Ministarstvo unutrašnjih poslova, Ministarstvo ekonomskog razvoja, Ministarstvo finansija i socijalnog staranja, Agencija za elektronske komunikacije i poštansku djelatnost, Privredna komora Crne Gore, Uprava za kadrove, Uprava za statistiku Crne Gore – MONSTAT,  Agencija za zaštitu ličnih podataka, Agencija za kontrolu i obezbjeđenje kvaliteta visokog obrazovanja, Agencija za privlačenje stranih investicija, Investiciono-razvojni fond, akademska i IT zajednica. </w:t>
      </w:r>
    </w:p>
    <w:p w14:paraId="7B3F783F" w14:textId="77777777" w:rsidR="005B3072" w:rsidRDefault="00A46913">
      <w:pPr>
        <w:pBdr>
          <w:top w:val="nil"/>
          <w:left w:val="nil"/>
          <w:bottom w:val="nil"/>
          <w:right w:val="nil"/>
          <w:between w:val="nil"/>
        </w:pBdr>
        <w:spacing w:before="40" w:after="40" w:line="240" w:lineRule="auto"/>
        <w:ind w:right="140"/>
        <w:jc w:val="both"/>
        <w:rPr>
          <w:sz w:val="24"/>
          <w:szCs w:val="24"/>
          <w:highlight w:val="white"/>
        </w:rPr>
      </w:pPr>
      <w:r>
        <w:rPr>
          <w:b/>
          <w:sz w:val="24"/>
          <w:szCs w:val="24"/>
          <w:highlight w:val="white"/>
        </w:rPr>
        <w:t>Ministarstvo javne uprave, digitalnog društva i medija</w:t>
      </w:r>
      <w:r>
        <w:rPr>
          <w:sz w:val="24"/>
          <w:szCs w:val="24"/>
          <w:highlight w:val="white"/>
        </w:rPr>
        <w:t xml:space="preserve"> je zaduženo da kreira javnu politiku koja uređuje sistem javne uprave u Crnoj Gori i sprovodi digitalnu transformaciju. Osnovni preduslov za realizaciju strateških i operativnih ciljeva, definisanih Strategijom digitalne transformacije Crne Gore 2022-2026 je dosljedno sprovođenje aktivnosti propisanih akcionim planovima za sprovođenje Strategije. Po usvajanju Strategije i pratećeg Akcionog plana, jedna od prepoznatih aktivnosti je formiranje Komisije za digitalizaciju za praćenje sprovođenja Strategije, dok Ministarstvo javne uprave, digitalnog društva i medija kao ključni nosilac digitalizacije procesa učestvuje u implementaciji najvećeg broja aktivnosti kroz sve operativne ciljeve prepoznate strategijom.</w:t>
      </w:r>
    </w:p>
    <w:p w14:paraId="4CF50C63" w14:textId="77777777" w:rsidR="005B3072" w:rsidRDefault="00A46913">
      <w:pPr>
        <w:pBdr>
          <w:top w:val="nil"/>
          <w:left w:val="nil"/>
          <w:bottom w:val="nil"/>
          <w:right w:val="nil"/>
          <w:between w:val="nil"/>
        </w:pBdr>
        <w:spacing w:before="40" w:after="40" w:line="240" w:lineRule="auto"/>
        <w:ind w:right="140"/>
        <w:jc w:val="both"/>
        <w:rPr>
          <w:sz w:val="24"/>
          <w:szCs w:val="24"/>
          <w:highlight w:val="white"/>
        </w:rPr>
      </w:pPr>
      <w:r>
        <w:rPr>
          <w:b/>
          <w:sz w:val="24"/>
          <w:szCs w:val="24"/>
          <w:highlight w:val="white"/>
        </w:rPr>
        <w:t>Ministarstvo prosvjete, nauke, kulture i sporta</w:t>
      </w:r>
      <w:r>
        <w:rPr>
          <w:sz w:val="24"/>
          <w:szCs w:val="24"/>
          <w:highlight w:val="white"/>
        </w:rPr>
        <w:t xml:space="preserve"> je zaduženo za planiranje, implementaciju i unapređenje obrazovne politike kao i implementaciju ključnih akreditovanih programa u cilju sticanja znanja i vještina. </w:t>
      </w:r>
      <w:r>
        <w:rPr>
          <w:sz w:val="24"/>
          <w:szCs w:val="24"/>
          <w:highlight w:val="white"/>
        </w:rPr>
        <w:lastRenderedPageBreak/>
        <w:t>Jedan od osnovnih faktora digitalne transformacije je razvoj digitalnih vještina i kompetencija svih grupa stanovništva, iz čega slijedi da Ministarstvo prosvjete, nauke, kulture i sporta učestvuje u realizaciji brojnih aktivnosti prepoznatih u mjerama Unapređenja sistema formalnog obrazovanja i Podsticanje zapošljivosti kroz uspostavljanje sistema podrške za sticanje znanja i vještina.</w:t>
      </w:r>
    </w:p>
    <w:p w14:paraId="6FE90369" w14:textId="77777777" w:rsidR="005B3072" w:rsidRDefault="00A46913">
      <w:pPr>
        <w:spacing w:before="40" w:after="40" w:line="240" w:lineRule="auto"/>
        <w:ind w:right="140"/>
        <w:jc w:val="both"/>
        <w:rPr>
          <w:sz w:val="24"/>
          <w:szCs w:val="24"/>
          <w:highlight w:val="white"/>
        </w:rPr>
      </w:pPr>
      <w:r>
        <w:rPr>
          <w:b/>
          <w:sz w:val="24"/>
          <w:szCs w:val="24"/>
          <w:highlight w:val="white"/>
        </w:rPr>
        <w:t xml:space="preserve">Ministarstvo unutrašnjih poslova </w:t>
      </w:r>
      <w:r>
        <w:rPr>
          <w:sz w:val="24"/>
          <w:szCs w:val="24"/>
          <w:highlight w:val="white"/>
        </w:rPr>
        <w:t>upravlja ključnim registrima koji su od krucijalne važnosti za  uspostavljanje elektronskih usluga za građane, ali i za potrebe digitalizacije ostalih procesa koji zahtijevaju provjeru identiteta, i kroz ovaj strateški dokument učestvuje u implementaciji brojnih aktivnosti prepoznatih u mjerama Razvoja i optimizacije korisnički orjentisanih elektronskih usluga i Unapređenja primjene eID i elektronskih usluga od povjerenja u cilju daljeg razvoja i masovnog korišćenja e-usluga.</w:t>
      </w:r>
    </w:p>
    <w:p w14:paraId="5934BDFE" w14:textId="77777777" w:rsidR="005B3072" w:rsidRDefault="00A46913">
      <w:pPr>
        <w:spacing w:before="40" w:after="40" w:line="240" w:lineRule="auto"/>
        <w:ind w:right="140"/>
        <w:jc w:val="both"/>
        <w:rPr>
          <w:sz w:val="24"/>
          <w:szCs w:val="24"/>
          <w:highlight w:val="white"/>
        </w:rPr>
      </w:pPr>
      <w:r>
        <w:rPr>
          <w:b/>
          <w:sz w:val="24"/>
          <w:szCs w:val="24"/>
          <w:highlight w:val="white"/>
        </w:rPr>
        <w:t xml:space="preserve">Ministarstvo ekonomskog razvoja </w:t>
      </w:r>
      <w:r>
        <w:rPr>
          <w:sz w:val="24"/>
          <w:szCs w:val="24"/>
          <w:highlight w:val="white"/>
        </w:rPr>
        <w:t>sa prioritetom ulaganja u razvoj i inovacije realizujući politike inovacione djelatnosti u cilju snaženja ekonomskog razvoja baziranog na znanju, i kroz olakšice i subvencije implementacijom aktivnosti prepoznatih u mjerama Implementacije mehanizama za podršku rasta i digitalizacije poslovanja kompanija, razvoja inovativnog IKT ekosistema, digitalne transformacija organizacija i povećanje izvoza, internacionalizacija IKT kompanija kao i povećanje udjela domaćih IKT kompanija u međunardnim tenderima, sveukupno doprinosi digitalnoj transformaciji društva.</w:t>
      </w:r>
    </w:p>
    <w:p w14:paraId="57699403" w14:textId="77777777" w:rsidR="005B3072" w:rsidRDefault="00A46913">
      <w:pPr>
        <w:spacing w:line="240" w:lineRule="auto"/>
        <w:jc w:val="both"/>
        <w:rPr>
          <w:sz w:val="24"/>
          <w:szCs w:val="24"/>
          <w:highlight w:val="white"/>
        </w:rPr>
      </w:pPr>
      <w:r>
        <w:rPr>
          <w:b/>
          <w:sz w:val="24"/>
          <w:szCs w:val="24"/>
          <w:highlight w:val="white"/>
        </w:rPr>
        <w:t xml:space="preserve">Ministarstvo finansija i socijalnog staranja </w:t>
      </w:r>
      <w:r>
        <w:rPr>
          <w:sz w:val="24"/>
          <w:szCs w:val="24"/>
          <w:highlight w:val="white"/>
        </w:rPr>
        <w:t>nadležno je, između ostalog za pripremanje predloga ekonomske politike Crne Gore, i kroz izmjene brojnih normativnih akata i implementacijom različitih mehanizama podrške digitalne transformacije organizacija učestvuje u realizaciji aktivnosti  prepoznatih kroz mjere Implementacije mehanizama za podršku rasta i digitalizacije poslovanja kompanija, razvoja inovativnog IKT ekosistema, kao i povećanje udjela domaćih IKT kompanija u međunardnim tenderima.</w:t>
      </w:r>
    </w:p>
    <w:p w14:paraId="08600FA9" w14:textId="77777777" w:rsidR="005B3072" w:rsidRDefault="00A46913">
      <w:pPr>
        <w:spacing w:before="240" w:after="240" w:line="276" w:lineRule="auto"/>
        <w:jc w:val="both"/>
        <w:rPr>
          <w:sz w:val="24"/>
          <w:szCs w:val="24"/>
          <w:highlight w:val="white"/>
        </w:rPr>
      </w:pPr>
      <w:r>
        <w:rPr>
          <w:b/>
          <w:sz w:val="24"/>
          <w:szCs w:val="24"/>
          <w:highlight w:val="white"/>
        </w:rPr>
        <w:t>Agencija za elektronske komunikacije i poštansku djelatnost</w:t>
      </w:r>
      <w:r>
        <w:rPr>
          <w:sz w:val="24"/>
          <w:szCs w:val="24"/>
          <w:highlight w:val="white"/>
        </w:rPr>
        <w:t>, u skladu</w:t>
      </w:r>
      <w:r>
        <w:rPr>
          <w:b/>
          <w:sz w:val="24"/>
          <w:szCs w:val="24"/>
          <w:highlight w:val="white"/>
        </w:rPr>
        <w:t xml:space="preserve"> </w:t>
      </w:r>
      <w:r>
        <w:rPr>
          <w:sz w:val="24"/>
          <w:szCs w:val="24"/>
          <w:highlight w:val="white"/>
        </w:rPr>
        <w:t>sa nadležnostima propisanim Zakonom o elektronskim komunikacijama i Zakonom o poštanskim uslugama, ima značajnu ulogu u implementaciji aktivnosti naročito onih koje se odnose na razvoj elektronske komunikacione infrastrukture, dostupnost elektronskih komunikacionih usluga i pravovremeno uvođenje novih tehnologija od strane registrovanih operatora.</w:t>
      </w:r>
    </w:p>
    <w:p w14:paraId="68456E54" w14:textId="77777777" w:rsidR="005B3072" w:rsidRDefault="00A46913">
      <w:pPr>
        <w:spacing w:before="40" w:after="40" w:line="240" w:lineRule="auto"/>
        <w:ind w:right="-4"/>
        <w:jc w:val="both"/>
        <w:rPr>
          <w:sz w:val="24"/>
          <w:szCs w:val="24"/>
          <w:highlight w:val="white"/>
        </w:rPr>
      </w:pPr>
      <w:r>
        <w:rPr>
          <w:b/>
          <w:sz w:val="24"/>
          <w:szCs w:val="24"/>
          <w:highlight w:val="white"/>
        </w:rPr>
        <w:t xml:space="preserve">Privredna komora Crne Gore </w:t>
      </w:r>
      <w:r>
        <w:rPr>
          <w:sz w:val="24"/>
          <w:szCs w:val="24"/>
          <w:highlight w:val="white"/>
        </w:rPr>
        <w:t>učestvuje u organizaciji stručnih rasprava sa privrednim sektorom radi utvrđivanja potreba privrednika, predlaganju članova za radne grupe, davanju stručnih mišljenja i prije svega organizovanja ključnih događaja iz oblasti digitalizacije društva. Uloga Privredne komore kroz strateški dokument je prepoznata još u toku samog procesa pripreme dokumenta, pokretanjem inicijative i formiranjem Konsultativne grupe od predstavnika privrednog sektora, a koja je dala doprinos u kvalitetu dokumenta, i učestvuje u realizaciji aktivnosti prepoznatih u mjerama izrade određenih analiza kao i organizovanjem događaja sa ciljem povećanja informisanosti privrede o značaju i benefitima digitalne transformacije.</w:t>
      </w:r>
    </w:p>
    <w:p w14:paraId="4AA68599" w14:textId="77777777" w:rsidR="005B3072" w:rsidRDefault="005B3072">
      <w:pPr>
        <w:spacing w:before="40" w:after="40" w:line="240" w:lineRule="auto"/>
        <w:ind w:right="-4"/>
        <w:jc w:val="both"/>
        <w:rPr>
          <w:sz w:val="24"/>
          <w:szCs w:val="24"/>
          <w:highlight w:val="white"/>
        </w:rPr>
      </w:pPr>
    </w:p>
    <w:p w14:paraId="71602CCD" w14:textId="77777777" w:rsidR="005B3072" w:rsidRDefault="00A46913">
      <w:pPr>
        <w:spacing w:before="40" w:after="40" w:line="240" w:lineRule="auto"/>
        <w:ind w:right="-4"/>
        <w:jc w:val="both"/>
        <w:rPr>
          <w:sz w:val="24"/>
          <w:szCs w:val="24"/>
          <w:highlight w:val="white"/>
        </w:rPr>
      </w:pPr>
      <w:r>
        <w:rPr>
          <w:b/>
          <w:sz w:val="24"/>
          <w:szCs w:val="24"/>
          <w:highlight w:val="white"/>
        </w:rPr>
        <w:t>Uprava za kadrove</w:t>
      </w:r>
      <w:r>
        <w:rPr>
          <w:sz w:val="24"/>
          <w:szCs w:val="24"/>
          <w:highlight w:val="white"/>
        </w:rPr>
        <w:t xml:space="preserve"> ima ulogu da, između ostalog, podržava reformu javne uprave, vodeći se osnovnim principima efikasne i efektivne servisno orijentisane javne uprave sa ciljem uspostavljanja modernog servisa i inicijatora promjena u oblasti upravljanja ljudskim resursima učestvuje u realizaciji brojnih aktivnosti koje doprinose unapređenju digitalnih znanja i vještina u javnoj upravi kao i osnaživanju javnih službenika u njihovoj edukaciji i daljem karijernom razvoju.</w:t>
      </w:r>
    </w:p>
    <w:p w14:paraId="11A395BC" w14:textId="77777777" w:rsidR="005B3072" w:rsidRDefault="005B3072">
      <w:pPr>
        <w:spacing w:before="40" w:after="40" w:line="240" w:lineRule="auto"/>
        <w:ind w:right="-4"/>
        <w:jc w:val="both"/>
        <w:rPr>
          <w:sz w:val="24"/>
          <w:szCs w:val="24"/>
          <w:highlight w:val="white"/>
        </w:rPr>
      </w:pPr>
    </w:p>
    <w:p w14:paraId="4BB3F815" w14:textId="77777777" w:rsidR="005B3072" w:rsidRDefault="00A46913">
      <w:pPr>
        <w:spacing w:before="20" w:after="240" w:line="240" w:lineRule="auto"/>
        <w:jc w:val="both"/>
        <w:rPr>
          <w:sz w:val="24"/>
          <w:szCs w:val="24"/>
          <w:highlight w:val="white"/>
        </w:rPr>
      </w:pPr>
      <w:r>
        <w:rPr>
          <w:b/>
          <w:sz w:val="24"/>
          <w:szCs w:val="24"/>
          <w:highlight w:val="white"/>
        </w:rPr>
        <w:lastRenderedPageBreak/>
        <w:t>Uprava za statistiku Crne Gore – MONSTAT</w:t>
      </w:r>
      <w:r>
        <w:rPr>
          <w:sz w:val="24"/>
          <w:szCs w:val="24"/>
          <w:highlight w:val="white"/>
        </w:rPr>
        <w:t xml:space="preserve"> kao nadležno tijelo za proizvodnju zvanične statistike sa ulogom nosioca zvanične statistike u crnogorskom statističkom sistemu učestvuje u realizaciji aktivnosti kroz uspostavljanje sistema za praćenje ključnih indikatora digitalne transformacije putem redovnog izvještavanja na nacionalnom nivou.</w:t>
      </w:r>
    </w:p>
    <w:p w14:paraId="52410C9A" w14:textId="77777777" w:rsidR="005B3072" w:rsidRDefault="00A46913">
      <w:pPr>
        <w:pStyle w:val="Heading1"/>
        <w:rPr>
          <w:b/>
          <w:sz w:val="28"/>
          <w:szCs w:val="28"/>
        </w:rPr>
      </w:pPr>
      <w:bookmarkStart w:id="69" w:name="_25b2l0r" w:colFirst="0" w:colLast="0"/>
      <w:bookmarkEnd w:id="69"/>
      <w:r>
        <w:rPr>
          <w:b/>
          <w:sz w:val="28"/>
          <w:szCs w:val="28"/>
        </w:rPr>
        <w:t>VII</w:t>
      </w:r>
      <w:r>
        <w:rPr>
          <w:b/>
          <w:sz w:val="28"/>
          <w:szCs w:val="28"/>
        </w:rPr>
        <w:tab/>
        <w:t>MONITORING, IZVJEŠTAVANJE I EVALUACIJA</w:t>
      </w:r>
    </w:p>
    <w:p w14:paraId="248D5B05" w14:textId="77777777" w:rsidR="005B3072" w:rsidRDefault="005B3072">
      <w:pPr>
        <w:rPr>
          <w:b/>
          <w:sz w:val="28"/>
          <w:szCs w:val="28"/>
        </w:rPr>
      </w:pPr>
    </w:p>
    <w:p w14:paraId="5DE997F2" w14:textId="77777777" w:rsidR="005B3072" w:rsidRDefault="00A46913">
      <w:pPr>
        <w:jc w:val="both"/>
        <w:rPr>
          <w:sz w:val="24"/>
          <w:szCs w:val="24"/>
        </w:rPr>
      </w:pPr>
      <w:r>
        <w:rPr>
          <w:sz w:val="24"/>
          <w:szCs w:val="24"/>
        </w:rPr>
        <w:t>U skladu sa Metodologijom razvijanja politika, izrade i praćenja sporovođenja stateških dokumenata, Strategija digitalne transformacije Crne Gore 2022-2026 definiše plan monitoringa, izvještavanja i evaluacije.</w:t>
      </w:r>
    </w:p>
    <w:p w14:paraId="6577038A" w14:textId="77777777" w:rsidR="005B3072" w:rsidRDefault="00A46913">
      <w:pPr>
        <w:jc w:val="both"/>
        <w:rPr>
          <w:sz w:val="24"/>
          <w:szCs w:val="24"/>
        </w:rPr>
      </w:pPr>
      <w:r>
        <w:rPr>
          <w:sz w:val="24"/>
          <w:szCs w:val="24"/>
        </w:rPr>
        <w:t>Monitoringom će se obezbijediti redovno prikupljanje i analiza podataka o postizanju ciljeva i rezultata u toku sprovođenja aktivnosti. Konkretno, biće fokusiran na Akcioni plan i na realizaciju godišnjih aktivnosti predviđenim planom. Izvještaj o monitoringu sprovođenja aktivnosti će se uglavnom baviti indikatorima rezultata sa osvrtom na indikatore učinka, ukoliko ti podaci budu dostupni.</w:t>
      </w:r>
    </w:p>
    <w:p w14:paraId="21CFC32A" w14:textId="77777777" w:rsidR="005B3072" w:rsidRDefault="00A46913">
      <w:pPr>
        <w:jc w:val="both"/>
        <w:rPr>
          <w:sz w:val="24"/>
          <w:szCs w:val="24"/>
        </w:rPr>
      </w:pPr>
      <w:r>
        <w:rPr>
          <w:sz w:val="24"/>
          <w:szCs w:val="24"/>
        </w:rPr>
        <w:t xml:space="preserve">Institucije identifikovane kroz Strategiju te kroz Akcioni plan kao i kroz dokument Pasoš indikatora, vršiće monitoring pojedinačnih ciljeva kao i pripadajućih indikatora. Institucije zadužene za realizaciju aktivnosti iz Strategije digitalne transformacije Crne Gore 2022-2026 dužne su da tokom trajanja implementacije Strategije, najkasnije do kraja januara tekuće godine, dostave Ministarstvu javne uprave, digitalnog društva i medija (MJUDDM) podatke o stepenu realizovanih aktivnosti iz Akcionog plana za prethodnu godinu. One će u narednom četvorogodišnjem periodu izvještavati MJUDDM i dostavljati sve potrebne podatke koje Ministarstvo, kao rukovodeća institucija za proces digitalizacije zatraži. </w:t>
      </w:r>
    </w:p>
    <w:p w14:paraId="3A7EE9AA" w14:textId="77777777" w:rsidR="005B3072" w:rsidRDefault="00A46913">
      <w:pPr>
        <w:jc w:val="both"/>
        <w:rPr>
          <w:sz w:val="24"/>
          <w:szCs w:val="24"/>
        </w:rPr>
      </w:pPr>
      <w:r>
        <w:rPr>
          <w:sz w:val="24"/>
          <w:szCs w:val="24"/>
        </w:rPr>
        <w:t>Za praćenje realizacije Strategije i nadzor nad kvalitetom i dinamikom planiranih aktivnosti formiraće se Komisija za praćenje sprovođenja Strategije digitalne transformacije Crne Gore za čije članove pored predstavnika Ministarstva javne uprave, digitalnog društva i medija, mogu prema potrebi biti imenovani i predstavnici iz sljedećih institucija, čije su aktivnosti prepoznate Strategijom: Ministarstva unutrašnjih poslova, Ministarstva ekonomskog razvoja, Ministarstva finansija i socijalnog staranja, Ministarstva prosvjete, nauke, kulture i sporta i Privredne komore Crne Gore. Komisija će se formirati nakon usvajanja Strategije.</w:t>
      </w:r>
    </w:p>
    <w:p w14:paraId="31D6FC92" w14:textId="77777777" w:rsidR="005B3072" w:rsidRDefault="00A46913">
      <w:pPr>
        <w:jc w:val="both"/>
        <w:rPr>
          <w:sz w:val="24"/>
          <w:szCs w:val="24"/>
        </w:rPr>
      </w:pPr>
      <w:r>
        <w:rPr>
          <w:sz w:val="24"/>
          <w:szCs w:val="24"/>
        </w:rPr>
        <w:t>Takođe, u junu 2021. godine osnovan je Savjet za elektronsku upravu, sa izmijenjenim konceptom i sastavom članova u odnosu na predhodni. Inoviranje ovog savjetodavnog tijela je bilo nužno, imajući u vidu obim i značaj digitalizacije procesa i razvoja elektronske uprave u narednom periodu i njegov rad će biti fokusiran na aktivnosti koje sprovode organi javne uprave u cilju ostvarivanja operativnih ciljeva, koji su osnov ovog strateškog dokumenta. Zadaci Savjeta za elektronsku upravu definisani Zakonom o elektronskoj upravi su da:</w:t>
      </w:r>
    </w:p>
    <w:p w14:paraId="1FA43067"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informiše Vladu Crne Gore o svim bitnim pitanjima koja se odnose na razvoj elektronske uprave i informaciono-komunikacionih tehnologija;</w:t>
      </w:r>
    </w:p>
    <w:p w14:paraId="78E19E34"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lastRenderedPageBreak/>
        <w:t>usmjerava, koordinira i prati aktivnosti vezane za razvoj elektronske uprave, između državnih organa, organa državne uprave, organa lokalne samouprave, organa lokalne uprave i drugih organa, u skladu sa članovima 1 i 2 Zakona o elektronskoj upravi;</w:t>
      </w:r>
    </w:p>
    <w:p w14:paraId="027F3957"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razmatra stručna pitanja u oblasti informaciono-komunikacionih tehnologija, koja se odnose na razvoj elektronske uprave;</w:t>
      </w:r>
    </w:p>
    <w:p w14:paraId="65C7693D"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razmatra nacrte propisa, podzakonskih akata, strateških, planskih i drugih dokumenata iz oblasti elektronske uprave i informaciono-komunikacionih tehnologija, u cilju digitalne transformacije Crne Gore;</w:t>
      </w:r>
    </w:p>
    <w:p w14:paraId="2E1D3091"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inicira izmjenu postojeće zakonske regulative iz oblasti digitalizacije i elektronske uprave;</w:t>
      </w:r>
    </w:p>
    <w:p w14:paraId="30DCE845"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predlaže mjere za usklađivanje zakonodavnog i administrativnog okvira u cilju unapređenja razvoja elektronske uprave;</w:t>
      </w:r>
    </w:p>
    <w:p w14:paraId="25C75E62"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radi na unapređenju saradnje u oblasti elektronske uprave i informaciono-komunikacionih tehnologija između državnih organa, organa državne uprave, organa lokalne samouprave, organa lokalne uprave i drugih organa, u skladu sa članovima 1 i 2 Zakona o elektronskoj upravi;</w:t>
      </w:r>
    </w:p>
    <w:p w14:paraId="6C7C9BBB"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radi na unapređenju međunarodne saradnje u oblasti elektronske uprave i informaciono-komunikacionih tehnologija;</w:t>
      </w:r>
    </w:p>
    <w:p w14:paraId="036F55BD" w14:textId="77777777" w:rsidR="005B3072" w:rsidRDefault="00A46913">
      <w:pPr>
        <w:numPr>
          <w:ilvl w:val="0"/>
          <w:numId w:val="51"/>
        </w:numPr>
        <w:pBdr>
          <w:top w:val="nil"/>
          <w:left w:val="nil"/>
          <w:bottom w:val="nil"/>
          <w:right w:val="nil"/>
          <w:between w:val="nil"/>
        </w:pBdr>
        <w:spacing w:after="0"/>
        <w:jc w:val="both"/>
        <w:rPr>
          <w:sz w:val="24"/>
          <w:szCs w:val="24"/>
        </w:rPr>
      </w:pPr>
      <w:r>
        <w:rPr>
          <w:sz w:val="24"/>
          <w:szCs w:val="24"/>
        </w:rPr>
        <w:t>obrazuje operativne i stručne radne timove, kao privremena tijela, u slučaju potrebe;</w:t>
      </w:r>
    </w:p>
    <w:p w14:paraId="6138F06D" w14:textId="77777777" w:rsidR="005B3072" w:rsidRDefault="00A46913">
      <w:pPr>
        <w:numPr>
          <w:ilvl w:val="0"/>
          <w:numId w:val="51"/>
        </w:numPr>
        <w:pBdr>
          <w:top w:val="nil"/>
          <w:left w:val="nil"/>
          <w:bottom w:val="nil"/>
          <w:right w:val="nil"/>
          <w:between w:val="nil"/>
        </w:pBdr>
        <w:jc w:val="both"/>
        <w:rPr>
          <w:sz w:val="24"/>
          <w:szCs w:val="24"/>
        </w:rPr>
      </w:pPr>
      <w:r>
        <w:rPr>
          <w:sz w:val="24"/>
          <w:szCs w:val="24"/>
        </w:rPr>
        <w:t>dostavlja Vladi Crne Gore izvještaj o svom radu, najmanje jednom godišnje.</w:t>
      </w:r>
    </w:p>
    <w:p w14:paraId="606C6B59" w14:textId="77777777" w:rsidR="005B3072" w:rsidRDefault="00A46913">
      <w:pPr>
        <w:jc w:val="both"/>
        <w:rPr>
          <w:sz w:val="24"/>
          <w:szCs w:val="24"/>
        </w:rPr>
      </w:pPr>
      <w:r>
        <w:rPr>
          <w:sz w:val="24"/>
          <w:szCs w:val="24"/>
        </w:rPr>
        <w:t>Stručnu i administrativnu podršku radu Savjeta za elektronsku upravu pružaće i dalje MJUDDM.</w:t>
      </w:r>
    </w:p>
    <w:p w14:paraId="3A5F28CC" w14:textId="77777777" w:rsidR="005B3072" w:rsidRDefault="00A46913">
      <w:pPr>
        <w:pBdr>
          <w:top w:val="nil"/>
          <w:left w:val="nil"/>
          <w:bottom w:val="nil"/>
          <w:right w:val="nil"/>
          <w:between w:val="nil"/>
        </w:pBdr>
        <w:jc w:val="both"/>
        <w:rPr>
          <w:sz w:val="24"/>
          <w:szCs w:val="24"/>
        </w:rPr>
      </w:pPr>
      <w:r>
        <w:rPr>
          <w:sz w:val="24"/>
          <w:szCs w:val="24"/>
        </w:rPr>
        <w:t>Osim navedenog, Strategijom je u okviru cilja 1.1. Efikasna i efektivna koordinacija i praćenje digitalne transformacije, u skladu sa preporukama EU i primjerima dobrih praksi iz zemalja regiona predviđeno i uspostavljanje širokog koordinacionog tijela na društvenom nivou koje bi okupilo sve strukture i sektore društva (javni, poslovni, NVO i akademiju) u cilju praćenja i unapređenja procesa digitalne transformacije. Osnivačkim aktima ovog tijela jasno i precizno će se urediti način na koji će se vršiti koordinacija između državnih organa, privrede, nauke i akademije i civilnog sektora u službi doprinosa procesu digitalne transformacije, kao i konkretna uloga i doprinos svih sektora procesu monitoringa Strategije.</w:t>
      </w:r>
    </w:p>
    <w:p w14:paraId="6FACF06D" w14:textId="77777777" w:rsidR="005B3072" w:rsidRDefault="00A46913">
      <w:pPr>
        <w:pBdr>
          <w:top w:val="nil"/>
          <w:left w:val="nil"/>
          <w:bottom w:val="nil"/>
          <w:right w:val="nil"/>
          <w:between w:val="nil"/>
        </w:pBdr>
        <w:jc w:val="center"/>
        <w:rPr>
          <w:sz w:val="24"/>
          <w:szCs w:val="24"/>
        </w:rPr>
      </w:pPr>
      <w:r>
        <w:rPr>
          <w:noProof/>
          <w:sz w:val="24"/>
          <w:szCs w:val="24"/>
        </w:rPr>
        <w:lastRenderedPageBreak/>
        <w:drawing>
          <wp:inline distT="114300" distB="114300" distL="114300" distR="114300" wp14:anchorId="621C080A" wp14:editId="686D5B9F">
            <wp:extent cx="5486400" cy="300450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5486400" cy="3004503"/>
                    </a:xfrm>
                    <a:prstGeom prst="rect">
                      <a:avLst/>
                    </a:prstGeom>
                    <a:ln/>
                  </pic:spPr>
                </pic:pic>
              </a:graphicData>
            </a:graphic>
          </wp:inline>
        </w:drawing>
      </w:r>
    </w:p>
    <w:p w14:paraId="58906907" w14:textId="77777777" w:rsidR="005B3072" w:rsidRDefault="00A46913">
      <w:pPr>
        <w:pBdr>
          <w:top w:val="nil"/>
          <w:left w:val="nil"/>
          <w:bottom w:val="nil"/>
          <w:right w:val="nil"/>
          <w:between w:val="nil"/>
        </w:pBdr>
        <w:jc w:val="center"/>
        <w:rPr>
          <w:i/>
        </w:rPr>
      </w:pPr>
      <w:r>
        <w:rPr>
          <w:i/>
        </w:rPr>
        <w:t>Sistem upravljanja i praćenja procesa digitalne transformacije</w:t>
      </w:r>
    </w:p>
    <w:p w14:paraId="371A0CE2" w14:textId="77777777" w:rsidR="005B3072" w:rsidRDefault="00A46913">
      <w:pPr>
        <w:jc w:val="both"/>
        <w:rPr>
          <w:sz w:val="24"/>
          <w:szCs w:val="24"/>
        </w:rPr>
      </w:pPr>
      <w:r>
        <w:rPr>
          <w:sz w:val="24"/>
          <w:szCs w:val="24"/>
        </w:rPr>
        <w:t xml:space="preserve">Sprovođenje Strategije digitalne transformacije Crne Gore realizovaće se kroz dva akciona plana od kojih je prvi za period od 2022. do 2023. godine i drugi od 2024. do 2025. godine. Akcioni planovi će sadržati pregled aktivnosti potrebnih za ostvarivanje operativnih ciljeva, kao i nosioce aktivnosti i partnere za svaku od njih, rokove za realizaciju, indikatore učinka, kao i iznos sredstava i način finansiranja. </w:t>
      </w:r>
    </w:p>
    <w:p w14:paraId="7D6CFDAF" w14:textId="77777777" w:rsidR="005B3072" w:rsidRDefault="00A46913">
      <w:pPr>
        <w:jc w:val="both"/>
        <w:rPr>
          <w:sz w:val="24"/>
          <w:szCs w:val="24"/>
        </w:rPr>
      </w:pPr>
      <w:r>
        <w:rPr>
          <w:sz w:val="24"/>
          <w:szCs w:val="24"/>
        </w:rPr>
        <w:t xml:space="preserve">MJUDDM je zaduženo da u okviru Komisije za praćenje sprovođenja Strategije digitalne transformacije Crne Gore objedini podatke i pripremi godišnje Izvještaje o sprovođenju Akcionog plana koji će poslužiti za identifikovanje mogućih zastoja u realizaciji aktivnosti i davanje preporuka za njihovo prevazilaženje. Godišnji izvještaj će biti pripreman u skladu sa u Metodologijom razvijanja politika, izrade i praćenja sprovođenja strateških dokumenata i isti će sadržati sledeće elemente: </w:t>
      </w:r>
    </w:p>
    <w:p w14:paraId="594D1CA2" w14:textId="77777777" w:rsidR="005B3072" w:rsidRDefault="00A46913">
      <w:pPr>
        <w:numPr>
          <w:ilvl w:val="0"/>
          <w:numId w:val="35"/>
        </w:numPr>
        <w:spacing w:after="0"/>
        <w:jc w:val="both"/>
        <w:rPr>
          <w:sz w:val="24"/>
          <w:szCs w:val="24"/>
        </w:rPr>
      </w:pPr>
      <w:r>
        <w:rPr>
          <w:sz w:val="24"/>
          <w:szCs w:val="24"/>
        </w:rPr>
        <w:t xml:space="preserve">Kratak uvodni rezime sa opštom ocjenom implementacije strateškog dokumenta </w:t>
      </w:r>
    </w:p>
    <w:p w14:paraId="7E5048A4" w14:textId="77777777" w:rsidR="005B3072" w:rsidRDefault="00A46913">
      <w:pPr>
        <w:numPr>
          <w:ilvl w:val="0"/>
          <w:numId w:val="35"/>
        </w:numPr>
        <w:spacing w:after="0"/>
        <w:jc w:val="both"/>
        <w:rPr>
          <w:sz w:val="24"/>
          <w:szCs w:val="24"/>
        </w:rPr>
      </w:pPr>
      <w:r>
        <w:rPr>
          <w:sz w:val="24"/>
          <w:szCs w:val="24"/>
        </w:rPr>
        <w:t xml:space="preserve">Konkretne vrijednosti i ispunjenosti indikatora rezultata (i indikatora učinka ukoliko su dostupni) </w:t>
      </w:r>
    </w:p>
    <w:p w14:paraId="68FFBAF4" w14:textId="77777777" w:rsidR="005B3072" w:rsidRDefault="00A46913">
      <w:pPr>
        <w:numPr>
          <w:ilvl w:val="0"/>
          <w:numId w:val="35"/>
        </w:numPr>
        <w:spacing w:after="0"/>
        <w:jc w:val="both"/>
        <w:rPr>
          <w:sz w:val="24"/>
          <w:szCs w:val="24"/>
        </w:rPr>
      </w:pPr>
      <w:r>
        <w:rPr>
          <w:sz w:val="24"/>
          <w:szCs w:val="24"/>
        </w:rPr>
        <w:t xml:space="preserve">Informaciju o utrošenim finansijskim sredstvima, u odnosu na planirana, sa izvorima finansiranja </w:t>
      </w:r>
    </w:p>
    <w:p w14:paraId="35B41AC0" w14:textId="77777777" w:rsidR="005B3072" w:rsidRDefault="00A46913">
      <w:pPr>
        <w:numPr>
          <w:ilvl w:val="0"/>
          <w:numId w:val="35"/>
        </w:numPr>
        <w:spacing w:after="0"/>
        <w:jc w:val="both"/>
        <w:rPr>
          <w:sz w:val="24"/>
          <w:szCs w:val="24"/>
        </w:rPr>
      </w:pPr>
      <w:r>
        <w:rPr>
          <w:sz w:val="24"/>
          <w:szCs w:val="24"/>
        </w:rPr>
        <w:t xml:space="preserve">Identifikovane izazove i preporuke za efikasniju realizaciju ciljeva </w:t>
      </w:r>
    </w:p>
    <w:p w14:paraId="5973181B" w14:textId="77777777" w:rsidR="005B3072" w:rsidRDefault="00A46913">
      <w:pPr>
        <w:numPr>
          <w:ilvl w:val="0"/>
          <w:numId w:val="35"/>
        </w:numPr>
        <w:spacing w:after="0"/>
        <w:jc w:val="both"/>
        <w:rPr>
          <w:sz w:val="24"/>
          <w:szCs w:val="24"/>
        </w:rPr>
      </w:pPr>
      <w:r>
        <w:rPr>
          <w:sz w:val="24"/>
          <w:szCs w:val="24"/>
        </w:rPr>
        <w:t xml:space="preserve">Promjene, ukoliko ih bude, u rokovima realizacije ciljeva </w:t>
      </w:r>
    </w:p>
    <w:p w14:paraId="2F70B447" w14:textId="77777777" w:rsidR="005B3072" w:rsidRDefault="00A46913">
      <w:pPr>
        <w:numPr>
          <w:ilvl w:val="0"/>
          <w:numId w:val="35"/>
        </w:numPr>
        <w:jc w:val="both"/>
        <w:rPr>
          <w:sz w:val="24"/>
          <w:szCs w:val="24"/>
        </w:rPr>
      </w:pPr>
      <w:r>
        <w:rPr>
          <w:sz w:val="24"/>
          <w:szCs w:val="24"/>
        </w:rPr>
        <w:t xml:space="preserve">Gantt dijagram ili drugi tabelarni prikaz realizovanih ciljeva </w:t>
      </w:r>
    </w:p>
    <w:p w14:paraId="11C0D3EC" w14:textId="77777777" w:rsidR="005B3072" w:rsidRDefault="00A46913">
      <w:pPr>
        <w:jc w:val="both"/>
        <w:rPr>
          <w:sz w:val="24"/>
          <w:szCs w:val="24"/>
        </w:rPr>
      </w:pPr>
      <w:bookmarkStart w:id="70" w:name="_kgcv8k" w:colFirst="0" w:colLast="0"/>
      <w:bookmarkEnd w:id="70"/>
      <w:r>
        <w:rPr>
          <w:sz w:val="24"/>
          <w:szCs w:val="24"/>
        </w:rPr>
        <w:t xml:space="preserve">U cilju kreiranja objektivnog izvještaja koristiće se različiti izvori podataka – počevši od podataka koje budu dostavljale relevantne institucije, materijali na Vladi, izvještaji o realizaciji programa rada organa, intervjui sa kontakt osobama, materijali NVO-a, kao i istraživanja i izvještaji međunarodnih organizacija. Svi izvještaji će biti prezentovani Savjetu za elektronsku upravu u cilju usvajanja i Generalnom sekratrijatu Vlade CG na mišljenje. Po usvajanju na Vladi, ukoliko se ukaže potreba, MJUDDM će izvršiti ažuriranje Akcionog plana najkasnije do kraja maja tekuće godine. Pored godišnjih izvještaja MJUDDM će takođe, u okviru Komisije za praćenje sprovođenja Strategije digitalne transformacije Crne Gore, pripremiti i Završni </w:t>
      </w:r>
      <w:r>
        <w:rPr>
          <w:sz w:val="24"/>
          <w:szCs w:val="24"/>
        </w:rPr>
        <w:lastRenderedPageBreak/>
        <w:t>izvještaj o sprovođenju strateškog dokumenta. Izvještaji će se objaviti i na sajtu Ministarstva javne uprave, digitalnog društva i medija.</w:t>
      </w:r>
    </w:p>
    <w:p w14:paraId="2D8ECD31" w14:textId="77777777" w:rsidR="005B3072" w:rsidRDefault="00A46913">
      <w:pPr>
        <w:jc w:val="both"/>
        <w:rPr>
          <w:sz w:val="24"/>
          <w:szCs w:val="24"/>
        </w:rPr>
      </w:pPr>
      <w:r>
        <w:rPr>
          <w:sz w:val="24"/>
          <w:szCs w:val="24"/>
        </w:rPr>
        <w:t>Sa ciljem utvrđivanja relevantnosti i ispunjavanja ciljeva, efikasnosti razvoja, djelotvornosti, uticaja i održivosti strategije, u skladu sa Metodologijom, predviđena je evaluacija strateškog dokumenta. Finalna evaluacija će se sprovesti na kraju implementacionog perioda, kako bi ocijenila efekte i učinke Strategije digitalne transformacije Crne Gore 2022-2026, sa početnom analizom stanja za donošenje narednog strateškog dokumenta. Koristiće se kombinovana metoda u cilju obezbjeđivanja objektivnosti u sprovođenju evaluacije, a biće sprovedena od strane nezavisnog eksperta, dok će taj proces koordinirati MJUDDM. U budžetu Ministarstva javne uprave, digitalnog društva i medija biće predviđena, odobrena i za ove namjene upotrebljena sredstva koja će se obezbijediti iz budžeta Vlade u iznosu do 30.000 EUR. Evaluacija će se fokusirati prevashodno na postignutost ciljeva i indikatore učinka, a izvještaj će biti razmatran na Savjetu za elektronsku upravu, te biti dostavljen Vladi preko GSV-a na usvajanje.</w:t>
      </w:r>
    </w:p>
    <w:p w14:paraId="5A629D14" w14:textId="77777777" w:rsidR="005B3072" w:rsidRDefault="00A46913">
      <w:pPr>
        <w:rPr>
          <w:b/>
          <w:sz w:val="28"/>
          <w:szCs w:val="28"/>
        </w:rPr>
      </w:pPr>
      <w:r>
        <w:rPr>
          <w:b/>
          <w:sz w:val="28"/>
          <w:szCs w:val="28"/>
        </w:rPr>
        <w:t>Finansijski okvir</w:t>
      </w:r>
    </w:p>
    <w:p w14:paraId="1430DEA9" w14:textId="77777777" w:rsidR="005B3072" w:rsidRDefault="00A46913">
      <w:pPr>
        <w:jc w:val="both"/>
        <w:rPr>
          <w:sz w:val="24"/>
          <w:szCs w:val="24"/>
        </w:rPr>
      </w:pPr>
      <w:r>
        <w:rPr>
          <w:sz w:val="24"/>
          <w:szCs w:val="24"/>
        </w:rPr>
        <w:t>Strategija digitalne transformacije Crne Gore odnosno njene pojedinačne aktivnosti finansiraće se iz budžeta, donatorskih sredstava i sredstava koja su obezbjeđenja kroz IPA 2020. Kroz Akcioni plan za 2022-2023. godinu, za postizanje svih operativnih ciljeva predviđen je utrošak u ukupnom iznosu od 4,433,420 EUR, dok će se sledećim Akcionim planom za 2024-2025. godinu definisati preostala finansijska sredstva.</w:t>
      </w:r>
    </w:p>
    <w:p w14:paraId="31DABD6E" w14:textId="77777777" w:rsidR="005B3072" w:rsidRDefault="00A46913">
      <w:pPr>
        <w:jc w:val="both"/>
        <w:rPr>
          <w:sz w:val="24"/>
          <w:szCs w:val="24"/>
        </w:rPr>
      </w:pPr>
      <w:r>
        <w:rPr>
          <w:sz w:val="24"/>
          <w:szCs w:val="24"/>
        </w:rPr>
        <w:t xml:space="preserve">Budžetom za 2022. godinu predviđena su finansijska sredstva za implementaciju Strategije digitalne transformacije Crne Gore 2022-2026, srazmjerno definisanim aktivnostima i neophodnim finansijskim resursima za realizaciju istih. </w:t>
      </w:r>
    </w:p>
    <w:p w14:paraId="2FA1FC1B" w14:textId="77777777" w:rsidR="005B3072" w:rsidRDefault="00A46913">
      <w:pPr>
        <w:jc w:val="both"/>
        <w:rPr>
          <w:sz w:val="24"/>
          <w:szCs w:val="24"/>
        </w:rPr>
      </w:pPr>
      <w:r>
        <w:rPr>
          <w:sz w:val="24"/>
          <w:szCs w:val="24"/>
        </w:rPr>
        <w:t xml:space="preserve"> Od ukupno navedenog iznosa, predviđena sredstva iz donacija iznose 1,171,420 EUR.</w:t>
      </w:r>
    </w:p>
    <w:tbl>
      <w:tblPr>
        <w:tblStyle w:val="ad"/>
        <w:tblW w:w="5665" w:type="dxa"/>
        <w:jc w:val="center"/>
        <w:tblBorders>
          <w:top w:val="nil"/>
          <w:left w:val="nil"/>
          <w:bottom w:val="nil"/>
          <w:right w:val="nil"/>
          <w:insideH w:val="nil"/>
          <w:insideV w:val="nil"/>
        </w:tblBorders>
        <w:tblLayout w:type="fixed"/>
        <w:tblLook w:val="0600" w:firstRow="0" w:lastRow="0" w:firstColumn="0" w:lastColumn="0" w:noHBand="1" w:noVBand="1"/>
      </w:tblPr>
      <w:tblGrid>
        <w:gridCol w:w="2180"/>
        <w:gridCol w:w="3485"/>
      </w:tblGrid>
      <w:tr w:rsidR="005B3072" w14:paraId="7BA31660" w14:textId="77777777" w:rsidTr="008A78FF">
        <w:trPr>
          <w:trHeight w:val="465"/>
          <w:jc w:val="center"/>
        </w:trPr>
        <w:tc>
          <w:tcPr>
            <w:tcW w:w="2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745154CC" w14:textId="77777777" w:rsidR="005B3072" w:rsidRDefault="00A46913">
            <w:pPr>
              <w:pBdr>
                <w:top w:val="nil"/>
                <w:left w:val="nil"/>
                <w:bottom w:val="nil"/>
                <w:right w:val="nil"/>
                <w:between w:val="nil"/>
              </w:pBdr>
              <w:rPr>
                <w:sz w:val="24"/>
                <w:szCs w:val="24"/>
              </w:rPr>
            </w:pPr>
            <w:r>
              <w:rPr>
                <w:sz w:val="24"/>
                <w:szCs w:val="24"/>
              </w:rPr>
              <w:t>IZNOS DONACIJE:</w:t>
            </w:r>
          </w:p>
        </w:tc>
        <w:tc>
          <w:tcPr>
            <w:tcW w:w="34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2F10C4" w14:textId="77777777" w:rsidR="005B3072" w:rsidRDefault="00A46913">
            <w:pPr>
              <w:pBdr>
                <w:top w:val="nil"/>
                <w:left w:val="nil"/>
                <w:bottom w:val="nil"/>
                <w:right w:val="nil"/>
                <w:between w:val="nil"/>
              </w:pBdr>
              <w:jc w:val="right"/>
              <w:rPr>
                <w:sz w:val="24"/>
                <w:szCs w:val="24"/>
              </w:rPr>
            </w:pPr>
            <w:r>
              <w:rPr>
                <w:sz w:val="24"/>
                <w:szCs w:val="24"/>
              </w:rPr>
              <w:t>1,171,420.00 €</w:t>
            </w:r>
          </w:p>
        </w:tc>
      </w:tr>
      <w:tr w:rsidR="005B3072" w14:paraId="50D70EAB" w14:textId="77777777" w:rsidTr="008A78FF">
        <w:trPr>
          <w:trHeight w:val="480"/>
          <w:jc w:val="center"/>
        </w:trPr>
        <w:tc>
          <w:tcPr>
            <w:tcW w:w="2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3A9E65B9" w14:textId="77777777" w:rsidR="005B3072" w:rsidRDefault="00A46913">
            <w:pPr>
              <w:pBdr>
                <w:top w:val="nil"/>
                <w:left w:val="nil"/>
                <w:bottom w:val="nil"/>
                <w:right w:val="nil"/>
                <w:between w:val="nil"/>
              </w:pBdr>
              <w:rPr>
                <w:sz w:val="24"/>
                <w:szCs w:val="24"/>
              </w:rPr>
            </w:pPr>
            <w:r>
              <w:rPr>
                <w:sz w:val="24"/>
                <w:szCs w:val="24"/>
              </w:rPr>
              <w:t>IZNOS IZ BUDŽETA:</w:t>
            </w:r>
          </w:p>
        </w:tc>
        <w:tc>
          <w:tcPr>
            <w:tcW w:w="3485" w:type="dxa"/>
            <w:tcBorders>
              <w:top w:val="nil"/>
              <w:left w:val="nil"/>
              <w:bottom w:val="single" w:sz="8" w:space="0" w:color="000000"/>
              <w:right w:val="single" w:sz="8" w:space="0" w:color="000000"/>
            </w:tcBorders>
            <w:tcMar>
              <w:top w:w="100" w:type="dxa"/>
              <w:left w:w="100" w:type="dxa"/>
              <w:bottom w:w="100" w:type="dxa"/>
              <w:right w:w="100" w:type="dxa"/>
            </w:tcMar>
          </w:tcPr>
          <w:p w14:paraId="69B145FE" w14:textId="77777777" w:rsidR="005B3072" w:rsidRDefault="00A46913">
            <w:pPr>
              <w:pBdr>
                <w:top w:val="nil"/>
                <w:left w:val="nil"/>
                <w:bottom w:val="nil"/>
                <w:right w:val="nil"/>
                <w:between w:val="nil"/>
              </w:pBdr>
              <w:jc w:val="right"/>
              <w:rPr>
                <w:sz w:val="24"/>
                <w:szCs w:val="24"/>
              </w:rPr>
            </w:pPr>
            <w:r>
              <w:rPr>
                <w:sz w:val="24"/>
                <w:szCs w:val="24"/>
              </w:rPr>
              <w:t>3,262,000.00 €</w:t>
            </w:r>
          </w:p>
        </w:tc>
      </w:tr>
      <w:tr w:rsidR="005B3072" w14:paraId="10439018" w14:textId="77777777" w:rsidTr="008A78FF">
        <w:trPr>
          <w:trHeight w:val="300"/>
          <w:jc w:val="center"/>
        </w:trPr>
        <w:tc>
          <w:tcPr>
            <w:tcW w:w="21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655A9773" w14:textId="77777777" w:rsidR="005B3072" w:rsidRDefault="00A46913">
            <w:pPr>
              <w:pBdr>
                <w:top w:val="nil"/>
                <w:left w:val="nil"/>
                <w:bottom w:val="nil"/>
                <w:right w:val="nil"/>
                <w:between w:val="nil"/>
              </w:pBdr>
              <w:rPr>
                <w:sz w:val="24"/>
                <w:szCs w:val="24"/>
              </w:rPr>
            </w:pPr>
            <w:r>
              <w:rPr>
                <w:sz w:val="24"/>
                <w:szCs w:val="24"/>
              </w:rPr>
              <w:t>UKUPAN BUDŽET:</w:t>
            </w:r>
          </w:p>
        </w:tc>
        <w:tc>
          <w:tcPr>
            <w:tcW w:w="3485" w:type="dxa"/>
            <w:tcBorders>
              <w:top w:val="nil"/>
              <w:left w:val="nil"/>
              <w:bottom w:val="single" w:sz="8" w:space="0" w:color="000000"/>
              <w:right w:val="single" w:sz="8" w:space="0" w:color="000000"/>
            </w:tcBorders>
            <w:tcMar>
              <w:top w:w="100" w:type="dxa"/>
              <w:left w:w="100" w:type="dxa"/>
              <w:bottom w:w="100" w:type="dxa"/>
              <w:right w:w="100" w:type="dxa"/>
            </w:tcMar>
          </w:tcPr>
          <w:p w14:paraId="5F71151B" w14:textId="77777777" w:rsidR="005B3072" w:rsidRDefault="00A46913">
            <w:pPr>
              <w:pBdr>
                <w:top w:val="nil"/>
                <w:left w:val="nil"/>
                <w:bottom w:val="nil"/>
                <w:right w:val="nil"/>
                <w:between w:val="nil"/>
              </w:pBdr>
              <w:jc w:val="right"/>
              <w:rPr>
                <w:sz w:val="24"/>
                <w:szCs w:val="24"/>
              </w:rPr>
            </w:pPr>
            <w:r>
              <w:rPr>
                <w:sz w:val="24"/>
                <w:szCs w:val="24"/>
              </w:rPr>
              <w:t>4,433,420.00 €</w:t>
            </w:r>
          </w:p>
        </w:tc>
      </w:tr>
    </w:tbl>
    <w:p w14:paraId="0AFB8FAF" w14:textId="77777777" w:rsidR="005B3072" w:rsidRDefault="00A46913">
      <w:pPr>
        <w:pStyle w:val="Heading1"/>
        <w:spacing w:line="360" w:lineRule="auto"/>
        <w:rPr>
          <w:b/>
          <w:sz w:val="28"/>
          <w:szCs w:val="28"/>
        </w:rPr>
      </w:pPr>
      <w:bookmarkStart w:id="71" w:name="_34g0dwd" w:colFirst="0" w:colLast="0"/>
      <w:bookmarkEnd w:id="71"/>
      <w:r>
        <w:rPr>
          <w:b/>
          <w:sz w:val="28"/>
          <w:szCs w:val="28"/>
        </w:rPr>
        <w:t>VIII</w:t>
      </w:r>
      <w:r>
        <w:rPr>
          <w:b/>
          <w:sz w:val="28"/>
          <w:szCs w:val="28"/>
        </w:rPr>
        <w:tab/>
        <w:t>KOMUNIKACIJA STRATEGIJE</w:t>
      </w:r>
    </w:p>
    <w:p w14:paraId="6FC3F16E" w14:textId="77777777" w:rsidR="005B3072" w:rsidRDefault="00A46913">
      <w:pPr>
        <w:jc w:val="both"/>
        <w:rPr>
          <w:sz w:val="24"/>
          <w:szCs w:val="24"/>
        </w:rPr>
      </w:pPr>
      <w:r>
        <w:rPr>
          <w:sz w:val="24"/>
          <w:szCs w:val="24"/>
        </w:rPr>
        <w:t xml:space="preserve">Stepen razumijevanja i percepciju o digitalnom razvoju društva teško je mjeriti, ali to jeste jedan od ključnih izazova u procesu digitalizacije koji je prepoznat u kulturološkom i sociološkom okruženju. </w:t>
      </w:r>
    </w:p>
    <w:p w14:paraId="4B120664" w14:textId="77777777" w:rsidR="005B3072" w:rsidRDefault="00A46913">
      <w:pPr>
        <w:spacing w:before="240" w:after="120"/>
        <w:jc w:val="both"/>
        <w:rPr>
          <w:sz w:val="24"/>
          <w:szCs w:val="24"/>
        </w:rPr>
      </w:pPr>
      <w:r>
        <w:rPr>
          <w:sz w:val="24"/>
          <w:szCs w:val="24"/>
        </w:rPr>
        <w:t xml:space="preserve">Zbog važnosti digitalnog razvoja kao presudnog horizontalnog faktora za cjelokupnu ekonomiju i društvo, uspješno rješavanje ovog izazova je jedan od fokusa Strategije, koji je potrebno riješiti korišćenjem komunikološkog, antropološkog i sociološkog pristupa, ali i primjenom drugog, ne-IT stručnog znanja koje može doprinijeti izgradnji afirmativnog stava prema digitalnom razvoju. </w:t>
      </w:r>
    </w:p>
    <w:p w14:paraId="0D8C06DE" w14:textId="77777777" w:rsidR="005B3072" w:rsidRDefault="00A46913">
      <w:pPr>
        <w:jc w:val="both"/>
        <w:rPr>
          <w:sz w:val="24"/>
          <w:szCs w:val="24"/>
        </w:rPr>
      </w:pPr>
      <w:r>
        <w:rPr>
          <w:sz w:val="24"/>
          <w:szCs w:val="24"/>
        </w:rPr>
        <w:lastRenderedPageBreak/>
        <w:t xml:space="preserve">U cilju obezbjeđivanja uslova za efikasnu i efektivnu implementaciju Strategije, proces komunikacije politike ključnih aktera svih sektora, naučne zajednice i cjelokupne javnosti je od strateškog značaja. </w:t>
      </w:r>
    </w:p>
    <w:p w14:paraId="4FF032A3" w14:textId="77777777" w:rsidR="005B3072" w:rsidRDefault="00A46913">
      <w:pPr>
        <w:jc w:val="both"/>
        <w:rPr>
          <w:sz w:val="24"/>
          <w:szCs w:val="24"/>
        </w:rPr>
      </w:pPr>
      <w:r>
        <w:rPr>
          <w:sz w:val="24"/>
          <w:szCs w:val="24"/>
        </w:rPr>
        <w:t xml:space="preserve">Komunikacija politike omogućuje da svi akteri i javnost razumiju cikluse politike, identifikovane ciljeve kao i planirane rezultate, ali i da je obezbijeđeno učešće svih potrebnih ljudskih i institucionalnih resursa, uključujući i medije. U tom kontekstu, Ministarstvo javne uprave, digitalnog društva i medija će nastojati da upotrijebi kako raspoložive tako i nove mehanizme kako bi se obezbijedilo potpuno razumijevanje i prihvaćenost politike na svim nivoima implementatora, kako postojećih tako i budućih korisnika politike. </w:t>
      </w:r>
    </w:p>
    <w:p w14:paraId="4CD375B3" w14:textId="77777777" w:rsidR="005B3072" w:rsidRDefault="00A46913">
      <w:pPr>
        <w:jc w:val="both"/>
        <w:rPr>
          <w:sz w:val="24"/>
          <w:szCs w:val="24"/>
        </w:rPr>
      </w:pPr>
      <w:r>
        <w:rPr>
          <w:sz w:val="24"/>
          <w:szCs w:val="24"/>
        </w:rPr>
        <w:t>Da bi digitalna transformacija društva u Crnoj Gori bila uspješna, neophodna je uključenost i aktivno učešće značajnog broja zainteresovanih strana, kako onih koji su prepoznati kao direktni nosioci procesa digitalizacije (interne javnosti) tako i onih koji su targetirani kroz doprinos povećanju uticaja, promjeni mišljenja i većoj mobilizaciji u okviru procesa digitalne transformacije – eksterne javnosti. Interne javnosti čine zaposleni u državnoj upravi i lokalnoj samoupravi, dok eksternu ciljnu javnost čine: opšta javnost (građani), mediji, NVO, predstavnici privrede, sindikalnih organizacija, akademska zajednica i međunarodne organizacije.</w:t>
      </w:r>
    </w:p>
    <w:p w14:paraId="67572FBD" w14:textId="77777777" w:rsidR="005B3072" w:rsidRDefault="00A46913">
      <w:pPr>
        <w:jc w:val="both"/>
        <w:rPr>
          <w:sz w:val="24"/>
          <w:szCs w:val="24"/>
        </w:rPr>
        <w:sectPr w:rsidR="005B3072">
          <w:headerReference w:type="default" r:id="rId37"/>
          <w:footerReference w:type="default" r:id="rId38"/>
          <w:headerReference w:type="first" r:id="rId39"/>
          <w:pgSz w:w="12240" w:h="15840"/>
          <w:pgMar w:top="1276" w:right="907" w:bottom="1440" w:left="1140" w:header="720" w:footer="624" w:gutter="0"/>
          <w:pgNumType w:start="1"/>
          <w:cols w:space="720"/>
          <w:titlePg/>
        </w:sectPr>
      </w:pPr>
      <w:r>
        <w:rPr>
          <w:sz w:val="24"/>
          <w:szCs w:val="24"/>
        </w:rPr>
        <w:t>Praksa je da su osnovne komunikacione aktivnosti uglavnom usmjerene na tri ključna kanala: odnosi sa medijima, društvene mreže (npr. Facebook i Instagram stranica Ministarstva) i zvanični veb sajt institucije. U cilju podizanja svijesti javnosti i povećanja razumijevanja o potrebi i benefitima digitalne transformacije društva, kao i obezbjeđivanja jačeg efekta sprovođenja promotivnih i komunikacionih kanala, Strategija je prepoznala neophodnost uspostavljanja internog koordinacionog tijela državne uprave za definisanje i implementaciju komunikacione kampanje u oblasti digitalne transformacije i praćenja efekata učinka. Na ovaj način, pokrenuti procesi biće komunicirani kroz tzv. “umbrella” komunikacionu kampanju koja bi kroz jednogodišnje komunikacione planove prepoznala različite promotivne i komunikacione kanale i aktivnosti koje bi se realizovale u cilju unapređenja digitalne svijesti građana i privrede. Jasno je da digitalna transformacija danas više nije pitanja izbora i predstavlja mnogo više od upotrebe moderne tehnologije i internet alata. Ona, zapravo, predstavlja fleksibilnost u prilagođavanju promjenama koje se nikad brže nisu dešavale, i zato moramo pomoći svim građanima da se brže prilagode, ovladaju neophodnim znanjima i vještinama i ove promjene iskoriste na najbolji mogući način uz sve benifite koje im one mogu donijeti.</w:t>
      </w:r>
    </w:p>
    <w:p w14:paraId="16CF4C17" w14:textId="77777777" w:rsidR="005B3072" w:rsidRDefault="00A46913">
      <w:pPr>
        <w:pStyle w:val="Heading1"/>
        <w:rPr>
          <w:b/>
          <w:sz w:val="28"/>
          <w:szCs w:val="28"/>
        </w:rPr>
      </w:pPr>
      <w:bookmarkStart w:id="72" w:name="_1jlao46" w:colFirst="0" w:colLast="0"/>
      <w:bookmarkEnd w:id="72"/>
      <w:r>
        <w:rPr>
          <w:b/>
          <w:sz w:val="28"/>
          <w:szCs w:val="28"/>
        </w:rPr>
        <w:lastRenderedPageBreak/>
        <w:t>IX</w:t>
      </w:r>
      <w:r>
        <w:rPr>
          <w:b/>
          <w:sz w:val="28"/>
          <w:szCs w:val="28"/>
        </w:rPr>
        <w:tab/>
        <w:t>AKCIONI PLAN 2022-2023.</w:t>
      </w:r>
    </w:p>
    <w:p w14:paraId="29A6CD72" w14:textId="77777777" w:rsidR="005B3072" w:rsidRDefault="005B3072"/>
    <w:p w14:paraId="7F246600" w14:textId="77777777" w:rsidR="005B3072" w:rsidRDefault="00A46913">
      <w:pPr>
        <w:spacing w:before="120" w:after="120" w:line="240" w:lineRule="auto"/>
        <w:jc w:val="center"/>
        <w:rPr>
          <w:rFonts w:ascii="Sitka Text" w:eastAsia="Sitka Text" w:hAnsi="Sitka Text" w:cs="Sitka Text"/>
          <w:b/>
          <w:color w:val="1F4E79"/>
          <w:sz w:val="28"/>
          <w:szCs w:val="28"/>
        </w:rPr>
      </w:pPr>
      <w:bookmarkStart w:id="73" w:name="_43ky6rz" w:colFirst="0" w:colLast="0"/>
      <w:bookmarkEnd w:id="73"/>
      <w:r>
        <w:rPr>
          <w:rFonts w:ascii="Sitka Text" w:eastAsia="Sitka Text" w:hAnsi="Sitka Text" w:cs="Sitka Text"/>
          <w:b/>
          <w:color w:val="1F4E79"/>
          <w:sz w:val="28"/>
          <w:szCs w:val="28"/>
        </w:rPr>
        <w:t>STRATEŠKI CILJ I</w:t>
      </w:r>
    </w:p>
    <w:p w14:paraId="326A1B2B" w14:textId="77777777" w:rsidR="005B3072" w:rsidRDefault="00A46913">
      <w:pPr>
        <w:spacing w:before="120" w:after="120" w:line="240" w:lineRule="auto"/>
        <w:jc w:val="center"/>
        <w:rPr>
          <w:rFonts w:ascii="Sitka Text" w:eastAsia="Sitka Text" w:hAnsi="Sitka Text" w:cs="Sitka Text"/>
          <w:b/>
          <w:color w:val="1F4E79"/>
          <w:sz w:val="28"/>
          <w:szCs w:val="28"/>
        </w:rPr>
      </w:pPr>
      <w:r>
        <w:rPr>
          <w:rFonts w:ascii="Sitka Text" w:eastAsia="Sitka Text" w:hAnsi="Sitka Text" w:cs="Sitka Text"/>
          <w:b/>
          <w:color w:val="1F4E79"/>
          <w:sz w:val="28"/>
          <w:szCs w:val="28"/>
        </w:rPr>
        <w:t>Unapređenje kapaciteta i sposobnosti za digitalnu transformaciju Crne Gore</w:t>
      </w:r>
    </w:p>
    <w:p w14:paraId="2BA0FC31" w14:textId="77777777" w:rsidR="005B3072" w:rsidRDefault="005B3072">
      <w:pPr>
        <w:spacing w:before="120" w:after="120" w:line="240" w:lineRule="auto"/>
        <w:rPr>
          <w:rFonts w:ascii="Sitka Text" w:eastAsia="Sitka Text" w:hAnsi="Sitka Text" w:cs="Sitka Text"/>
          <w:color w:val="538135"/>
          <w:sz w:val="24"/>
          <w:szCs w:val="24"/>
        </w:rPr>
      </w:pPr>
    </w:p>
    <w:tbl>
      <w:tblPr>
        <w:tblStyle w:val="ae"/>
        <w:tblW w:w="13114"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774"/>
        <w:gridCol w:w="2744"/>
        <w:gridCol w:w="1559"/>
        <w:gridCol w:w="487"/>
        <w:gridCol w:w="1788"/>
        <w:gridCol w:w="360"/>
        <w:gridCol w:w="962"/>
        <w:gridCol w:w="1323"/>
        <w:gridCol w:w="152"/>
        <w:gridCol w:w="1401"/>
        <w:gridCol w:w="1564"/>
      </w:tblGrid>
      <w:tr w:rsidR="005B3072" w14:paraId="2FD25DFD" w14:textId="77777777">
        <w:trPr>
          <w:trHeight w:val="1052"/>
        </w:trPr>
        <w:tc>
          <w:tcPr>
            <w:tcW w:w="3518" w:type="dxa"/>
            <w:gridSpan w:val="2"/>
            <w:shd w:val="clear" w:color="auto" w:fill="1F4E79"/>
            <w:vAlign w:val="center"/>
          </w:tcPr>
          <w:p w14:paraId="59F7A6C9"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1.1.</w:t>
            </w:r>
          </w:p>
        </w:tc>
        <w:tc>
          <w:tcPr>
            <w:tcW w:w="9596" w:type="dxa"/>
            <w:gridSpan w:val="9"/>
            <w:shd w:val="clear" w:color="auto" w:fill="1F4E79"/>
            <w:vAlign w:val="center"/>
          </w:tcPr>
          <w:p w14:paraId="0CC655B3"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Efikasna i efektivna koordinacija i praćenje digitalne transformacije</w:t>
            </w:r>
          </w:p>
        </w:tc>
      </w:tr>
      <w:tr w:rsidR="005B3072" w14:paraId="571B5250" w14:textId="77777777">
        <w:tc>
          <w:tcPr>
            <w:tcW w:w="5077" w:type="dxa"/>
            <w:gridSpan w:val="3"/>
            <w:shd w:val="clear" w:color="auto" w:fill="DAF2F6"/>
          </w:tcPr>
          <w:p w14:paraId="346C81F6"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Indikator</w:t>
            </w:r>
          </w:p>
        </w:tc>
        <w:tc>
          <w:tcPr>
            <w:tcW w:w="2635" w:type="dxa"/>
            <w:gridSpan w:val="3"/>
            <w:shd w:val="clear" w:color="auto" w:fill="DAF2F6"/>
            <w:vAlign w:val="center"/>
          </w:tcPr>
          <w:p w14:paraId="41C2860C"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2437" w:type="dxa"/>
            <w:gridSpan w:val="3"/>
            <w:tcBorders>
              <w:bottom w:val="single" w:sz="4" w:space="0" w:color="FFFFFF"/>
            </w:tcBorders>
            <w:shd w:val="clear" w:color="auto" w:fill="DAF2F6"/>
            <w:vAlign w:val="center"/>
          </w:tcPr>
          <w:p w14:paraId="5E9D3F5E"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2965" w:type="dxa"/>
            <w:gridSpan w:val="2"/>
            <w:tcBorders>
              <w:bottom w:val="single" w:sz="4" w:space="0" w:color="FFFFFF"/>
            </w:tcBorders>
            <w:shd w:val="clear" w:color="auto" w:fill="DAF2F6"/>
            <w:vAlign w:val="center"/>
          </w:tcPr>
          <w:p w14:paraId="5194DE27"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2026.</w:t>
            </w:r>
          </w:p>
        </w:tc>
      </w:tr>
      <w:tr w:rsidR="005B3072" w14:paraId="6B4E09F7" w14:textId="77777777">
        <w:tc>
          <w:tcPr>
            <w:tcW w:w="5077" w:type="dxa"/>
            <w:gridSpan w:val="3"/>
            <w:shd w:val="clear" w:color="auto" w:fill="DAF2F6"/>
          </w:tcPr>
          <w:p w14:paraId="4E31A03A"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prihvaćenih predloga od strane nacionalnog koordinacionog tijela, od ukupnog broja predloženih od strane sektorskih koordinacionih tijela</w:t>
            </w:r>
          </w:p>
        </w:tc>
        <w:tc>
          <w:tcPr>
            <w:tcW w:w="2635" w:type="dxa"/>
            <w:gridSpan w:val="3"/>
            <w:tcBorders>
              <w:bottom w:val="single" w:sz="4" w:space="0" w:color="000000"/>
            </w:tcBorders>
            <w:shd w:val="clear" w:color="auto" w:fill="DAF2F6"/>
          </w:tcPr>
          <w:p w14:paraId="60DCB0C1"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sz w:val="18"/>
                <w:szCs w:val="18"/>
              </w:rPr>
            </w:pPr>
            <w:r>
              <w:rPr>
                <w:rFonts w:ascii="Sitka Text" w:eastAsia="Sitka Text" w:hAnsi="Sitka Text" w:cs="Sitka Text"/>
                <w:b/>
                <w:color w:val="1F4E79"/>
                <w:sz w:val="18"/>
                <w:szCs w:val="18"/>
              </w:rPr>
              <w:t>0</w:t>
            </w:r>
          </w:p>
        </w:tc>
        <w:tc>
          <w:tcPr>
            <w:tcW w:w="2437" w:type="dxa"/>
            <w:gridSpan w:val="3"/>
            <w:tcBorders>
              <w:bottom w:val="single" w:sz="4" w:space="0" w:color="000000"/>
            </w:tcBorders>
            <w:shd w:val="clear" w:color="auto" w:fill="DAF2F6"/>
          </w:tcPr>
          <w:p w14:paraId="0D75B43B"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sz w:val="18"/>
                <w:szCs w:val="18"/>
              </w:rPr>
            </w:pPr>
            <w:r>
              <w:rPr>
                <w:rFonts w:ascii="Sitka Text" w:eastAsia="Sitka Text" w:hAnsi="Sitka Text" w:cs="Sitka Text"/>
                <w:b/>
                <w:color w:val="1F4E79"/>
                <w:sz w:val="18"/>
                <w:szCs w:val="18"/>
              </w:rPr>
              <w:t>70%</w:t>
            </w:r>
          </w:p>
        </w:tc>
        <w:tc>
          <w:tcPr>
            <w:tcW w:w="2965" w:type="dxa"/>
            <w:gridSpan w:val="2"/>
            <w:tcBorders>
              <w:bottom w:val="single" w:sz="4" w:space="0" w:color="000000"/>
            </w:tcBorders>
            <w:shd w:val="clear" w:color="auto" w:fill="DAF2F6"/>
          </w:tcPr>
          <w:p w14:paraId="77900649"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sz w:val="18"/>
                <w:szCs w:val="18"/>
              </w:rPr>
            </w:pPr>
            <w:r>
              <w:rPr>
                <w:rFonts w:ascii="Sitka Text" w:eastAsia="Sitka Text" w:hAnsi="Sitka Text" w:cs="Sitka Text"/>
                <w:b/>
                <w:color w:val="1F4E79"/>
                <w:sz w:val="18"/>
                <w:szCs w:val="18"/>
              </w:rPr>
              <w:t>100%</w:t>
            </w:r>
          </w:p>
        </w:tc>
      </w:tr>
      <w:tr w:rsidR="005B3072" w14:paraId="27E99BE0" w14:textId="77777777">
        <w:tc>
          <w:tcPr>
            <w:tcW w:w="5077" w:type="dxa"/>
            <w:gridSpan w:val="3"/>
            <w:tcBorders>
              <w:bottom w:val="single" w:sz="4" w:space="0" w:color="BDD7EE"/>
            </w:tcBorders>
            <w:shd w:val="clear" w:color="auto" w:fill="DAF2F6"/>
          </w:tcPr>
          <w:p w14:paraId="2BE134DB"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usvojenih zaključaka od strane Vlade CG na osnovu preporuka nacionalnog koordinacionog tijela</w:t>
            </w:r>
          </w:p>
        </w:tc>
        <w:tc>
          <w:tcPr>
            <w:tcW w:w="2635" w:type="dxa"/>
            <w:gridSpan w:val="3"/>
            <w:tcBorders>
              <w:top w:val="single" w:sz="4" w:space="0" w:color="000000"/>
              <w:bottom w:val="single" w:sz="4" w:space="0" w:color="BDD7EE"/>
            </w:tcBorders>
            <w:shd w:val="clear" w:color="auto" w:fill="DAF2F6"/>
          </w:tcPr>
          <w:p w14:paraId="79B56D3A"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sz w:val="18"/>
                <w:szCs w:val="18"/>
              </w:rPr>
            </w:pPr>
            <w:r>
              <w:rPr>
                <w:rFonts w:ascii="Sitka Text" w:eastAsia="Sitka Text" w:hAnsi="Sitka Text" w:cs="Sitka Text"/>
                <w:b/>
                <w:color w:val="1F4E79"/>
                <w:sz w:val="18"/>
                <w:szCs w:val="18"/>
              </w:rPr>
              <w:t>0</w:t>
            </w:r>
          </w:p>
        </w:tc>
        <w:tc>
          <w:tcPr>
            <w:tcW w:w="2437" w:type="dxa"/>
            <w:gridSpan w:val="3"/>
            <w:tcBorders>
              <w:top w:val="single" w:sz="4" w:space="0" w:color="000000"/>
              <w:bottom w:val="single" w:sz="4" w:space="0" w:color="BDD7EE"/>
            </w:tcBorders>
            <w:shd w:val="clear" w:color="auto" w:fill="DAF2F6"/>
          </w:tcPr>
          <w:p w14:paraId="402C48B3"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sz w:val="18"/>
                <w:szCs w:val="18"/>
              </w:rPr>
            </w:pPr>
            <w:r>
              <w:rPr>
                <w:rFonts w:ascii="Sitka Text" w:eastAsia="Sitka Text" w:hAnsi="Sitka Text" w:cs="Sitka Text"/>
                <w:b/>
                <w:color w:val="1F4E79"/>
                <w:sz w:val="18"/>
                <w:szCs w:val="18"/>
              </w:rPr>
              <w:t>80%</w:t>
            </w:r>
          </w:p>
        </w:tc>
        <w:tc>
          <w:tcPr>
            <w:tcW w:w="2965" w:type="dxa"/>
            <w:gridSpan w:val="2"/>
            <w:tcBorders>
              <w:top w:val="single" w:sz="4" w:space="0" w:color="000000"/>
              <w:bottom w:val="single" w:sz="4" w:space="0" w:color="BDD7EE"/>
            </w:tcBorders>
            <w:shd w:val="clear" w:color="auto" w:fill="DAF2F6"/>
          </w:tcPr>
          <w:p w14:paraId="7DEDD3F7"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sz w:val="18"/>
                <w:szCs w:val="18"/>
              </w:rPr>
            </w:pPr>
            <w:r>
              <w:rPr>
                <w:rFonts w:ascii="Sitka Text" w:eastAsia="Sitka Text" w:hAnsi="Sitka Text" w:cs="Sitka Text"/>
                <w:b/>
                <w:color w:val="1F4E79"/>
                <w:sz w:val="18"/>
                <w:szCs w:val="18"/>
              </w:rPr>
              <w:t>100%</w:t>
            </w:r>
          </w:p>
        </w:tc>
      </w:tr>
      <w:tr w:rsidR="005B3072" w14:paraId="038498F6" w14:textId="77777777">
        <w:tc>
          <w:tcPr>
            <w:tcW w:w="3518"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80D9EA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046"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D8BD13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788"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07E7254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22"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98E8C0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2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C9FDEC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3"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1C33905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64"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0135AEE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750545A2" w14:textId="77777777">
        <w:trPr>
          <w:trHeight w:val="359"/>
        </w:trPr>
        <w:tc>
          <w:tcPr>
            <w:tcW w:w="774" w:type="dxa"/>
            <w:tcBorders>
              <w:top w:val="single" w:sz="4" w:space="0" w:color="BDD7EE"/>
              <w:left w:val="single" w:sz="4" w:space="0" w:color="BDD7EE"/>
              <w:bottom w:val="single" w:sz="4" w:space="0" w:color="BDD7EE"/>
              <w:right w:val="single" w:sz="4" w:space="0" w:color="BDD7EE"/>
            </w:tcBorders>
          </w:tcPr>
          <w:p w14:paraId="10ECC733"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lastRenderedPageBreak/>
              <w:t>1.1.1</w:t>
            </w:r>
          </w:p>
        </w:tc>
        <w:tc>
          <w:tcPr>
            <w:tcW w:w="2744" w:type="dxa"/>
            <w:tcBorders>
              <w:top w:val="single" w:sz="4" w:space="0" w:color="BDD7EE"/>
              <w:left w:val="single" w:sz="4" w:space="0" w:color="BDD7EE"/>
              <w:bottom w:val="single" w:sz="4" w:space="0" w:color="BDD7EE"/>
              <w:right w:val="single" w:sz="4" w:space="0" w:color="BDD7EE"/>
            </w:tcBorders>
          </w:tcPr>
          <w:p w14:paraId="66A2A67B"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 xml:space="preserve">Uspostavljanje nacionalnog koordinacionog tijela na društvenom nivou u cilju unapređenja procesa digitalne transformacije Crne Gore </w:t>
            </w:r>
          </w:p>
        </w:tc>
        <w:tc>
          <w:tcPr>
            <w:tcW w:w="2046" w:type="dxa"/>
            <w:gridSpan w:val="2"/>
            <w:tcBorders>
              <w:top w:val="single" w:sz="4" w:space="0" w:color="BDD7EE"/>
              <w:left w:val="single" w:sz="4" w:space="0" w:color="BDD7EE"/>
              <w:bottom w:val="single" w:sz="4" w:space="0" w:color="BDD7EE"/>
              <w:right w:val="single" w:sz="4" w:space="0" w:color="BDD7EE"/>
            </w:tcBorders>
          </w:tcPr>
          <w:p w14:paraId="08D9AB0A"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Uspostavljeno koordinaciono tijelo na društvenom nivou</w:t>
            </w:r>
          </w:p>
          <w:p w14:paraId="218348F8"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c>
          <w:tcPr>
            <w:tcW w:w="1788" w:type="dxa"/>
            <w:tcBorders>
              <w:top w:val="single" w:sz="4" w:space="0" w:color="BDD7EE"/>
              <w:left w:val="single" w:sz="4" w:space="0" w:color="BDD7EE"/>
              <w:bottom w:val="single" w:sz="4" w:space="0" w:color="BDD7EE"/>
              <w:right w:val="single" w:sz="4" w:space="0" w:color="BDD7EE"/>
            </w:tcBorders>
          </w:tcPr>
          <w:p w14:paraId="44931D9F"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Vlada Crne Gore na inicijativu PKCG, AmCham, AMM, Savjet stranih investitora</w:t>
            </w:r>
          </w:p>
        </w:tc>
        <w:tc>
          <w:tcPr>
            <w:tcW w:w="1322" w:type="dxa"/>
            <w:gridSpan w:val="2"/>
            <w:tcBorders>
              <w:top w:val="single" w:sz="4" w:space="0" w:color="BDD7EE"/>
              <w:left w:val="single" w:sz="4" w:space="0" w:color="BDD7EE"/>
              <w:bottom w:val="single" w:sz="4" w:space="0" w:color="BDD7EE"/>
              <w:right w:val="single" w:sz="4" w:space="0" w:color="BDD7EE"/>
            </w:tcBorders>
          </w:tcPr>
          <w:p w14:paraId="5AE43A32"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 kvartal 2022</w:t>
            </w:r>
          </w:p>
        </w:tc>
        <w:tc>
          <w:tcPr>
            <w:tcW w:w="1323" w:type="dxa"/>
            <w:tcBorders>
              <w:top w:val="single" w:sz="4" w:space="0" w:color="BDD7EE"/>
              <w:left w:val="single" w:sz="4" w:space="0" w:color="BDD7EE"/>
              <w:bottom w:val="single" w:sz="4" w:space="0" w:color="BDD7EE"/>
              <w:right w:val="single" w:sz="4" w:space="0" w:color="BDD7EE"/>
            </w:tcBorders>
          </w:tcPr>
          <w:p w14:paraId="00997D6A"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II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1B6CF88B"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Nisu potrebna sredstva</w:t>
            </w:r>
          </w:p>
        </w:tc>
        <w:tc>
          <w:tcPr>
            <w:tcW w:w="1564" w:type="dxa"/>
            <w:tcBorders>
              <w:top w:val="single" w:sz="4" w:space="0" w:color="BDD7EE"/>
              <w:left w:val="single" w:sz="4" w:space="0" w:color="BDD7EE"/>
              <w:bottom w:val="single" w:sz="4" w:space="0" w:color="BDD7EE"/>
              <w:right w:val="single" w:sz="4" w:space="0" w:color="BDD7EE"/>
            </w:tcBorders>
          </w:tcPr>
          <w:p w14:paraId="3E87A658"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r>
      <w:tr w:rsidR="005B3072" w14:paraId="209AB836" w14:textId="77777777">
        <w:trPr>
          <w:trHeight w:val="359"/>
        </w:trPr>
        <w:tc>
          <w:tcPr>
            <w:tcW w:w="774" w:type="dxa"/>
            <w:tcBorders>
              <w:top w:val="single" w:sz="4" w:space="0" w:color="BDD7EE"/>
              <w:left w:val="single" w:sz="4" w:space="0" w:color="BDD7EE"/>
              <w:bottom w:val="single" w:sz="4" w:space="0" w:color="BDD7EE"/>
              <w:right w:val="single" w:sz="4" w:space="0" w:color="BDD7EE"/>
            </w:tcBorders>
          </w:tcPr>
          <w:p w14:paraId="664D6145"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1.1.2</w:t>
            </w:r>
          </w:p>
        </w:tc>
        <w:tc>
          <w:tcPr>
            <w:tcW w:w="2744" w:type="dxa"/>
            <w:tcBorders>
              <w:top w:val="single" w:sz="4" w:space="0" w:color="BDD7EE"/>
              <w:left w:val="single" w:sz="4" w:space="0" w:color="BDD7EE"/>
              <w:bottom w:val="single" w:sz="4" w:space="0" w:color="BDD7EE"/>
              <w:right w:val="single" w:sz="4" w:space="0" w:color="BDD7EE"/>
            </w:tcBorders>
          </w:tcPr>
          <w:p w14:paraId="41997300"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Izrada analize postojeće upravljačke, savjetodavne, infrastrukture na nivou javne uprave relevantne za proces digitalizacije i digitalne transformacije, uz preporuku za unapređenje Savjeta za elektronsku upravu</w:t>
            </w:r>
          </w:p>
        </w:tc>
        <w:tc>
          <w:tcPr>
            <w:tcW w:w="2046" w:type="dxa"/>
            <w:gridSpan w:val="2"/>
            <w:tcBorders>
              <w:top w:val="single" w:sz="4" w:space="0" w:color="BDD7EE"/>
              <w:left w:val="single" w:sz="4" w:space="0" w:color="BDD7EE"/>
              <w:bottom w:val="single" w:sz="4" w:space="0" w:color="BDD7EE"/>
              <w:right w:val="single" w:sz="4" w:space="0" w:color="BDD7EE"/>
            </w:tcBorders>
          </w:tcPr>
          <w:p w14:paraId="36DDA629"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Izrađena Analiza uz preporuke</w:t>
            </w:r>
          </w:p>
        </w:tc>
        <w:tc>
          <w:tcPr>
            <w:tcW w:w="1788" w:type="dxa"/>
            <w:tcBorders>
              <w:top w:val="single" w:sz="4" w:space="0" w:color="BDD7EE"/>
              <w:left w:val="single" w:sz="4" w:space="0" w:color="BDD7EE"/>
              <w:bottom w:val="single" w:sz="4" w:space="0" w:color="BDD7EE"/>
              <w:right w:val="single" w:sz="4" w:space="0" w:color="BDD7EE"/>
            </w:tcBorders>
          </w:tcPr>
          <w:p w14:paraId="703C4098"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Generalni sekretarijat Vlade CG sa resornim ministarstvima (radna grupa)</w:t>
            </w:r>
          </w:p>
        </w:tc>
        <w:tc>
          <w:tcPr>
            <w:tcW w:w="1322" w:type="dxa"/>
            <w:gridSpan w:val="2"/>
            <w:tcBorders>
              <w:top w:val="single" w:sz="4" w:space="0" w:color="BDD7EE"/>
              <w:left w:val="single" w:sz="4" w:space="0" w:color="BDD7EE"/>
              <w:bottom w:val="single" w:sz="4" w:space="0" w:color="BDD7EE"/>
              <w:right w:val="single" w:sz="4" w:space="0" w:color="BDD7EE"/>
            </w:tcBorders>
          </w:tcPr>
          <w:p w14:paraId="5286EEEB"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II kvartal 2022</w:t>
            </w:r>
          </w:p>
        </w:tc>
        <w:tc>
          <w:tcPr>
            <w:tcW w:w="1323" w:type="dxa"/>
            <w:tcBorders>
              <w:top w:val="single" w:sz="4" w:space="0" w:color="BDD7EE"/>
              <w:left w:val="single" w:sz="4" w:space="0" w:color="BDD7EE"/>
              <w:bottom w:val="single" w:sz="4" w:space="0" w:color="BDD7EE"/>
              <w:right w:val="single" w:sz="4" w:space="0" w:color="BDD7EE"/>
            </w:tcBorders>
          </w:tcPr>
          <w:p w14:paraId="1D889633"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III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1BF6DA6D"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Nisu potrebna sredstva</w:t>
            </w:r>
          </w:p>
        </w:tc>
        <w:tc>
          <w:tcPr>
            <w:tcW w:w="1564" w:type="dxa"/>
            <w:tcBorders>
              <w:top w:val="single" w:sz="4" w:space="0" w:color="BDD7EE"/>
              <w:left w:val="single" w:sz="4" w:space="0" w:color="BDD7EE"/>
              <w:bottom w:val="single" w:sz="4" w:space="0" w:color="BDD7EE"/>
              <w:right w:val="single" w:sz="4" w:space="0" w:color="BDD7EE"/>
            </w:tcBorders>
          </w:tcPr>
          <w:p w14:paraId="68264E67"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r>
      <w:tr w:rsidR="005B3072" w14:paraId="2A7B73D8" w14:textId="77777777">
        <w:trPr>
          <w:trHeight w:val="359"/>
        </w:trPr>
        <w:tc>
          <w:tcPr>
            <w:tcW w:w="774" w:type="dxa"/>
            <w:tcBorders>
              <w:top w:val="single" w:sz="4" w:space="0" w:color="BDD7EE"/>
              <w:left w:val="single" w:sz="4" w:space="0" w:color="BDD7EE"/>
              <w:bottom w:val="single" w:sz="4" w:space="0" w:color="BDD7EE"/>
              <w:right w:val="single" w:sz="4" w:space="0" w:color="BDD7EE"/>
            </w:tcBorders>
          </w:tcPr>
          <w:p w14:paraId="6A99AD95"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1.1.3</w:t>
            </w:r>
          </w:p>
        </w:tc>
        <w:tc>
          <w:tcPr>
            <w:tcW w:w="2744" w:type="dxa"/>
            <w:tcBorders>
              <w:top w:val="single" w:sz="4" w:space="0" w:color="BDD7EE"/>
              <w:left w:val="single" w:sz="4" w:space="0" w:color="BDD7EE"/>
              <w:bottom w:val="single" w:sz="4" w:space="0" w:color="BDD7EE"/>
              <w:right w:val="single" w:sz="4" w:space="0" w:color="BDD7EE"/>
            </w:tcBorders>
          </w:tcPr>
          <w:p w14:paraId="24A50F49"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Formiranje i rad Komisije za praćenje sprovođenja i monitoring Strategije digitalne transformacije Crne Gore</w:t>
            </w:r>
          </w:p>
        </w:tc>
        <w:tc>
          <w:tcPr>
            <w:tcW w:w="2046" w:type="dxa"/>
            <w:gridSpan w:val="2"/>
            <w:tcBorders>
              <w:top w:val="single" w:sz="4" w:space="0" w:color="BDD7EE"/>
              <w:left w:val="single" w:sz="4" w:space="0" w:color="BDD7EE"/>
              <w:bottom w:val="single" w:sz="4" w:space="0" w:color="BDD7EE"/>
              <w:right w:val="single" w:sz="4" w:space="0" w:color="BDD7EE"/>
            </w:tcBorders>
          </w:tcPr>
          <w:p w14:paraId="6B483B68"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Formirana komisija</w:t>
            </w:r>
          </w:p>
          <w:p w14:paraId="4D1C0775"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Broj izvještaja o sprovođenju Strategije digitalne transformacije</w:t>
            </w:r>
          </w:p>
        </w:tc>
        <w:tc>
          <w:tcPr>
            <w:tcW w:w="1788" w:type="dxa"/>
            <w:tcBorders>
              <w:top w:val="single" w:sz="4" w:space="0" w:color="BDD7EE"/>
              <w:left w:val="single" w:sz="4" w:space="0" w:color="BDD7EE"/>
              <w:bottom w:val="single" w:sz="4" w:space="0" w:color="BDD7EE"/>
              <w:right w:val="single" w:sz="4" w:space="0" w:color="BDD7EE"/>
            </w:tcBorders>
          </w:tcPr>
          <w:p w14:paraId="4756E4F3"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MJUDDM</w:t>
            </w:r>
          </w:p>
        </w:tc>
        <w:tc>
          <w:tcPr>
            <w:tcW w:w="1322" w:type="dxa"/>
            <w:gridSpan w:val="2"/>
            <w:tcBorders>
              <w:top w:val="single" w:sz="4" w:space="0" w:color="BDD7EE"/>
              <w:left w:val="single" w:sz="4" w:space="0" w:color="BDD7EE"/>
              <w:bottom w:val="single" w:sz="4" w:space="0" w:color="BDD7EE"/>
              <w:right w:val="single" w:sz="4" w:space="0" w:color="BDD7EE"/>
            </w:tcBorders>
          </w:tcPr>
          <w:p w14:paraId="6B9A291F"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 kvartal 2022</w:t>
            </w:r>
          </w:p>
        </w:tc>
        <w:tc>
          <w:tcPr>
            <w:tcW w:w="1323" w:type="dxa"/>
            <w:tcBorders>
              <w:top w:val="single" w:sz="4" w:space="0" w:color="BDD7EE"/>
              <w:left w:val="single" w:sz="4" w:space="0" w:color="BDD7EE"/>
              <w:bottom w:val="single" w:sz="4" w:space="0" w:color="BDD7EE"/>
              <w:right w:val="single" w:sz="4" w:space="0" w:color="BDD7EE"/>
            </w:tcBorders>
          </w:tcPr>
          <w:p w14:paraId="14288B37"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IV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727187AE"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25.000 €</w:t>
            </w:r>
          </w:p>
        </w:tc>
        <w:tc>
          <w:tcPr>
            <w:tcW w:w="1564" w:type="dxa"/>
            <w:tcBorders>
              <w:top w:val="single" w:sz="4" w:space="0" w:color="BDD7EE"/>
              <w:left w:val="single" w:sz="4" w:space="0" w:color="BDD7EE"/>
              <w:bottom w:val="single" w:sz="4" w:space="0" w:color="BDD7EE"/>
              <w:right w:val="single" w:sz="4" w:space="0" w:color="BDD7EE"/>
            </w:tcBorders>
          </w:tcPr>
          <w:p w14:paraId="086F2217"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Budžet CG</w:t>
            </w:r>
          </w:p>
        </w:tc>
      </w:tr>
      <w:tr w:rsidR="00395A0B" w14:paraId="75688A1F" w14:textId="77777777" w:rsidTr="005E4CCE">
        <w:trPr>
          <w:trHeight w:val="359"/>
        </w:trPr>
        <w:tc>
          <w:tcPr>
            <w:tcW w:w="774" w:type="dxa"/>
            <w:tcBorders>
              <w:top w:val="single" w:sz="4" w:space="0" w:color="BDD7EE"/>
              <w:left w:val="single" w:sz="4" w:space="0" w:color="BDD7EE"/>
              <w:bottom w:val="single" w:sz="4" w:space="0" w:color="BDD7EE"/>
              <w:right w:val="single" w:sz="4" w:space="0" w:color="BDD7EE"/>
            </w:tcBorders>
          </w:tcPr>
          <w:p w14:paraId="5D17F4BE" w14:textId="77777777" w:rsidR="00395A0B" w:rsidRDefault="00395A0B" w:rsidP="00395A0B">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1.1.4</w:t>
            </w:r>
          </w:p>
        </w:tc>
        <w:tc>
          <w:tcPr>
            <w:tcW w:w="2744" w:type="dxa"/>
            <w:tcBorders>
              <w:top w:val="single" w:sz="4" w:space="0" w:color="BDD7EE"/>
              <w:left w:val="single" w:sz="4" w:space="0" w:color="BDD7EE"/>
              <w:bottom w:val="single" w:sz="4" w:space="0" w:color="BDD7EE"/>
              <w:right w:val="single" w:sz="4" w:space="0" w:color="BDD7EE"/>
            </w:tcBorders>
            <w:vAlign w:val="center"/>
          </w:tcPr>
          <w:p w14:paraId="7B14FD9A"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Izmjena Odluke o dodatku na osnovnu </w:t>
            </w:r>
            <w:r>
              <w:rPr>
                <w:rFonts w:ascii="Sitka Text" w:eastAsia="Sitka Text" w:hAnsi="Sitka Text" w:cs="Sitka Text"/>
                <w:color w:val="1F4E79"/>
              </w:rPr>
              <w:lastRenderedPageBreak/>
              <w:t>zaradu za obavljanje poslova na određenim radnim mjestima (Sl. List CG br.60/17, 36/18, 59/19, 28/21) u cilju prepoznavanja poslova iz oblasti IKT-a</w:t>
            </w:r>
          </w:p>
        </w:tc>
        <w:tc>
          <w:tcPr>
            <w:tcW w:w="2046" w:type="dxa"/>
            <w:gridSpan w:val="2"/>
            <w:tcBorders>
              <w:top w:val="single" w:sz="4" w:space="0" w:color="BDD7EE"/>
              <w:left w:val="single" w:sz="4" w:space="0" w:color="BDD7EE"/>
              <w:bottom w:val="single" w:sz="4" w:space="0" w:color="BDD7EE"/>
              <w:right w:val="single" w:sz="4" w:space="0" w:color="BDD7EE"/>
            </w:tcBorders>
          </w:tcPr>
          <w:p w14:paraId="6F520251"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Izmijenjena Odluka</w:t>
            </w:r>
          </w:p>
        </w:tc>
        <w:tc>
          <w:tcPr>
            <w:tcW w:w="1788" w:type="dxa"/>
            <w:tcBorders>
              <w:top w:val="single" w:sz="4" w:space="0" w:color="BDD7EE"/>
              <w:left w:val="single" w:sz="4" w:space="0" w:color="BDD7EE"/>
              <w:bottom w:val="single" w:sz="4" w:space="0" w:color="BDD7EE"/>
              <w:right w:val="single" w:sz="4" w:space="0" w:color="BDD7EE"/>
            </w:tcBorders>
          </w:tcPr>
          <w:p w14:paraId="382FC38E"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Ministarstvo finansija i </w:t>
            </w:r>
            <w:r>
              <w:rPr>
                <w:rFonts w:ascii="Sitka Text" w:eastAsia="Sitka Text" w:hAnsi="Sitka Text" w:cs="Sitka Text"/>
                <w:color w:val="1F4E79"/>
              </w:rPr>
              <w:lastRenderedPageBreak/>
              <w:t>socijalnog staranja</w:t>
            </w:r>
          </w:p>
          <w:p w14:paraId="1B6DE83E"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322" w:type="dxa"/>
            <w:gridSpan w:val="2"/>
            <w:tcBorders>
              <w:top w:val="single" w:sz="4" w:space="0" w:color="BDD7EE"/>
              <w:left w:val="single" w:sz="4" w:space="0" w:color="BDD7EE"/>
              <w:bottom w:val="single" w:sz="4" w:space="0" w:color="BDD7EE"/>
              <w:right w:val="single" w:sz="4" w:space="0" w:color="BDD7EE"/>
            </w:tcBorders>
          </w:tcPr>
          <w:p w14:paraId="62735B34"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III kvartal 2022</w:t>
            </w:r>
          </w:p>
        </w:tc>
        <w:tc>
          <w:tcPr>
            <w:tcW w:w="1323" w:type="dxa"/>
            <w:tcBorders>
              <w:top w:val="single" w:sz="4" w:space="0" w:color="BDD7EE"/>
              <w:left w:val="single" w:sz="4" w:space="0" w:color="BDD7EE"/>
              <w:bottom w:val="single" w:sz="4" w:space="0" w:color="BDD7EE"/>
              <w:right w:val="single" w:sz="4" w:space="0" w:color="BDD7EE"/>
            </w:tcBorders>
          </w:tcPr>
          <w:p w14:paraId="7E7EBB12"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5EDB91EE"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n/p</w:t>
            </w:r>
          </w:p>
        </w:tc>
        <w:tc>
          <w:tcPr>
            <w:tcW w:w="1564" w:type="dxa"/>
            <w:tcBorders>
              <w:top w:val="single" w:sz="4" w:space="0" w:color="BDD7EE"/>
              <w:left w:val="single" w:sz="4" w:space="0" w:color="BDD7EE"/>
              <w:bottom w:val="single" w:sz="4" w:space="0" w:color="BDD7EE"/>
              <w:right w:val="single" w:sz="4" w:space="0" w:color="BDD7EE"/>
            </w:tcBorders>
          </w:tcPr>
          <w:p w14:paraId="287A42FC" w14:textId="77777777" w:rsidR="00395A0B" w:rsidRDefault="00395A0B" w:rsidP="00395A0B">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3A46FA0F" w14:textId="77777777">
        <w:tc>
          <w:tcPr>
            <w:tcW w:w="774" w:type="dxa"/>
            <w:tcBorders>
              <w:top w:val="single" w:sz="4" w:space="0" w:color="BDD7EE"/>
              <w:left w:val="single" w:sz="4" w:space="0" w:color="BDD7EE"/>
              <w:bottom w:val="single" w:sz="4" w:space="0" w:color="BDD7EE"/>
              <w:right w:val="single" w:sz="4" w:space="0" w:color="BDD7EE"/>
            </w:tcBorders>
          </w:tcPr>
          <w:p w14:paraId="4687B987"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lastRenderedPageBreak/>
              <w:t>1.1.</w:t>
            </w:r>
            <w:r w:rsidR="00395A0B">
              <w:rPr>
                <w:rFonts w:ascii="Sitka Text" w:eastAsia="Sitka Text" w:hAnsi="Sitka Text" w:cs="Sitka Text"/>
                <w:color w:val="1F4E79"/>
              </w:rPr>
              <w:t>5</w:t>
            </w:r>
          </w:p>
        </w:tc>
        <w:tc>
          <w:tcPr>
            <w:tcW w:w="2744" w:type="dxa"/>
            <w:tcBorders>
              <w:top w:val="single" w:sz="4" w:space="0" w:color="BDD7EE"/>
              <w:left w:val="single" w:sz="4" w:space="0" w:color="BDD7EE"/>
              <w:bottom w:val="single" w:sz="4" w:space="0" w:color="BDD7EE"/>
              <w:right w:val="single" w:sz="4" w:space="0" w:color="BDD7EE"/>
            </w:tcBorders>
          </w:tcPr>
          <w:p w14:paraId="5FE54A08" w14:textId="77777777" w:rsidR="005B3072" w:rsidRDefault="00A46913">
            <w:pPr>
              <w:pBdr>
                <w:top w:val="nil"/>
                <w:left w:val="nil"/>
                <w:bottom w:val="nil"/>
                <w:right w:val="nil"/>
                <w:between w:val="nil"/>
              </w:pBdr>
              <w:spacing w:before="20" w:after="240"/>
              <w:rPr>
                <w:rFonts w:ascii="Sitka Text" w:eastAsia="Sitka Text" w:hAnsi="Sitka Text" w:cs="Sitka Text"/>
                <w:color w:val="FF0000"/>
              </w:rPr>
            </w:pPr>
            <w:r>
              <w:rPr>
                <w:rFonts w:ascii="Sitka Text" w:eastAsia="Sitka Text" w:hAnsi="Sitka Text" w:cs="Sitka Text"/>
                <w:color w:val="1F4E79"/>
              </w:rPr>
              <w:t>Izrada analize postojeće kadrovske i tehničko tehnološke infrastrukture sa predlogom definisanja optimalnog organizacionog oblika za operativno izvođenje IT razvoja i podrške u državnoj upravi</w:t>
            </w:r>
          </w:p>
        </w:tc>
        <w:tc>
          <w:tcPr>
            <w:tcW w:w="2046" w:type="dxa"/>
            <w:gridSpan w:val="2"/>
            <w:tcBorders>
              <w:top w:val="single" w:sz="4" w:space="0" w:color="BDD7EE"/>
              <w:left w:val="single" w:sz="4" w:space="0" w:color="BDD7EE"/>
              <w:bottom w:val="single" w:sz="4" w:space="0" w:color="BDD7EE"/>
              <w:right w:val="single" w:sz="4" w:space="0" w:color="BDD7EE"/>
            </w:tcBorders>
          </w:tcPr>
          <w:p w14:paraId="7A55F483"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Izrađena Analiza, uz preporuke za optimalni organizacioni oblik i jačanje postojećih kapaciteta</w:t>
            </w:r>
          </w:p>
        </w:tc>
        <w:tc>
          <w:tcPr>
            <w:tcW w:w="1788" w:type="dxa"/>
            <w:tcBorders>
              <w:top w:val="single" w:sz="4" w:space="0" w:color="BDD7EE"/>
              <w:left w:val="single" w:sz="4" w:space="0" w:color="BDD7EE"/>
              <w:bottom w:val="single" w:sz="4" w:space="0" w:color="BDD7EE"/>
              <w:right w:val="single" w:sz="4" w:space="0" w:color="BDD7EE"/>
            </w:tcBorders>
          </w:tcPr>
          <w:p w14:paraId="4E923D1A"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MJUDDM</w:t>
            </w:r>
          </w:p>
          <w:p w14:paraId="5B3EDD7E"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GSV</w:t>
            </w:r>
          </w:p>
        </w:tc>
        <w:tc>
          <w:tcPr>
            <w:tcW w:w="1322" w:type="dxa"/>
            <w:gridSpan w:val="2"/>
            <w:tcBorders>
              <w:top w:val="single" w:sz="4" w:space="0" w:color="BDD7EE"/>
              <w:left w:val="single" w:sz="4" w:space="0" w:color="BDD7EE"/>
              <w:bottom w:val="single" w:sz="4" w:space="0" w:color="BDD7EE"/>
              <w:right w:val="single" w:sz="4" w:space="0" w:color="BDD7EE"/>
            </w:tcBorders>
          </w:tcPr>
          <w:p w14:paraId="15C41CD1"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IV kvartal 2022</w:t>
            </w:r>
          </w:p>
        </w:tc>
        <w:tc>
          <w:tcPr>
            <w:tcW w:w="1323" w:type="dxa"/>
            <w:tcBorders>
              <w:top w:val="single" w:sz="4" w:space="0" w:color="BDD7EE"/>
              <w:left w:val="single" w:sz="4" w:space="0" w:color="BDD7EE"/>
              <w:bottom w:val="single" w:sz="4" w:space="0" w:color="BDD7EE"/>
              <w:right w:val="single" w:sz="4" w:space="0" w:color="BDD7EE"/>
            </w:tcBorders>
          </w:tcPr>
          <w:p w14:paraId="1F9242F0"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491EAFD4"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Nisu potrebna sredstva</w:t>
            </w:r>
          </w:p>
        </w:tc>
        <w:tc>
          <w:tcPr>
            <w:tcW w:w="1564" w:type="dxa"/>
            <w:tcBorders>
              <w:top w:val="single" w:sz="4" w:space="0" w:color="BDD7EE"/>
              <w:left w:val="single" w:sz="4" w:space="0" w:color="BDD7EE"/>
              <w:bottom w:val="single" w:sz="4" w:space="0" w:color="BDD7EE"/>
              <w:right w:val="single" w:sz="4" w:space="0" w:color="BDD7EE"/>
            </w:tcBorders>
          </w:tcPr>
          <w:p w14:paraId="394C2C29"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r>
      <w:tr w:rsidR="005B3072" w14:paraId="3B9B28AB" w14:textId="77777777">
        <w:tc>
          <w:tcPr>
            <w:tcW w:w="774" w:type="dxa"/>
            <w:tcBorders>
              <w:top w:val="single" w:sz="4" w:space="0" w:color="BDD7EE"/>
              <w:left w:val="single" w:sz="4" w:space="0" w:color="BDD7EE"/>
              <w:bottom w:val="single" w:sz="4" w:space="0" w:color="BDD7EE"/>
              <w:right w:val="single" w:sz="4" w:space="0" w:color="BDD7EE"/>
            </w:tcBorders>
          </w:tcPr>
          <w:p w14:paraId="4FF3F122"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1.1.</w:t>
            </w:r>
            <w:r w:rsidR="00395A0B">
              <w:rPr>
                <w:rFonts w:ascii="Sitka Text" w:eastAsia="Sitka Text" w:hAnsi="Sitka Text" w:cs="Sitka Text"/>
                <w:color w:val="1F4E79"/>
              </w:rPr>
              <w:t>6</w:t>
            </w:r>
          </w:p>
        </w:tc>
        <w:tc>
          <w:tcPr>
            <w:tcW w:w="2744" w:type="dxa"/>
            <w:tcBorders>
              <w:top w:val="single" w:sz="4" w:space="0" w:color="BDD7EE"/>
              <w:left w:val="single" w:sz="4" w:space="0" w:color="BDD7EE"/>
              <w:bottom w:val="single" w:sz="4" w:space="0" w:color="BDD7EE"/>
              <w:right w:val="single" w:sz="4" w:space="0" w:color="BDD7EE"/>
            </w:tcBorders>
          </w:tcPr>
          <w:p w14:paraId="5C767D77"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Uspostavljanje kontinuiranog praćenja ključnih indikatora digitalne transformacije putem redovnog izvještavanja na nacionalnom nivou</w:t>
            </w:r>
          </w:p>
        </w:tc>
        <w:tc>
          <w:tcPr>
            <w:tcW w:w="2046" w:type="dxa"/>
            <w:gridSpan w:val="2"/>
            <w:tcBorders>
              <w:top w:val="single" w:sz="4" w:space="0" w:color="BDD7EE"/>
              <w:left w:val="single" w:sz="4" w:space="0" w:color="BDD7EE"/>
              <w:bottom w:val="single" w:sz="4" w:space="0" w:color="BDD7EE"/>
              <w:right w:val="single" w:sz="4" w:space="0" w:color="BDD7EE"/>
            </w:tcBorders>
          </w:tcPr>
          <w:p w14:paraId="48B82F72"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Definisana lista indikatora i uspostavljeno kontinuirano mjerenje za iste</w:t>
            </w:r>
          </w:p>
        </w:tc>
        <w:tc>
          <w:tcPr>
            <w:tcW w:w="1788" w:type="dxa"/>
            <w:tcBorders>
              <w:top w:val="single" w:sz="4" w:space="0" w:color="BDD7EE"/>
              <w:left w:val="single" w:sz="4" w:space="0" w:color="BDD7EE"/>
              <w:bottom w:val="single" w:sz="4" w:space="0" w:color="BDD7EE"/>
              <w:right w:val="single" w:sz="4" w:space="0" w:color="BDD7EE"/>
            </w:tcBorders>
          </w:tcPr>
          <w:p w14:paraId="5D0113DC"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MONSTAT</w:t>
            </w:r>
          </w:p>
          <w:p w14:paraId="0D63CAE6"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MJUDDM</w:t>
            </w:r>
          </w:p>
          <w:p w14:paraId="486B8337"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c>
          <w:tcPr>
            <w:tcW w:w="1322" w:type="dxa"/>
            <w:gridSpan w:val="2"/>
            <w:tcBorders>
              <w:top w:val="single" w:sz="4" w:space="0" w:color="BDD7EE"/>
              <w:left w:val="single" w:sz="4" w:space="0" w:color="BDD7EE"/>
              <w:bottom w:val="single" w:sz="4" w:space="0" w:color="BDD7EE"/>
              <w:right w:val="single" w:sz="4" w:space="0" w:color="BDD7EE"/>
            </w:tcBorders>
          </w:tcPr>
          <w:p w14:paraId="5F95AE85"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 kvartal 2022</w:t>
            </w:r>
          </w:p>
        </w:tc>
        <w:tc>
          <w:tcPr>
            <w:tcW w:w="1323" w:type="dxa"/>
            <w:tcBorders>
              <w:top w:val="single" w:sz="4" w:space="0" w:color="BDD7EE"/>
              <w:left w:val="single" w:sz="4" w:space="0" w:color="BDD7EE"/>
              <w:bottom w:val="single" w:sz="4" w:space="0" w:color="BDD7EE"/>
              <w:right w:val="single" w:sz="4" w:space="0" w:color="BDD7EE"/>
            </w:tcBorders>
          </w:tcPr>
          <w:p w14:paraId="0C55007B"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IV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34003232"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Nisu potrebna sredstva</w:t>
            </w:r>
          </w:p>
        </w:tc>
        <w:tc>
          <w:tcPr>
            <w:tcW w:w="1564" w:type="dxa"/>
            <w:tcBorders>
              <w:top w:val="single" w:sz="4" w:space="0" w:color="BDD7EE"/>
              <w:left w:val="single" w:sz="4" w:space="0" w:color="BDD7EE"/>
              <w:bottom w:val="single" w:sz="4" w:space="0" w:color="BDD7EE"/>
              <w:right w:val="single" w:sz="4" w:space="0" w:color="BDD7EE"/>
            </w:tcBorders>
          </w:tcPr>
          <w:p w14:paraId="069274E5"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r>
    </w:tbl>
    <w:p w14:paraId="4A73F9CB" w14:textId="77777777" w:rsidR="005B3072" w:rsidRDefault="005B3072">
      <w:pPr>
        <w:spacing w:before="20" w:after="20" w:line="240" w:lineRule="auto"/>
        <w:rPr>
          <w:rFonts w:ascii="Sitka Text" w:eastAsia="Sitka Text" w:hAnsi="Sitka Text" w:cs="Sitka Text"/>
          <w:color w:val="1F4E79"/>
          <w:sz w:val="24"/>
          <w:szCs w:val="24"/>
        </w:rPr>
      </w:pPr>
    </w:p>
    <w:tbl>
      <w:tblPr>
        <w:tblStyle w:val="af"/>
        <w:tblW w:w="13113"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888"/>
        <w:gridCol w:w="2289"/>
        <w:gridCol w:w="2372"/>
        <w:gridCol w:w="1530"/>
        <w:gridCol w:w="966"/>
        <w:gridCol w:w="414"/>
        <w:gridCol w:w="1428"/>
        <w:gridCol w:w="503"/>
        <w:gridCol w:w="1050"/>
        <w:gridCol w:w="1673"/>
      </w:tblGrid>
      <w:tr w:rsidR="005B3072" w14:paraId="2A3D4F4E" w14:textId="77777777">
        <w:trPr>
          <w:trHeight w:val="1007"/>
        </w:trPr>
        <w:tc>
          <w:tcPr>
            <w:tcW w:w="3177" w:type="dxa"/>
            <w:gridSpan w:val="2"/>
            <w:shd w:val="clear" w:color="auto" w:fill="1F4E79"/>
            <w:vAlign w:val="center"/>
          </w:tcPr>
          <w:p w14:paraId="5E42BA22"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1.2.</w:t>
            </w:r>
          </w:p>
        </w:tc>
        <w:tc>
          <w:tcPr>
            <w:tcW w:w="9936" w:type="dxa"/>
            <w:gridSpan w:val="8"/>
            <w:shd w:val="clear" w:color="auto" w:fill="1F4E79"/>
            <w:vAlign w:val="center"/>
          </w:tcPr>
          <w:p w14:paraId="40EB9EF1"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Poboljšanje dostupnosti, interoperabilnosti i upravljanja podacima</w:t>
            </w:r>
          </w:p>
        </w:tc>
      </w:tr>
      <w:tr w:rsidR="005B3072" w14:paraId="3B9FB82C" w14:textId="77777777">
        <w:tc>
          <w:tcPr>
            <w:tcW w:w="5549" w:type="dxa"/>
            <w:gridSpan w:val="3"/>
            <w:shd w:val="clear" w:color="auto" w:fill="DAF2F6"/>
          </w:tcPr>
          <w:p w14:paraId="0D182F51"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lastRenderedPageBreak/>
              <w:t>Indikator</w:t>
            </w:r>
          </w:p>
        </w:tc>
        <w:tc>
          <w:tcPr>
            <w:tcW w:w="2496" w:type="dxa"/>
            <w:gridSpan w:val="2"/>
            <w:shd w:val="clear" w:color="auto" w:fill="DAF2F6"/>
            <w:vAlign w:val="center"/>
          </w:tcPr>
          <w:p w14:paraId="73DBF0F1"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2345" w:type="dxa"/>
            <w:gridSpan w:val="3"/>
            <w:tcBorders>
              <w:bottom w:val="single" w:sz="4" w:space="0" w:color="FFFFFF"/>
            </w:tcBorders>
            <w:shd w:val="clear" w:color="auto" w:fill="DAF2F6"/>
            <w:vAlign w:val="center"/>
          </w:tcPr>
          <w:p w14:paraId="57B7486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2723" w:type="dxa"/>
            <w:gridSpan w:val="2"/>
            <w:tcBorders>
              <w:bottom w:val="single" w:sz="4" w:space="0" w:color="FFFFFF"/>
            </w:tcBorders>
            <w:shd w:val="clear" w:color="auto" w:fill="DAF2F6"/>
            <w:vAlign w:val="center"/>
          </w:tcPr>
          <w:p w14:paraId="2D629FF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2026.</w:t>
            </w:r>
          </w:p>
        </w:tc>
      </w:tr>
      <w:tr w:rsidR="005B3072" w14:paraId="151F27DA" w14:textId="77777777">
        <w:tc>
          <w:tcPr>
            <w:tcW w:w="5549" w:type="dxa"/>
            <w:gridSpan w:val="3"/>
            <w:tcBorders>
              <w:bottom w:val="single" w:sz="4" w:space="0" w:color="000000"/>
            </w:tcBorders>
            <w:shd w:val="clear" w:color="auto" w:fill="DAF2F6"/>
          </w:tcPr>
          <w:p w14:paraId="796949F8" w14:textId="77777777" w:rsidR="005B3072" w:rsidRDefault="00A46913">
            <w:pPr>
              <w:spacing w:after="40"/>
              <w:rPr>
                <w:rFonts w:ascii="Sitka Text" w:eastAsia="Sitka Text" w:hAnsi="Sitka Text" w:cs="Sitka Text"/>
                <w:color w:val="1F4E79"/>
              </w:rPr>
            </w:pPr>
            <w:r>
              <w:rPr>
                <w:rFonts w:ascii="Sitka Text" w:eastAsia="Sitka Text" w:hAnsi="Sitka Text" w:cs="Sitka Text"/>
                <w:b/>
                <w:color w:val="1F4E79"/>
              </w:rPr>
              <w:t>Broj institucija</w:t>
            </w:r>
            <w:r>
              <w:rPr>
                <w:rFonts w:ascii="Sitka Text" w:eastAsia="Sitka Text" w:hAnsi="Sitka Text" w:cs="Sitka Text"/>
                <w:b/>
                <w:color w:val="1F4E79"/>
                <w:vertAlign w:val="superscript"/>
              </w:rPr>
              <w:footnoteReference w:id="75"/>
            </w:r>
            <w:r>
              <w:rPr>
                <w:rFonts w:ascii="Sitka Text" w:eastAsia="Sitka Text" w:hAnsi="Sitka Text" w:cs="Sitka Text"/>
                <w:b/>
                <w:color w:val="1F4E79"/>
              </w:rPr>
              <w:t xml:space="preserve"> koje objavljuju podatke na Portalu otvorenih podataka </w:t>
            </w:r>
          </w:p>
        </w:tc>
        <w:tc>
          <w:tcPr>
            <w:tcW w:w="2496" w:type="dxa"/>
            <w:gridSpan w:val="2"/>
            <w:tcBorders>
              <w:bottom w:val="single" w:sz="4" w:space="0" w:color="000000"/>
            </w:tcBorders>
            <w:shd w:val="clear" w:color="auto" w:fill="DAF2F6"/>
          </w:tcPr>
          <w:p w14:paraId="5747B510" w14:textId="77777777" w:rsidR="005B3072" w:rsidRDefault="00A46913">
            <w:pPr>
              <w:pBdr>
                <w:top w:val="nil"/>
                <w:left w:val="nil"/>
                <w:bottom w:val="nil"/>
                <w:right w:val="nil"/>
                <w:between w:val="nil"/>
              </w:pBdr>
              <w:spacing w:after="40"/>
              <w:jc w:val="center"/>
              <w:rPr>
                <w:rFonts w:ascii="Sitka Text" w:eastAsia="Sitka Text" w:hAnsi="Sitka Text" w:cs="Sitka Text"/>
                <w:b/>
                <w:color w:val="1F4E79"/>
              </w:rPr>
            </w:pPr>
            <w:r>
              <w:rPr>
                <w:rFonts w:ascii="Sitka Text" w:eastAsia="Sitka Text" w:hAnsi="Sitka Text" w:cs="Sitka Text"/>
                <w:b/>
                <w:color w:val="1F4E79"/>
              </w:rPr>
              <w:t xml:space="preserve"> 20</w:t>
            </w:r>
          </w:p>
        </w:tc>
        <w:tc>
          <w:tcPr>
            <w:tcW w:w="2345" w:type="dxa"/>
            <w:gridSpan w:val="3"/>
            <w:tcBorders>
              <w:bottom w:val="single" w:sz="4" w:space="0" w:color="000000"/>
            </w:tcBorders>
            <w:shd w:val="clear" w:color="auto" w:fill="DAF2F6"/>
          </w:tcPr>
          <w:p w14:paraId="74FA1E52" w14:textId="77777777" w:rsidR="005B3072" w:rsidRDefault="00A46913">
            <w:pPr>
              <w:pBdr>
                <w:top w:val="nil"/>
                <w:left w:val="nil"/>
                <w:bottom w:val="nil"/>
                <w:right w:val="nil"/>
                <w:between w:val="nil"/>
              </w:pBdr>
              <w:spacing w:after="40"/>
              <w:jc w:val="center"/>
              <w:rPr>
                <w:rFonts w:ascii="Sitka Text" w:eastAsia="Sitka Text" w:hAnsi="Sitka Text" w:cs="Sitka Text"/>
                <w:b/>
                <w:color w:val="1F4E79"/>
              </w:rPr>
            </w:pPr>
            <w:r>
              <w:rPr>
                <w:rFonts w:ascii="Sitka Text" w:eastAsia="Sitka Text" w:hAnsi="Sitka Text" w:cs="Sitka Text"/>
                <w:b/>
                <w:color w:val="1F4E79"/>
              </w:rPr>
              <w:t xml:space="preserve">  100</w:t>
            </w:r>
          </w:p>
        </w:tc>
        <w:tc>
          <w:tcPr>
            <w:tcW w:w="2723" w:type="dxa"/>
            <w:gridSpan w:val="2"/>
            <w:tcBorders>
              <w:bottom w:val="single" w:sz="4" w:space="0" w:color="000000"/>
            </w:tcBorders>
            <w:shd w:val="clear" w:color="auto" w:fill="DAF2F6"/>
          </w:tcPr>
          <w:p w14:paraId="3A6A2521" w14:textId="77777777" w:rsidR="005B3072" w:rsidRDefault="00A46913">
            <w:pPr>
              <w:pBdr>
                <w:top w:val="nil"/>
                <w:left w:val="nil"/>
                <w:bottom w:val="nil"/>
                <w:right w:val="nil"/>
                <w:between w:val="nil"/>
              </w:pBdr>
              <w:spacing w:after="40"/>
              <w:jc w:val="center"/>
              <w:rPr>
                <w:rFonts w:ascii="Sitka Text" w:eastAsia="Sitka Text" w:hAnsi="Sitka Text" w:cs="Sitka Text"/>
                <w:b/>
                <w:color w:val="1F4E79"/>
              </w:rPr>
            </w:pPr>
            <w:r>
              <w:rPr>
                <w:rFonts w:ascii="Sitka Text" w:eastAsia="Sitka Text" w:hAnsi="Sitka Text" w:cs="Sitka Text"/>
                <w:b/>
                <w:color w:val="1F4E79"/>
              </w:rPr>
              <w:t>200</w:t>
            </w:r>
          </w:p>
        </w:tc>
      </w:tr>
      <w:tr w:rsidR="005B3072" w14:paraId="5831C777" w14:textId="77777777">
        <w:tc>
          <w:tcPr>
            <w:tcW w:w="5549" w:type="dxa"/>
            <w:gridSpan w:val="3"/>
            <w:tcBorders>
              <w:top w:val="single" w:sz="4" w:space="0" w:color="000000"/>
              <w:bottom w:val="single" w:sz="4" w:space="0" w:color="000000"/>
            </w:tcBorders>
            <w:shd w:val="clear" w:color="auto" w:fill="DAF2F6"/>
          </w:tcPr>
          <w:p w14:paraId="674886E6"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Broj elektronskih registara u metaregistru</w:t>
            </w:r>
            <w:r>
              <w:rPr>
                <w:rFonts w:ascii="Sitka Text" w:eastAsia="Sitka Text" w:hAnsi="Sitka Text" w:cs="Sitka Text"/>
                <w:b/>
                <w:color w:val="1F4E79"/>
                <w:sz w:val="20"/>
                <w:szCs w:val="20"/>
              </w:rPr>
              <w:t xml:space="preserve"> </w:t>
            </w:r>
          </w:p>
        </w:tc>
        <w:tc>
          <w:tcPr>
            <w:tcW w:w="2496" w:type="dxa"/>
            <w:gridSpan w:val="2"/>
            <w:tcBorders>
              <w:top w:val="single" w:sz="4" w:space="0" w:color="000000"/>
              <w:bottom w:val="single" w:sz="4" w:space="0" w:color="000000"/>
            </w:tcBorders>
            <w:shd w:val="clear" w:color="auto" w:fill="DAF2F6"/>
          </w:tcPr>
          <w:p w14:paraId="646C01F0"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 xml:space="preserve"> 12</w:t>
            </w:r>
            <w:r>
              <w:rPr>
                <w:rFonts w:ascii="Sitka Text" w:eastAsia="Sitka Text" w:hAnsi="Sitka Text" w:cs="Sitka Text"/>
                <w:b/>
                <w:color w:val="1F4E79"/>
                <w:vertAlign w:val="superscript"/>
              </w:rPr>
              <w:footnoteReference w:id="76"/>
            </w:r>
          </w:p>
        </w:tc>
        <w:tc>
          <w:tcPr>
            <w:tcW w:w="2345" w:type="dxa"/>
            <w:gridSpan w:val="3"/>
            <w:tcBorders>
              <w:top w:val="single" w:sz="4" w:space="0" w:color="000000"/>
              <w:bottom w:val="single" w:sz="4" w:space="0" w:color="000000"/>
            </w:tcBorders>
            <w:shd w:val="clear" w:color="auto" w:fill="DAF2F6"/>
          </w:tcPr>
          <w:p w14:paraId="1E9352F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80</w:t>
            </w:r>
          </w:p>
        </w:tc>
        <w:tc>
          <w:tcPr>
            <w:tcW w:w="2723" w:type="dxa"/>
            <w:gridSpan w:val="2"/>
            <w:tcBorders>
              <w:top w:val="single" w:sz="4" w:space="0" w:color="000000"/>
              <w:bottom w:val="single" w:sz="4" w:space="0" w:color="000000"/>
            </w:tcBorders>
            <w:shd w:val="clear" w:color="auto" w:fill="DAF2F6"/>
          </w:tcPr>
          <w:p w14:paraId="14E2B476"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150</w:t>
            </w:r>
          </w:p>
        </w:tc>
      </w:tr>
      <w:tr w:rsidR="005B3072" w14:paraId="76E9FFF0" w14:textId="77777777">
        <w:tc>
          <w:tcPr>
            <w:tcW w:w="5549" w:type="dxa"/>
            <w:gridSpan w:val="3"/>
            <w:tcBorders>
              <w:top w:val="single" w:sz="4" w:space="0" w:color="000000"/>
              <w:bottom w:val="single" w:sz="4" w:space="0" w:color="000000"/>
            </w:tcBorders>
            <w:shd w:val="clear" w:color="auto" w:fill="DAF2F6"/>
          </w:tcPr>
          <w:p w14:paraId="08BE0DB4"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e-usluga koje se vode u katalogu usluga elektronske uprave, a koje po jednom upitu mogu prikupiti podatke više od jednog registra</w:t>
            </w:r>
          </w:p>
        </w:tc>
        <w:tc>
          <w:tcPr>
            <w:tcW w:w="2496" w:type="dxa"/>
            <w:gridSpan w:val="2"/>
            <w:tcBorders>
              <w:top w:val="single" w:sz="4" w:space="0" w:color="000000"/>
              <w:bottom w:val="single" w:sz="4" w:space="0" w:color="000000"/>
            </w:tcBorders>
            <w:shd w:val="clear" w:color="auto" w:fill="DAF2F6"/>
          </w:tcPr>
          <w:p w14:paraId="7E207453"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n/a</w:t>
            </w:r>
          </w:p>
        </w:tc>
        <w:tc>
          <w:tcPr>
            <w:tcW w:w="2345" w:type="dxa"/>
            <w:gridSpan w:val="3"/>
            <w:tcBorders>
              <w:top w:val="single" w:sz="4" w:space="0" w:color="000000"/>
              <w:bottom w:val="single" w:sz="4" w:space="0" w:color="000000"/>
            </w:tcBorders>
            <w:shd w:val="clear" w:color="auto" w:fill="DAF2F6"/>
          </w:tcPr>
          <w:p w14:paraId="3E1B8E5C"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10% od svih elektronskih usluga iz kataloga e-usluga</w:t>
            </w:r>
          </w:p>
        </w:tc>
        <w:tc>
          <w:tcPr>
            <w:tcW w:w="2723" w:type="dxa"/>
            <w:gridSpan w:val="2"/>
            <w:tcBorders>
              <w:top w:val="single" w:sz="4" w:space="0" w:color="000000"/>
              <w:bottom w:val="single" w:sz="4" w:space="0" w:color="000000"/>
            </w:tcBorders>
            <w:shd w:val="clear" w:color="auto" w:fill="DAF2F6"/>
          </w:tcPr>
          <w:p w14:paraId="42314327"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20% od svih elektronskih usluga iz kataloga e-usluga</w:t>
            </w:r>
          </w:p>
        </w:tc>
      </w:tr>
      <w:tr w:rsidR="005B3072" w14:paraId="755FEFF9" w14:textId="77777777">
        <w:tc>
          <w:tcPr>
            <w:tcW w:w="3177" w:type="dxa"/>
            <w:gridSpan w:val="2"/>
            <w:tcBorders>
              <w:top w:val="single" w:sz="4" w:space="0" w:color="000000"/>
              <w:bottom w:val="single" w:sz="4" w:space="0" w:color="BDD7EE"/>
            </w:tcBorders>
            <w:shd w:val="clear" w:color="auto" w:fill="B4C6E7"/>
          </w:tcPr>
          <w:p w14:paraId="0A0C930D"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6" w:type="dxa"/>
            <w:gridSpan w:val="8"/>
            <w:tcBorders>
              <w:top w:val="single" w:sz="4" w:space="0" w:color="000000"/>
              <w:bottom w:val="single" w:sz="4" w:space="0" w:color="BDD7EE"/>
            </w:tcBorders>
            <w:shd w:val="clear" w:color="auto" w:fill="B4C6E7"/>
          </w:tcPr>
          <w:p w14:paraId="1F720CC0"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Digitalizacija registara i obezbjeđenje tačnosti podataka putem sigurne veze, u skladu sa Zakonom o eUpravi</w:t>
            </w:r>
          </w:p>
        </w:tc>
      </w:tr>
      <w:tr w:rsidR="005B3072" w14:paraId="7F6A46C8" w14:textId="77777777">
        <w:tc>
          <w:tcPr>
            <w:tcW w:w="3177"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7C861592" w14:textId="77777777" w:rsidR="005B3072" w:rsidRDefault="00A46913">
            <w:pPr>
              <w:spacing w:before="20"/>
              <w:jc w:val="center"/>
              <w:rPr>
                <w:rFonts w:ascii="Sitka Text" w:eastAsia="Sitka Text" w:hAnsi="Sitka Text" w:cs="Sitka Text"/>
                <w:b/>
                <w:color w:val="1F4E79"/>
              </w:rPr>
            </w:pPr>
            <w:bookmarkStart w:id="74" w:name="_2iq8gzs" w:colFirst="0" w:colLast="0"/>
            <w:bookmarkEnd w:id="74"/>
            <w:r>
              <w:rPr>
                <w:rFonts w:ascii="Sitka Text" w:eastAsia="Sitka Text" w:hAnsi="Sitka Text" w:cs="Sitka Text"/>
                <w:b/>
                <w:color w:val="1F4E79"/>
              </w:rPr>
              <w:t>Aktivnost koja utiče na realizaciju Operativnog cilja</w:t>
            </w:r>
          </w:p>
        </w:tc>
        <w:tc>
          <w:tcPr>
            <w:tcW w:w="2372"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3EF6747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3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0FDE6E1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6331598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428"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744FB6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3"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2C6D19A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7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07CD0F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784E23D7" w14:textId="77777777">
        <w:tc>
          <w:tcPr>
            <w:tcW w:w="888" w:type="dxa"/>
            <w:tcBorders>
              <w:top w:val="single" w:sz="4" w:space="0" w:color="BDD7EE"/>
              <w:left w:val="single" w:sz="4" w:space="0" w:color="BDD7EE"/>
              <w:bottom w:val="single" w:sz="4" w:space="0" w:color="BDD7EE"/>
              <w:right w:val="single" w:sz="4" w:space="0" w:color="BDD7EE"/>
            </w:tcBorders>
          </w:tcPr>
          <w:p w14:paraId="2B2A74F2"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1.2.1.</w:t>
            </w:r>
          </w:p>
        </w:tc>
        <w:tc>
          <w:tcPr>
            <w:tcW w:w="2289" w:type="dxa"/>
            <w:tcBorders>
              <w:top w:val="single" w:sz="4" w:space="0" w:color="BDD7EE"/>
              <w:left w:val="single" w:sz="4" w:space="0" w:color="BDD7EE"/>
              <w:bottom w:val="single" w:sz="4" w:space="0" w:color="BDD7EE"/>
              <w:right w:val="single" w:sz="4" w:space="0" w:color="BDD7EE"/>
            </w:tcBorders>
          </w:tcPr>
          <w:p w14:paraId="16D53F5C"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 xml:space="preserve">Uspostaviti elektronsku evidenciju o svim registrima koji se vode u institucijama nad kojima prepoznati nosioci aktivnosti vrše nadzor (u cilju formiranja </w:t>
            </w:r>
            <w:r>
              <w:rPr>
                <w:rFonts w:ascii="Sitka Text" w:eastAsia="Sitka Text" w:hAnsi="Sitka Text" w:cs="Sitka Text"/>
                <w:color w:val="1F4E79"/>
              </w:rPr>
              <w:lastRenderedPageBreak/>
              <w:t>sektorskih registara i njihove prijave na Metaregistar)</w:t>
            </w:r>
          </w:p>
        </w:tc>
        <w:tc>
          <w:tcPr>
            <w:tcW w:w="2372" w:type="dxa"/>
            <w:tcBorders>
              <w:top w:val="single" w:sz="4" w:space="0" w:color="BDD7EE"/>
              <w:left w:val="single" w:sz="4" w:space="0" w:color="BDD7EE"/>
              <w:bottom w:val="single" w:sz="4" w:space="0" w:color="BDD7EE"/>
              <w:right w:val="single" w:sz="4" w:space="0" w:color="BDD7EE"/>
            </w:tcBorders>
          </w:tcPr>
          <w:p w14:paraId="0DEC5EED"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lastRenderedPageBreak/>
              <w:t>Broj evidencija sektorskih registara</w:t>
            </w:r>
          </w:p>
          <w:p w14:paraId="40026DE8"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 xml:space="preserve"> </w:t>
            </w:r>
          </w:p>
          <w:p w14:paraId="383F45E2"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p w14:paraId="6E68B874"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c>
          <w:tcPr>
            <w:tcW w:w="1530" w:type="dxa"/>
            <w:tcBorders>
              <w:top w:val="single" w:sz="4" w:space="0" w:color="BDD7EE"/>
              <w:left w:val="single" w:sz="4" w:space="0" w:color="BDD7EE"/>
              <w:bottom w:val="single" w:sz="4" w:space="0" w:color="BDD7EE"/>
              <w:right w:val="single" w:sz="4" w:space="0" w:color="BDD7EE"/>
            </w:tcBorders>
          </w:tcPr>
          <w:p w14:paraId="427933AD"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PKCG</w:t>
            </w:r>
          </w:p>
          <w:p w14:paraId="3EC03F4D"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 xml:space="preserve">MPNKS </w:t>
            </w:r>
          </w:p>
          <w:p w14:paraId="70494370"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MZD</w:t>
            </w:r>
          </w:p>
          <w:p w14:paraId="45AD110E"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MER</w:t>
            </w:r>
          </w:p>
          <w:p w14:paraId="1B74192F"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MIF</w:t>
            </w:r>
          </w:p>
          <w:p w14:paraId="4FF6E468"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lastRenderedPageBreak/>
              <w:t>EKIP</w:t>
            </w:r>
          </w:p>
          <w:p w14:paraId="4DA55CCC"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CBCG</w:t>
            </w:r>
          </w:p>
        </w:tc>
        <w:tc>
          <w:tcPr>
            <w:tcW w:w="1380" w:type="dxa"/>
            <w:gridSpan w:val="2"/>
            <w:tcBorders>
              <w:top w:val="single" w:sz="4" w:space="0" w:color="BDD7EE"/>
              <w:left w:val="single" w:sz="4" w:space="0" w:color="BDD7EE"/>
              <w:bottom w:val="single" w:sz="4" w:space="0" w:color="BDD7EE"/>
              <w:right w:val="single" w:sz="4" w:space="0" w:color="BDD7EE"/>
            </w:tcBorders>
          </w:tcPr>
          <w:p w14:paraId="5BE5D0FB"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lastRenderedPageBreak/>
              <w:t>IV kvartal 2022</w:t>
            </w:r>
          </w:p>
        </w:tc>
        <w:tc>
          <w:tcPr>
            <w:tcW w:w="1428" w:type="dxa"/>
            <w:tcBorders>
              <w:top w:val="single" w:sz="4" w:space="0" w:color="BDD7EE"/>
              <w:left w:val="single" w:sz="4" w:space="0" w:color="BDD7EE"/>
              <w:bottom w:val="single" w:sz="4" w:space="0" w:color="BDD7EE"/>
              <w:right w:val="single" w:sz="4" w:space="0" w:color="BDD7EE"/>
            </w:tcBorders>
          </w:tcPr>
          <w:p w14:paraId="1A8F02FB"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IV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7B7209D5"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Nisu potrebna sredstva</w:t>
            </w:r>
          </w:p>
        </w:tc>
        <w:tc>
          <w:tcPr>
            <w:tcW w:w="1673" w:type="dxa"/>
            <w:tcBorders>
              <w:top w:val="single" w:sz="4" w:space="0" w:color="BDD7EE"/>
              <w:left w:val="single" w:sz="4" w:space="0" w:color="BDD7EE"/>
              <w:bottom w:val="single" w:sz="4" w:space="0" w:color="BDD7EE"/>
              <w:right w:val="single" w:sz="4" w:space="0" w:color="BDD7EE"/>
            </w:tcBorders>
          </w:tcPr>
          <w:p w14:paraId="60F0287D"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r>
      <w:tr w:rsidR="005B3072" w14:paraId="76B83343" w14:textId="77777777">
        <w:tc>
          <w:tcPr>
            <w:tcW w:w="888" w:type="dxa"/>
            <w:tcBorders>
              <w:top w:val="single" w:sz="4" w:space="0" w:color="BDD7EE"/>
              <w:left w:val="single" w:sz="4" w:space="0" w:color="BDD7EE"/>
              <w:bottom w:val="single" w:sz="4" w:space="0" w:color="BDD7EE"/>
              <w:right w:val="single" w:sz="4" w:space="0" w:color="BDD7EE"/>
            </w:tcBorders>
          </w:tcPr>
          <w:p w14:paraId="68C1E68A"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lastRenderedPageBreak/>
              <w:t>1.2.2</w:t>
            </w:r>
          </w:p>
        </w:tc>
        <w:tc>
          <w:tcPr>
            <w:tcW w:w="2289" w:type="dxa"/>
            <w:tcBorders>
              <w:top w:val="single" w:sz="4" w:space="0" w:color="BDD7EE"/>
              <w:left w:val="single" w:sz="4" w:space="0" w:color="BDD7EE"/>
              <w:bottom w:val="single" w:sz="4" w:space="0" w:color="BDD7EE"/>
              <w:right w:val="single" w:sz="4" w:space="0" w:color="BDD7EE"/>
            </w:tcBorders>
          </w:tcPr>
          <w:p w14:paraId="71B62AA6"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Održavanje obuka, radionica u cilju pune primjene Zakona o upravnom postupku po principu sprovođenja upravnih aktivnosti na jednom mjestu (Obaveza prikupljanja dokumentacije po službenoj dužnosti i elektronskim putem)</w:t>
            </w:r>
          </w:p>
        </w:tc>
        <w:tc>
          <w:tcPr>
            <w:tcW w:w="2372" w:type="dxa"/>
            <w:tcBorders>
              <w:top w:val="single" w:sz="4" w:space="0" w:color="BDD7EE"/>
              <w:left w:val="single" w:sz="4" w:space="0" w:color="BDD7EE"/>
              <w:bottom w:val="single" w:sz="4" w:space="0" w:color="BDD7EE"/>
              <w:right w:val="single" w:sz="4" w:space="0" w:color="BDD7EE"/>
            </w:tcBorders>
          </w:tcPr>
          <w:p w14:paraId="748F1F6F"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 xml:space="preserve">Broj realizovanih obuka, radionica i sl. </w:t>
            </w:r>
          </w:p>
          <w:p w14:paraId="31B5CC5A"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p w14:paraId="266D693F"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p w14:paraId="4E6B537A"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c>
          <w:tcPr>
            <w:tcW w:w="1530" w:type="dxa"/>
            <w:tcBorders>
              <w:top w:val="single" w:sz="4" w:space="0" w:color="BDD7EE"/>
              <w:left w:val="single" w:sz="4" w:space="0" w:color="BDD7EE"/>
              <w:bottom w:val="single" w:sz="4" w:space="0" w:color="BDD7EE"/>
              <w:right w:val="single" w:sz="4" w:space="0" w:color="BDD7EE"/>
            </w:tcBorders>
          </w:tcPr>
          <w:p w14:paraId="066E5500"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UZK</w:t>
            </w:r>
          </w:p>
          <w:p w14:paraId="51BFA722"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MJUDDM</w:t>
            </w:r>
          </w:p>
          <w:p w14:paraId="407B9DCA"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p w14:paraId="61613170" w14:textId="77777777" w:rsidR="005B3072" w:rsidRDefault="005B3072">
            <w:pPr>
              <w:pBdr>
                <w:top w:val="nil"/>
                <w:left w:val="nil"/>
                <w:bottom w:val="nil"/>
                <w:right w:val="nil"/>
                <w:between w:val="nil"/>
              </w:pBdr>
              <w:spacing w:before="20" w:after="240"/>
              <w:rPr>
                <w:rFonts w:ascii="Sitka Text" w:eastAsia="Sitka Text" w:hAnsi="Sitka Text" w:cs="Sitka Text"/>
                <w:color w:val="1F4E79"/>
              </w:rPr>
            </w:pPr>
          </w:p>
        </w:tc>
        <w:tc>
          <w:tcPr>
            <w:tcW w:w="1380" w:type="dxa"/>
            <w:gridSpan w:val="2"/>
            <w:tcBorders>
              <w:top w:val="single" w:sz="4" w:space="0" w:color="BDD7EE"/>
              <w:left w:val="single" w:sz="4" w:space="0" w:color="BDD7EE"/>
              <w:bottom w:val="single" w:sz="4" w:space="0" w:color="BDD7EE"/>
              <w:right w:val="single" w:sz="4" w:space="0" w:color="BDD7EE"/>
            </w:tcBorders>
          </w:tcPr>
          <w:p w14:paraId="68B27478"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 kvartal 2022</w:t>
            </w:r>
          </w:p>
        </w:tc>
        <w:tc>
          <w:tcPr>
            <w:tcW w:w="1428" w:type="dxa"/>
            <w:tcBorders>
              <w:top w:val="single" w:sz="4" w:space="0" w:color="BDD7EE"/>
              <w:left w:val="single" w:sz="4" w:space="0" w:color="BDD7EE"/>
              <w:bottom w:val="single" w:sz="4" w:space="0" w:color="BDD7EE"/>
              <w:right w:val="single" w:sz="4" w:space="0" w:color="BDD7EE"/>
            </w:tcBorders>
          </w:tcPr>
          <w:p w14:paraId="212B172E"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IV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0D2515A8"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10.000 €</w:t>
            </w:r>
          </w:p>
        </w:tc>
        <w:tc>
          <w:tcPr>
            <w:tcW w:w="1673" w:type="dxa"/>
            <w:tcBorders>
              <w:top w:val="single" w:sz="4" w:space="0" w:color="BDD7EE"/>
              <w:left w:val="single" w:sz="4" w:space="0" w:color="BDD7EE"/>
              <w:bottom w:val="single" w:sz="4" w:space="0" w:color="BDD7EE"/>
              <w:right w:val="single" w:sz="4" w:space="0" w:color="BDD7EE"/>
            </w:tcBorders>
          </w:tcPr>
          <w:p w14:paraId="62BC8E9E" w14:textId="77777777" w:rsidR="005B3072" w:rsidRDefault="00A46913">
            <w:pPr>
              <w:pBdr>
                <w:top w:val="nil"/>
                <w:left w:val="nil"/>
                <w:bottom w:val="nil"/>
                <w:right w:val="nil"/>
                <w:between w:val="nil"/>
              </w:pBdr>
              <w:spacing w:before="20" w:after="240"/>
              <w:rPr>
                <w:rFonts w:ascii="Sitka Text" w:eastAsia="Sitka Text" w:hAnsi="Sitka Text" w:cs="Sitka Text"/>
                <w:color w:val="1F4E79"/>
              </w:rPr>
            </w:pPr>
            <w:r>
              <w:rPr>
                <w:rFonts w:ascii="Sitka Text" w:eastAsia="Sitka Text" w:hAnsi="Sitka Text" w:cs="Sitka Text"/>
                <w:color w:val="1F4E79"/>
              </w:rPr>
              <w:t>Budžet CG</w:t>
            </w:r>
          </w:p>
        </w:tc>
      </w:tr>
      <w:tr w:rsidR="005B3072" w14:paraId="58732833" w14:textId="77777777">
        <w:trPr>
          <w:trHeight w:val="1350"/>
        </w:trPr>
        <w:tc>
          <w:tcPr>
            <w:tcW w:w="888" w:type="dxa"/>
            <w:tcBorders>
              <w:top w:val="single" w:sz="4" w:space="0" w:color="BDD7EE"/>
              <w:left w:val="single" w:sz="4" w:space="0" w:color="BDD7EE"/>
              <w:bottom w:val="single" w:sz="4" w:space="0" w:color="BDD7EE"/>
              <w:right w:val="single" w:sz="4" w:space="0" w:color="BDD7EE"/>
            </w:tcBorders>
          </w:tcPr>
          <w:p w14:paraId="139398D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1.2.3</w:t>
            </w:r>
          </w:p>
        </w:tc>
        <w:tc>
          <w:tcPr>
            <w:tcW w:w="2289" w:type="dxa"/>
            <w:tcBorders>
              <w:top w:val="single" w:sz="4" w:space="0" w:color="BDD7EE"/>
              <w:left w:val="single" w:sz="4" w:space="0" w:color="BDD7EE"/>
              <w:bottom w:val="single" w:sz="4" w:space="0" w:color="BDD7EE"/>
              <w:right w:val="single" w:sz="4" w:space="0" w:color="BDD7EE"/>
            </w:tcBorders>
          </w:tcPr>
          <w:p w14:paraId="205A26A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analiza trenutnog stanja sistema u cilju efikasnije automatizacije i lakše upotrebe sistema JSERP</w:t>
            </w:r>
          </w:p>
        </w:tc>
        <w:tc>
          <w:tcPr>
            <w:tcW w:w="2372" w:type="dxa"/>
            <w:tcBorders>
              <w:top w:val="single" w:sz="4" w:space="0" w:color="BDD7EE"/>
              <w:left w:val="single" w:sz="4" w:space="0" w:color="BDD7EE"/>
              <w:bottom w:val="single" w:sz="4" w:space="0" w:color="BDD7EE"/>
              <w:right w:val="single" w:sz="4" w:space="0" w:color="BDD7EE"/>
            </w:tcBorders>
          </w:tcPr>
          <w:p w14:paraId="3D88916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Analiza je izrađena</w:t>
            </w:r>
          </w:p>
        </w:tc>
        <w:tc>
          <w:tcPr>
            <w:tcW w:w="1530" w:type="dxa"/>
            <w:tcBorders>
              <w:top w:val="single" w:sz="4" w:space="0" w:color="BDD7EE"/>
              <w:left w:val="single" w:sz="4" w:space="0" w:color="BDD7EE"/>
              <w:bottom w:val="single" w:sz="4" w:space="0" w:color="BDD7EE"/>
              <w:right w:val="single" w:sz="4" w:space="0" w:color="BDD7EE"/>
            </w:tcBorders>
          </w:tcPr>
          <w:p w14:paraId="3B3F0EF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380" w:type="dxa"/>
            <w:gridSpan w:val="2"/>
            <w:tcBorders>
              <w:top w:val="single" w:sz="4" w:space="0" w:color="BDD7EE"/>
              <w:left w:val="single" w:sz="4" w:space="0" w:color="BDD7EE"/>
              <w:bottom w:val="single" w:sz="4" w:space="0" w:color="BDD7EE"/>
              <w:right w:val="single" w:sz="4" w:space="0" w:color="BDD7EE"/>
            </w:tcBorders>
          </w:tcPr>
          <w:p w14:paraId="7D2EA8F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28" w:type="dxa"/>
            <w:tcBorders>
              <w:top w:val="single" w:sz="4" w:space="0" w:color="BDD7EE"/>
              <w:left w:val="single" w:sz="4" w:space="0" w:color="BDD7EE"/>
              <w:bottom w:val="single" w:sz="4" w:space="0" w:color="BDD7EE"/>
              <w:right w:val="single" w:sz="4" w:space="0" w:color="BDD7EE"/>
            </w:tcBorders>
          </w:tcPr>
          <w:p w14:paraId="0215209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7F90FDE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15.000 €</w:t>
            </w:r>
          </w:p>
        </w:tc>
        <w:tc>
          <w:tcPr>
            <w:tcW w:w="1673" w:type="dxa"/>
            <w:tcBorders>
              <w:top w:val="single" w:sz="4" w:space="0" w:color="BDD7EE"/>
              <w:left w:val="single" w:sz="4" w:space="0" w:color="BDD7EE"/>
              <w:bottom w:val="single" w:sz="4" w:space="0" w:color="BDD7EE"/>
              <w:right w:val="single" w:sz="4" w:space="0" w:color="BDD7EE"/>
            </w:tcBorders>
          </w:tcPr>
          <w:p w14:paraId="7868683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tc>
      </w:tr>
      <w:tr w:rsidR="005B3072" w14:paraId="6C97A70C" w14:textId="77777777">
        <w:tc>
          <w:tcPr>
            <w:tcW w:w="888" w:type="dxa"/>
            <w:tcBorders>
              <w:top w:val="single" w:sz="4" w:space="0" w:color="BDD7EE"/>
              <w:left w:val="single" w:sz="4" w:space="0" w:color="BDD7EE"/>
              <w:bottom w:val="single" w:sz="4" w:space="0" w:color="BDD7EE"/>
              <w:right w:val="single" w:sz="4" w:space="0" w:color="BDD7EE"/>
            </w:tcBorders>
          </w:tcPr>
          <w:p w14:paraId="54DA101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1.2.4</w:t>
            </w:r>
          </w:p>
        </w:tc>
        <w:tc>
          <w:tcPr>
            <w:tcW w:w="2289" w:type="dxa"/>
            <w:tcBorders>
              <w:top w:val="single" w:sz="4" w:space="0" w:color="BDD7EE"/>
              <w:left w:val="single" w:sz="4" w:space="0" w:color="BDD7EE"/>
              <w:bottom w:val="single" w:sz="4" w:space="0" w:color="BDD7EE"/>
              <w:right w:val="single" w:sz="4" w:space="0" w:color="BDD7EE"/>
            </w:tcBorders>
          </w:tcPr>
          <w:p w14:paraId="4CA8C50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Uspostavljanje novih funkcionalnosti sistema JSERP na </w:t>
            </w:r>
            <w:r>
              <w:rPr>
                <w:rFonts w:ascii="Sitka Text" w:eastAsia="Sitka Text" w:hAnsi="Sitka Text" w:cs="Sitka Text"/>
                <w:color w:val="1F4E79"/>
              </w:rPr>
              <w:lastRenderedPageBreak/>
              <w:t>osnovu prethodno sprovedenih analiza</w:t>
            </w:r>
          </w:p>
        </w:tc>
        <w:tc>
          <w:tcPr>
            <w:tcW w:w="2372" w:type="dxa"/>
            <w:tcBorders>
              <w:top w:val="single" w:sz="4" w:space="0" w:color="BDD7EE"/>
              <w:left w:val="single" w:sz="4" w:space="0" w:color="BDD7EE"/>
              <w:bottom w:val="single" w:sz="4" w:space="0" w:color="BDD7EE"/>
              <w:right w:val="single" w:sz="4" w:space="0" w:color="BDD7EE"/>
            </w:tcBorders>
          </w:tcPr>
          <w:p w14:paraId="019AB87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Broj upita od strane građana za uvid u sopstvene podatke</w:t>
            </w:r>
          </w:p>
          <w:p w14:paraId="27A385C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Omogućen uvid u posebne sistemske evidencije - radi provere da li neko neovlašćeno pregledava podatke o građanima</w:t>
            </w:r>
          </w:p>
        </w:tc>
        <w:tc>
          <w:tcPr>
            <w:tcW w:w="1530" w:type="dxa"/>
            <w:tcBorders>
              <w:top w:val="single" w:sz="4" w:space="0" w:color="BDD7EE"/>
              <w:left w:val="single" w:sz="4" w:space="0" w:color="BDD7EE"/>
              <w:bottom w:val="single" w:sz="4" w:space="0" w:color="BDD7EE"/>
              <w:right w:val="single" w:sz="4" w:space="0" w:color="BDD7EE"/>
            </w:tcBorders>
          </w:tcPr>
          <w:p w14:paraId="4750B16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MJUDDM</w:t>
            </w:r>
          </w:p>
        </w:tc>
        <w:tc>
          <w:tcPr>
            <w:tcW w:w="1380" w:type="dxa"/>
            <w:gridSpan w:val="2"/>
            <w:tcBorders>
              <w:top w:val="single" w:sz="4" w:space="0" w:color="BDD7EE"/>
              <w:left w:val="single" w:sz="4" w:space="0" w:color="BDD7EE"/>
              <w:bottom w:val="single" w:sz="4" w:space="0" w:color="BDD7EE"/>
              <w:right w:val="single" w:sz="4" w:space="0" w:color="BDD7EE"/>
            </w:tcBorders>
          </w:tcPr>
          <w:p w14:paraId="7DB2E75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428" w:type="dxa"/>
            <w:tcBorders>
              <w:top w:val="single" w:sz="4" w:space="0" w:color="BDD7EE"/>
              <w:left w:val="single" w:sz="4" w:space="0" w:color="BDD7EE"/>
              <w:bottom w:val="single" w:sz="4" w:space="0" w:color="BDD7EE"/>
              <w:right w:val="single" w:sz="4" w:space="0" w:color="BDD7EE"/>
            </w:tcBorders>
          </w:tcPr>
          <w:p w14:paraId="5362D79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11F6938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Nije moguća procjena sredstava </w:t>
            </w:r>
            <w:r>
              <w:rPr>
                <w:rFonts w:ascii="Sitka Text" w:eastAsia="Sitka Text" w:hAnsi="Sitka Text" w:cs="Sitka Text"/>
                <w:color w:val="1F4E79"/>
              </w:rPr>
              <w:lastRenderedPageBreak/>
              <w:t>dok se ne uradi Analiza</w:t>
            </w:r>
          </w:p>
        </w:tc>
        <w:tc>
          <w:tcPr>
            <w:tcW w:w="1673" w:type="dxa"/>
            <w:tcBorders>
              <w:top w:val="single" w:sz="4" w:space="0" w:color="BDD7EE"/>
              <w:left w:val="single" w:sz="4" w:space="0" w:color="BDD7EE"/>
              <w:bottom w:val="single" w:sz="4" w:space="0" w:color="BDD7EE"/>
              <w:right w:val="single" w:sz="4" w:space="0" w:color="BDD7EE"/>
            </w:tcBorders>
          </w:tcPr>
          <w:p w14:paraId="3B87692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Donacija DEU</w:t>
            </w:r>
          </w:p>
          <w:p w14:paraId="54DAE53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7494FAD6" w14:textId="77777777">
        <w:tc>
          <w:tcPr>
            <w:tcW w:w="888" w:type="dxa"/>
            <w:tcBorders>
              <w:top w:val="single" w:sz="4" w:space="0" w:color="BDD7EE"/>
              <w:left w:val="single" w:sz="4" w:space="0" w:color="BDD7EE"/>
              <w:bottom w:val="single" w:sz="4" w:space="0" w:color="BDD7EE"/>
              <w:right w:val="single" w:sz="4" w:space="0" w:color="BDD7EE"/>
            </w:tcBorders>
          </w:tcPr>
          <w:p w14:paraId="10F0692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1.2.5</w:t>
            </w:r>
          </w:p>
        </w:tc>
        <w:tc>
          <w:tcPr>
            <w:tcW w:w="2289" w:type="dxa"/>
            <w:tcBorders>
              <w:top w:val="single" w:sz="4" w:space="0" w:color="BDD7EE"/>
              <w:left w:val="single" w:sz="4" w:space="0" w:color="BDD7EE"/>
              <w:bottom w:val="single" w:sz="4" w:space="0" w:color="BDD7EE"/>
              <w:right w:val="single" w:sz="4" w:space="0" w:color="BDD7EE"/>
            </w:tcBorders>
          </w:tcPr>
          <w:p w14:paraId="71FFB9E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liste standarda tehničke interoperabilnosti (uključujući demografske karakteristike korisnika)</w:t>
            </w:r>
          </w:p>
        </w:tc>
        <w:tc>
          <w:tcPr>
            <w:tcW w:w="2372" w:type="dxa"/>
            <w:tcBorders>
              <w:top w:val="single" w:sz="4" w:space="0" w:color="BDD7EE"/>
              <w:left w:val="single" w:sz="4" w:space="0" w:color="BDD7EE"/>
              <w:bottom w:val="single" w:sz="4" w:space="0" w:color="BDD7EE"/>
              <w:right w:val="single" w:sz="4" w:space="0" w:color="BDD7EE"/>
            </w:tcBorders>
          </w:tcPr>
          <w:p w14:paraId="7A8B31C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Izrađena lista</w:t>
            </w:r>
          </w:p>
        </w:tc>
        <w:tc>
          <w:tcPr>
            <w:tcW w:w="1530" w:type="dxa"/>
            <w:tcBorders>
              <w:top w:val="single" w:sz="4" w:space="0" w:color="BDD7EE"/>
              <w:left w:val="single" w:sz="4" w:space="0" w:color="BDD7EE"/>
              <w:bottom w:val="single" w:sz="4" w:space="0" w:color="BDD7EE"/>
              <w:right w:val="single" w:sz="4" w:space="0" w:color="BDD7EE"/>
            </w:tcBorders>
          </w:tcPr>
          <w:p w14:paraId="4902548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380" w:type="dxa"/>
            <w:gridSpan w:val="2"/>
            <w:tcBorders>
              <w:top w:val="single" w:sz="4" w:space="0" w:color="BDD7EE"/>
              <w:left w:val="single" w:sz="4" w:space="0" w:color="BDD7EE"/>
              <w:bottom w:val="single" w:sz="4" w:space="0" w:color="BDD7EE"/>
              <w:right w:val="single" w:sz="4" w:space="0" w:color="BDD7EE"/>
            </w:tcBorders>
          </w:tcPr>
          <w:p w14:paraId="7971646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28" w:type="dxa"/>
            <w:tcBorders>
              <w:top w:val="single" w:sz="4" w:space="0" w:color="BDD7EE"/>
              <w:left w:val="single" w:sz="4" w:space="0" w:color="BDD7EE"/>
              <w:bottom w:val="single" w:sz="4" w:space="0" w:color="BDD7EE"/>
              <w:right w:val="single" w:sz="4" w:space="0" w:color="BDD7EE"/>
            </w:tcBorders>
          </w:tcPr>
          <w:p w14:paraId="0E26C24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7FF8E50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10.000 €</w:t>
            </w:r>
          </w:p>
        </w:tc>
        <w:tc>
          <w:tcPr>
            <w:tcW w:w="1673" w:type="dxa"/>
            <w:tcBorders>
              <w:top w:val="single" w:sz="4" w:space="0" w:color="BDD7EE"/>
              <w:left w:val="single" w:sz="4" w:space="0" w:color="BDD7EE"/>
              <w:bottom w:val="single" w:sz="4" w:space="0" w:color="BDD7EE"/>
              <w:right w:val="single" w:sz="4" w:space="0" w:color="BDD7EE"/>
            </w:tcBorders>
          </w:tcPr>
          <w:p w14:paraId="0A7639D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3499C3AB" w14:textId="77777777">
        <w:tc>
          <w:tcPr>
            <w:tcW w:w="888" w:type="dxa"/>
            <w:tcBorders>
              <w:top w:val="single" w:sz="4" w:space="0" w:color="BDD7EE"/>
              <w:left w:val="single" w:sz="4" w:space="0" w:color="BDD7EE"/>
              <w:bottom w:val="single" w:sz="4" w:space="0" w:color="BDD7EE"/>
              <w:right w:val="single" w:sz="4" w:space="0" w:color="BDD7EE"/>
            </w:tcBorders>
          </w:tcPr>
          <w:p w14:paraId="1267E3D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1.2.6</w:t>
            </w:r>
          </w:p>
        </w:tc>
        <w:tc>
          <w:tcPr>
            <w:tcW w:w="2289" w:type="dxa"/>
            <w:tcBorders>
              <w:top w:val="single" w:sz="4" w:space="0" w:color="BDD7EE"/>
              <w:left w:val="single" w:sz="4" w:space="0" w:color="BDD7EE"/>
              <w:bottom w:val="single" w:sz="4" w:space="0" w:color="BDD7EE"/>
              <w:right w:val="single" w:sz="4" w:space="0" w:color="BDD7EE"/>
            </w:tcBorders>
          </w:tcPr>
          <w:p w14:paraId="369DACD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Razviti smjernice u obliku vodiča za i institucije, kao pružalaca ili potrošača usluga JSERP (u skladu sa DEI principima)</w:t>
            </w:r>
          </w:p>
        </w:tc>
        <w:tc>
          <w:tcPr>
            <w:tcW w:w="2372" w:type="dxa"/>
            <w:tcBorders>
              <w:top w:val="single" w:sz="4" w:space="0" w:color="BDD7EE"/>
              <w:left w:val="single" w:sz="4" w:space="0" w:color="BDD7EE"/>
              <w:bottom w:val="single" w:sz="4" w:space="0" w:color="BDD7EE"/>
              <w:right w:val="single" w:sz="4" w:space="0" w:color="BDD7EE"/>
            </w:tcBorders>
          </w:tcPr>
          <w:p w14:paraId="59FD85B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Smjernice izrađene</w:t>
            </w:r>
          </w:p>
        </w:tc>
        <w:tc>
          <w:tcPr>
            <w:tcW w:w="1530" w:type="dxa"/>
            <w:tcBorders>
              <w:top w:val="single" w:sz="4" w:space="0" w:color="BDD7EE"/>
              <w:left w:val="single" w:sz="4" w:space="0" w:color="BDD7EE"/>
              <w:bottom w:val="single" w:sz="4" w:space="0" w:color="BDD7EE"/>
              <w:right w:val="single" w:sz="4" w:space="0" w:color="BDD7EE"/>
            </w:tcBorders>
          </w:tcPr>
          <w:p w14:paraId="6E0042E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380" w:type="dxa"/>
            <w:gridSpan w:val="2"/>
            <w:tcBorders>
              <w:top w:val="single" w:sz="4" w:space="0" w:color="BDD7EE"/>
              <w:left w:val="single" w:sz="4" w:space="0" w:color="BDD7EE"/>
              <w:bottom w:val="single" w:sz="4" w:space="0" w:color="BDD7EE"/>
              <w:right w:val="single" w:sz="4" w:space="0" w:color="BDD7EE"/>
            </w:tcBorders>
          </w:tcPr>
          <w:p w14:paraId="1B138E4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428" w:type="dxa"/>
            <w:tcBorders>
              <w:top w:val="single" w:sz="4" w:space="0" w:color="BDD7EE"/>
              <w:left w:val="single" w:sz="4" w:space="0" w:color="BDD7EE"/>
              <w:bottom w:val="single" w:sz="4" w:space="0" w:color="BDD7EE"/>
              <w:right w:val="single" w:sz="4" w:space="0" w:color="BDD7EE"/>
            </w:tcBorders>
          </w:tcPr>
          <w:p w14:paraId="58471FE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3B9EB08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3.000 €</w:t>
            </w:r>
          </w:p>
        </w:tc>
        <w:tc>
          <w:tcPr>
            <w:tcW w:w="1673" w:type="dxa"/>
            <w:tcBorders>
              <w:top w:val="single" w:sz="4" w:space="0" w:color="BDD7EE"/>
              <w:left w:val="single" w:sz="4" w:space="0" w:color="BDD7EE"/>
              <w:bottom w:val="single" w:sz="4" w:space="0" w:color="BDD7EE"/>
              <w:right w:val="single" w:sz="4" w:space="0" w:color="BDD7EE"/>
            </w:tcBorders>
          </w:tcPr>
          <w:p w14:paraId="51E761A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3BF7BC06" w14:textId="77777777">
        <w:tc>
          <w:tcPr>
            <w:tcW w:w="3177" w:type="dxa"/>
            <w:gridSpan w:val="2"/>
            <w:tcBorders>
              <w:top w:val="single" w:sz="4" w:space="0" w:color="BDD7EE"/>
              <w:bottom w:val="single" w:sz="4" w:space="0" w:color="BDD7EE"/>
            </w:tcBorders>
            <w:shd w:val="clear" w:color="auto" w:fill="B4C6E7"/>
          </w:tcPr>
          <w:p w14:paraId="09F450F7"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6" w:type="dxa"/>
            <w:gridSpan w:val="8"/>
            <w:tcBorders>
              <w:top w:val="single" w:sz="4" w:space="0" w:color="BDD7EE"/>
              <w:bottom w:val="single" w:sz="4" w:space="0" w:color="BDD7EE"/>
            </w:tcBorders>
            <w:shd w:val="clear" w:color="auto" w:fill="B4C6E7"/>
          </w:tcPr>
          <w:p w14:paraId="7CD2BF09"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Promocija mogućnosti upotrebe i inovacija na osnovu otvorenih podataka</w:t>
            </w:r>
          </w:p>
        </w:tc>
      </w:tr>
      <w:tr w:rsidR="005B3072" w14:paraId="18700ECF" w14:textId="77777777">
        <w:tc>
          <w:tcPr>
            <w:tcW w:w="3177"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29F5007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72"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3720416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3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6B79FAA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191207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428"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797931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3"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CF341C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7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6B2F80E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0D9AE7D2" w14:textId="77777777">
        <w:tc>
          <w:tcPr>
            <w:tcW w:w="888" w:type="dxa"/>
            <w:tcBorders>
              <w:top w:val="single" w:sz="4" w:space="0" w:color="BDD7EE"/>
              <w:left w:val="single" w:sz="4" w:space="0" w:color="BDD7EE"/>
              <w:bottom w:val="single" w:sz="4" w:space="0" w:color="BDD7EE"/>
              <w:right w:val="single" w:sz="4" w:space="0" w:color="BDD7EE"/>
            </w:tcBorders>
          </w:tcPr>
          <w:p w14:paraId="1DF4D16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1.2.7</w:t>
            </w:r>
          </w:p>
        </w:tc>
        <w:tc>
          <w:tcPr>
            <w:tcW w:w="2289" w:type="dxa"/>
            <w:tcBorders>
              <w:top w:val="single" w:sz="4" w:space="0" w:color="BDD7EE"/>
              <w:left w:val="single" w:sz="4" w:space="0" w:color="BDD7EE"/>
              <w:bottom w:val="single" w:sz="4" w:space="0" w:color="BDD7EE"/>
              <w:right w:val="single" w:sz="4" w:space="0" w:color="BDD7EE"/>
            </w:tcBorders>
          </w:tcPr>
          <w:p w14:paraId="54110FD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Unapređenje smjernica za objavljivanje </w:t>
            </w:r>
            <w:r>
              <w:rPr>
                <w:rFonts w:ascii="Sitka Text" w:eastAsia="Sitka Text" w:hAnsi="Sitka Text" w:cs="Sitka Text"/>
                <w:color w:val="1F4E79"/>
              </w:rPr>
              <w:lastRenderedPageBreak/>
              <w:t>podataka u otvorenom formatu</w:t>
            </w:r>
          </w:p>
        </w:tc>
        <w:tc>
          <w:tcPr>
            <w:tcW w:w="2372" w:type="dxa"/>
            <w:tcBorders>
              <w:top w:val="single" w:sz="4" w:space="0" w:color="BDD7EE"/>
              <w:left w:val="single" w:sz="4" w:space="0" w:color="BDD7EE"/>
              <w:bottom w:val="single" w:sz="4" w:space="0" w:color="BDD7EE"/>
              <w:right w:val="single" w:sz="4" w:space="0" w:color="BDD7EE"/>
            </w:tcBorders>
          </w:tcPr>
          <w:p w14:paraId="2D9A6FC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Unaprijeđene smjernice</w:t>
            </w:r>
          </w:p>
        </w:tc>
        <w:tc>
          <w:tcPr>
            <w:tcW w:w="1530" w:type="dxa"/>
            <w:tcBorders>
              <w:top w:val="single" w:sz="4" w:space="0" w:color="BDD7EE"/>
              <w:left w:val="single" w:sz="4" w:space="0" w:color="BDD7EE"/>
              <w:bottom w:val="single" w:sz="4" w:space="0" w:color="BDD7EE"/>
              <w:right w:val="single" w:sz="4" w:space="0" w:color="BDD7EE"/>
            </w:tcBorders>
          </w:tcPr>
          <w:p w14:paraId="18BEB44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380" w:type="dxa"/>
            <w:gridSpan w:val="2"/>
            <w:tcBorders>
              <w:top w:val="single" w:sz="4" w:space="0" w:color="BDD7EE"/>
              <w:left w:val="single" w:sz="4" w:space="0" w:color="BDD7EE"/>
              <w:bottom w:val="single" w:sz="4" w:space="0" w:color="BDD7EE"/>
              <w:right w:val="single" w:sz="4" w:space="0" w:color="BDD7EE"/>
            </w:tcBorders>
          </w:tcPr>
          <w:p w14:paraId="6716EE3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428" w:type="dxa"/>
            <w:tcBorders>
              <w:top w:val="single" w:sz="4" w:space="0" w:color="BDD7EE"/>
              <w:left w:val="single" w:sz="4" w:space="0" w:color="BDD7EE"/>
              <w:bottom w:val="single" w:sz="4" w:space="0" w:color="BDD7EE"/>
              <w:right w:val="single" w:sz="4" w:space="0" w:color="BDD7EE"/>
            </w:tcBorders>
          </w:tcPr>
          <w:p w14:paraId="75BDBFC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0B73CCB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2.000 €</w:t>
            </w:r>
          </w:p>
        </w:tc>
        <w:tc>
          <w:tcPr>
            <w:tcW w:w="1673" w:type="dxa"/>
            <w:tcBorders>
              <w:top w:val="single" w:sz="4" w:space="0" w:color="BDD7EE"/>
              <w:left w:val="single" w:sz="4" w:space="0" w:color="BDD7EE"/>
              <w:bottom w:val="single" w:sz="4" w:space="0" w:color="BDD7EE"/>
              <w:right w:val="single" w:sz="4" w:space="0" w:color="BDD7EE"/>
            </w:tcBorders>
          </w:tcPr>
          <w:p w14:paraId="7480D5E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7F513315" w14:textId="77777777">
        <w:tc>
          <w:tcPr>
            <w:tcW w:w="888" w:type="dxa"/>
            <w:tcBorders>
              <w:top w:val="single" w:sz="4" w:space="0" w:color="BDD7EE"/>
              <w:left w:val="single" w:sz="4" w:space="0" w:color="BDD7EE"/>
              <w:bottom w:val="single" w:sz="4" w:space="0" w:color="BDD7EE"/>
              <w:right w:val="single" w:sz="4" w:space="0" w:color="BDD7EE"/>
            </w:tcBorders>
          </w:tcPr>
          <w:p w14:paraId="0ABC222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1.2.8</w:t>
            </w:r>
          </w:p>
        </w:tc>
        <w:tc>
          <w:tcPr>
            <w:tcW w:w="2289" w:type="dxa"/>
            <w:tcBorders>
              <w:top w:val="single" w:sz="4" w:space="0" w:color="BDD7EE"/>
              <w:left w:val="single" w:sz="4" w:space="0" w:color="BDD7EE"/>
              <w:bottom w:val="single" w:sz="4" w:space="0" w:color="BDD7EE"/>
              <w:right w:val="single" w:sz="4" w:space="0" w:color="BDD7EE"/>
            </w:tcBorders>
          </w:tcPr>
          <w:p w14:paraId="6E771B3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Održavanje hackathona za poslovne zajednice i startapove za stvaranje inovativnih rješenja uz korišćenje otvorenih podataka</w:t>
            </w:r>
          </w:p>
        </w:tc>
        <w:tc>
          <w:tcPr>
            <w:tcW w:w="2372" w:type="dxa"/>
            <w:tcBorders>
              <w:top w:val="single" w:sz="4" w:space="0" w:color="BDD7EE"/>
              <w:left w:val="single" w:sz="4" w:space="0" w:color="BDD7EE"/>
              <w:bottom w:val="single" w:sz="4" w:space="0" w:color="BDD7EE"/>
              <w:right w:val="single" w:sz="4" w:space="0" w:color="BDD7EE"/>
            </w:tcBorders>
          </w:tcPr>
          <w:p w14:paraId="6A5C002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Održan jedan hakaton </w:t>
            </w:r>
          </w:p>
        </w:tc>
        <w:tc>
          <w:tcPr>
            <w:tcW w:w="1530" w:type="dxa"/>
            <w:tcBorders>
              <w:top w:val="single" w:sz="4" w:space="0" w:color="BDD7EE"/>
              <w:left w:val="single" w:sz="4" w:space="0" w:color="BDD7EE"/>
              <w:bottom w:val="single" w:sz="4" w:space="0" w:color="BDD7EE"/>
              <w:right w:val="single" w:sz="4" w:space="0" w:color="BDD7EE"/>
            </w:tcBorders>
          </w:tcPr>
          <w:p w14:paraId="667E6C5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1B0E80AD" w14:textId="77777777" w:rsidR="005B3072" w:rsidRDefault="00A46913">
            <w:pPr>
              <w:pBdr>
                <w:top w:val="nil"/>
                <w:left w:val="nil"/>
                <w:bottom w:val="nil"/>
                <w:right w:val="nil"/>
                <w:between w:val="nil"/>
              </w:pBdr>
              <w:spacing w:before="20"/>
              <w:rPr>
                <w:rFonts w:ascii="Sitka Text" w:eastAsia="Sitka Text" w:hAnsi="Sitka Text" w:cs="Sitka Text"/>
                <w:color w:val="FF0000"/>
              </w:rPr>
            </w:pPr>
            <w:r>
              <w:rPr>
                <w:rFonts w:ascii="Sitka Text" w:eastAsia="Sitka Text" w:hAnsi="Sitka Text" w:cs="Sitka Text"/>
                <w:color w:val="1F4E79"/>
              </w:rPr>
              <w:t>PKCG</w:t>
            </w:r>
          </w:p>
          <w:p w14:paraId="166B1C21"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80" w:type="dxa"/>
            <w:gridSpan w:val="2"/>
            <w:tcBorders>
              <w:top w:val="single" w:sz="4" w:space="0" w:color="BDD7EE"/>
              <w:left w:val="single" w:sz="4" w:space="0" w:color="BDD7EE"/>
              <w:bottom w:val="single" w:sz="4" w:space="0" w:color="BDD7EE"/>
              <w:right w:val="single" w:sz="4" w:space="0" w:color="BDD7EE"/>
            </w:tcBorders>
          </w:tcPr>
          <w:p w14:paraId="2622E91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2023</w:t>
            </w:r>
          </w:p>
        </w:tc>
        <w:tc>
          <w:tcPr>
            <w:tcW w:w="1428" w:type="dxa"/>
            <w:tcBorders>
              <w:top w:val="single" w:sz="4" w:space="0" w:color="BDD7EE"/>
              <w:left w:val="single" w:sz="4" w:space="0" w:color="BDD7EE"/>
              <w:bottom w:val="single" w:sz="4" w:space="0" w:color="BDD7EE"/>
              <w:right w:val="single" w:sz="4" w:space="0" w:color="BDD7EE"/>
            </w:tcBorders>
          </w:tcPr>
          <w:p w14:paraId="24540B2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473D29D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6.000 €</w:t>
            </w:r>
          </w:p>
        </w:tc>
        <w:tc>
          <w:tcPr>
            <w:tcW w:w="1673" w:type="dxa"/>
            <w:tcBorders>
              <w:top w:val="single" w:sz="4" w:space="0" w:color="BDD7EE"/>
              <w:left w:val="single" w:sz="4" w:space="0" w:color="BDD7EE"/>
              <w:bottom w:val="single" w:sz="4" w:space="0" w:color="BDD7EE"/>
              <w:right w:val="single" w:sz="4" w:space="0" w:color="BDD7EE"/>
            </w:tcBorders>
          </w:tcPr>
          <w:p w14:paraId="107BFAC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526C58B9" w14:textId="77777777">
        <w:tc>
          <w:tcPr>
            <w:tcW w:w="888" w:type="dxa"/>
            <w:tcBorders>
              <w:top w:val="single" w:sz="4" w:space="0" w:color="BDD7EE"/>
              <w:left w:val="single" w:sz="4" w:space="0" w:color="BDD7EE"/>
              <w:bottom w:val="single" w:sz="4" w:space="0" w:color="BDD7EE"/>
              <w:right w:val="single" w:sz="4" w:space="0" w:color="BDD7EE"/>
            </w:tcBorders>
          </w:tcPr>
          <w:p w14:paraId="692197B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1.2.9</w:t>
            </w:r>
          </w:p>
        </w:tc>
        <w:tc>
          <w:tcPr>
            <w:tcW w:w="2289" w:type="dxa"/>
            <w:tcBorders>
              <w:top w:val="single" w:sz="4" w:space="0" w:color="BDD7EE"/>
              <w:left w:val="single" w:sz="4" w:space="0" w:color="BDD7EE"/>
              <w:bottom w:val="single" w:sz="4" w:space="0" w:color="BDD7EE"/>
              <w:right w:val="single" w:sz="4" w:space="0" w:color="BDD7EE"/>
            </w:tcBorders>
            <w:vAlign w:val="bottom"/>
          </w:tcPr>
          <w:p w14:paraId="48C59D9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Identifikovanje i objavljivanje primjera inspirativnih praksi za inovativno korišćenje otvorenih podataka u Crnoj Gori i Evropskoj uniji</w:t>
            </w:r>
          </w:p>
        </w:tc>
        <w:tc>
          <w:tcPr>
            <w:tcW w:w="2372" w:type="dxa"/>
            <w:tcBorders>
              <w:top w:val="single" w:sz="4" w:space="0" w:color="BDD7EE"/>
              <w:left w:val="single" w:sz="4" w:space="0" w:color="BDD7EE"/>
              <w:bottom w:val="single" w:sz="4" w:space="0" w:color="BDD7EE"/>
              <w:right w:val="single" w:sz="4" w:space="0" w:color="BDD7EE"/>
            </w:tcBorders>
            <w:vAlign w:val="bottom"/>
          </w:tcPr>
          <w:p w14:paraId="603BBBD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Objavljen online dokument: Prikaz inovativnih praksi uz informaciju sa preporukama za unapređenje korišćenja otvorenih podataka u Crnoj Gori</w:t>
            </w:r>
          </w:p>
        </w:tc>
        <w:tc>
          <w:tcPr>
            <w:tcW w:w="1530" w:type="dxa"/>
            <w:tcBorders>
              <w:top w:val="single" w:sz="4" w:space="0" w:color="BDD7EE"/>
              <w:left w:val="single" w:sz="4" w:space="0" w:color="BDD7EE"/>
              <w:bottom w:val="single" w:sz="4" w:space="0" w:color="BDD7EE"/>
              <w:right w:val="single" w:sz="4" w:space="0" w:color="BDD7EE"/>
            </w:tcBorders>
          </w:tcPr>
          <w:p w14:paraId="6EA1147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 u saradnji sa NVO sektorom, IT zajednicom</w:t>
            </w:r>
          </w:p>
        </w:tc>
        <w:tc>
          <w:tcPr>
            <w:tcW w:w="1380" w:type="dxa"/>
            <w:gridSpan w:val="2"/>
            <w:tcBorders>
              <w:top w:val="single" w:sz="4" w:space="0" w:color="BDD7EE"/>
              <w:left w:val="single" w:sz="4" w:space="0" w:color="BDD7EE"/>
              <w:bottom w:val="single" w:sz="4" w:space="0" w:color="BDD7EE"/>
              <w:right w:val="single" w:sz="4" w:space="0" w:color="BDD7EE"/>
            </w:tcBorders>
          </w:tcPr>
          <w:p w14:paraId="349B2DB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428" w:type="dxa"/>
            <w:tcBorders>
              <w:top w:val="single" w:sz="4" w:space="0" w:color="BDD7EE"/>
              <w:left w:val="single" w:sz="4" w:space="0" w:color="BDD7EE"/>
              <w:bottom w:val="single" w:sz="4" w:space="0" w:color="BDD7EE"/>
              <w:right w:val="single" w:sz="4" w:space="0" w:color="BDD7EE"/>
            </w:tcBorders>
          </w:tcPr>
          <w:p w14:paraId="4036861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06C3502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1.000 €</w:t>
            </w:r>
          </w:p>
        </w:tc>
        <w:tc>
          <w:tcPr>
            <w:tcW w:w="1673" w:type="dxa"/>
            <w:tcBorders>
              <w:top w:val="single" w:sz="4" w:space="0" w:color="BDD7EE"/>
              <w:left w:val="single" w:sz="4" w:space="0" w:color="BDD7EE"/>
              <w:bottom w:val="single" w:sz="4" w:space="0" w:color="BDD7EE"/>
              <w:right w:val="single" w:sz="4" w:space="0" w:color="BDD7EE"/>
            </w:tcBorders>
          </w:tcPr>
          <w:p w14:paraId="0DE62D8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71C412FA" w14:textId="77777777">
        <w:tc>
          <w:tcPr>
            <w:tcW w:w="3177" w:type="dxa"/>
            <w:gridSpan w:val="2"/>
            <w:tcBorders>
              <w:top w:val="single" w:sz="4" w:space="0" w:color="BDD7EE"/>
              <w:bottom w:val="single" w:sz="4" w:space="0" w:color="BDD7EE"/>
            </w:tcBorders>
            <w:shd w:val="clear" w:color="auto" w:fill="B4C6E7"/>
          </w:tcPr>
          <w:p w14:paraId="21948727"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6" w:type="dxa"/>
            <w:gridSpan w:val="8"/>
            <w:tcBorders>
              <w:top w:val="single" w:sz="4" w:space="0" w:color="BDD7EE"/>
              <w:bottom w:val="single" w:sz="4" w:space="0" w:color="BDD7EE"/>
            </w:tcBorders>
            <w:shd w:val="clear" w:color="auto" w:fill="B4C6E7"/>
          </w:tcPr>
          <w:p w14:paraId="5A11A3C1"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 xml:space="preserve">Identifikacioni broj </w:t>
            </w:r>
          </w:p>
        </w:tc>
      </w:tr>
      <w:tr w:rsidR="005B3072" w14:paraId="390D24F6" w14:textId="77777777">
        <w:tc>
          <w:tcPr>
            <w:tcW w:w="3177"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A19084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72"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D5FE84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3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635FE7F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7153548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428"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24DEE92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3"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16A27D6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7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2B230F5"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758F0CDD" w14:textId="77777777">
        <w:trPr>
          <w:trHeight w:val="1080"/>
        </w:trPr>
        <w:tc>
          <w:tcPr>
            <w:tcW w:w="888" w:type="dxa"/>
            <w:tcBorders>
              <w:top w:val="single" w:sz="4" w:space="0" w:color="BDD7EE"/>
              <w:left w:val="single" w:sz="4" w:space="0" w:color="BDD7EE"/>
              <w:bottom w:val="single" w:sz="4" w:space="0" w:color="BDD7EE"/>
              <w:right w:val="single" w:sz="4" w:space="0" w:color="BDD7EE"/>
            </w:tcBorders>
          </w:tcPr>
          <w:p w14:paraId="484FB1E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1.2.10</w:t>
            </w:r>
          </w:p>
        </w:tc>
        <w:tc>
          <w:tcPr>
            <w:tcW w:w="2289" w:type="dxa"/>
            <w:tcBorders>
              <w:top w:val="single" w:sz="4" w:space="0" w:color="BDD7EE"/>
              <w:left w:val="single" w:sz="4" w:space="0" w:color="BDD7EE"/>
              <w:bottom w:val="single" w:sz="4" w:space="0" w:color="BDD7EE"/>
              <w:right w:val="single" w:sz="4" w:space="0" w:color="BDD7EE"/>
            </w:tcBorders>
          </w:tcPr>
          <w:p w14:paraId="3467EDA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Usklađivanje zakonske regulative, koja se odnosi na lični identitet građana, u cilju </w:t>
            </w:r>
            <w:r>
              <w:rPr>
                <w:rFonts w:ascii="Sitka Text" w:eastAsia="Sitka Text" w:hAnsi="Sitka Text" w:cs="Sitka Text"/>
                <w:color w:val="1F4E79"/>
              </w:rPr>
              <w:lastRenderedPageBreak/>
              <w:t xml:space="preserve">prepoznavanja upotrebe IB-a </w:t>
            </w:r>
          </w:p>
        </w:tc>
        <w:tc>
          <w:tcPr>
            <w:tcW w:w="2372" w:type="dxa"/>
            <w:tcBorders>
              <w:top w:val="single" w:sz="4" w:space="0" w:color="BDD7EE"/>
              <w:left w:val="single" w:sz="4" w:space="0" w:color="BDD7EE"/>
              <w:bottom w:val="single" w:sz="4" w:space="0" w:color="BDD7EE"/>
              <w:right w:val="single" w:sz="4" w:space="0" w:color="BDD7EE"/>
            </w:tcBorders>
          </w:tcPr>
          <w:p w14:paraId="12146B7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Usklađena zakonska regulativa</w:t>
            </w:r>
          </w:p>
        </w:tc>
        <w:tc>
          <w:tcPr>
            <w:tcW w:w="1530" w:type="dxa"/>
            <w:tcBorders>
              <w:top w:val="single" w:sz="4" w:space="0" w:color="BDD7EE"/>
              <w:left w:val="single" w:sz="4" w:space="0" w:color="BDD7EE"/>
              <w:bottom w:val="single" w:sz="4" w:space="0" w:color="BDD7EE"/>
              <w:right w:val="single" w:sz="4" w:space="0" w:color="BDD7EE"/>
            </w:tcBorders>
          </w:tcPr>
          <w:p w14:paraId="346AB71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p w14:paraId="7CFF2D3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380" w:type="dxa"/>
            <w:gridSpan w:val="2"/>
            <w:tcBorders>
              <w:top w:val="single" w:sz="4" w:space="0" w:color="BDD7EE"/>
              <w:left w:val="single" w:sz="4" w:space="0" w:color="BDD7EE"/>
              <w:bottom w:val="single" w:sz="4" w:space="0" w:color="BDD7EE"/>
              <w:right w:val="single" w:sz="4" w:space="0" w:color="BDD7EE"/>
            </w:tcBorders>
          </w:tcPr>
          <w:p w14:paraId="6477AAB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428" w:type="dxa"/>
            <w:tcBorders>
              <w:top w:val="single" w:sz="4" w:space="0" w:color="BDD7EE"/>
              <w:left w:val="single" w:sz="4" w:space="0" w:color="BDD7EE"/>
              <w:bottom w:val="single" w:sz="4" w:space="0" w:color="BDD7EE"/>
              <w:right w:val="single" w:sz="4" w:space="0" w:color="BDD7EE"/>
            </w:tcBorders>
          </w:tcPr>
          <w:p w14:paraId="5DDC3C3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3" w:type="dxa"/>
            <w:gridSpan w:val="2"/>
            <w:tcBorders>
              <w:top w:val="single" w:sz="4" w:space="0" w:color="BDD7EE"/>
              <w:left w:val="single" w:sz="4" w:space="0" w:color="BDD7EE"/>
              <w:bottom w:val="single" w:sz="4" w:space="0" w:color="BDD7EE"/>
              <w:right w:val="single" w:sz="4" w:space="0" w:color="BDD7EE"/>
            </w:tcBorders>
          </w:tcPr>
          <w:p w14:paraId="64FEE3B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 Nisu potrebna sredstva</w:t>
            </w:r>
          </w:p>
        </w:tc>
        <w:tc>
          <w:tcPr>
            <w:tcW w:w="1673" w:type="dxa"/>
            <w:tcBorders>
              <w:top w:val="single" w:sz="4" w:space="0" w:color="BDD7EE"/>
              <w:left w:val="single" w:sz="4" w:space="0" w:color="BDD7EE"/>
              <w:bottom w:val="single" w:sz="4" w:space="0" w:color="BDD7EE"/>
              <w:right w:val="single" w:sz="4" w:space="0" w:color="BDD7EE"/>
            </w:tcBorders>
          </w:tcPr>
          <w:p w14:paraId="2173E118"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1DD429AE" w14:textId="77777777">
        <w:trPr>
          <w:trHeight w:val="1050"/>
        </w:trPr>
        <w:tc>
          <w:tcPr>
            <w:tcW w:w="888" w:type="dxa"/>
            <w:tcBorders>
              <w:top w:val="single" w:sz="4" w:space="0" w:color="BDD7EE"/>
              <w:left w:val="single" w:sz="4" w:space="0" w:color="BDD7EE"/>
              <w:bottom w:val="single" w:sz="4" w:space="0" w:color="BDD7EE"/>
              <w:right w:val="single" w:sz="4" w:space="0" w:color="BDD7EE"/>
            </w:tcBorders>
          </w:tcPr>
          <w:p w14:paraId="0BED6E8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1.2.11</w:t>
            </w:r>
          </w:p>
        </w:tc>
        <w:tc>
          <w:tcPr>
            <w:tcW w:w="2289" w:type="dxa"/>
            <w:tcBorders>
              <w:top w:val="single" w:sz="4" w:space="0" w:color="BDD7EE"/>
              <w:left w:val="single" w:sz="4" w:space="0" w:color="BDD7EE"/>
              <w:bottom w:val="single" w:sz="4" w:space="0" w:color="BDD7EE"/>
              <w:right w:val="single" w:sz="4" w:space="0" w:color="BDD7EE"/>
            </w:tcBorders>
          </w:tcPr>
          <w:p w14:paraId="2EB4F3D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elektronske usluge provjere IB-a od strane građana</w:t>
            </w:r>
          </w:p>
        </w:tc>
        <w:tc>
          <w:tcPr>
            <w:tcW w:w="2372" w:type="dxa"/>
            <w:tcBorders>
              <w:top w:val="single" w:sz="4" w:space="0" w:color="BDD7EE"/>
              <w:left w:val="single" w:sz="4" w:space="0" w:color="BDD7EE"/>
              <w:bottom w:val="single" w:sz="4" w:space="0" w:color="BDD7EE"/>
              <w:right w:val="single" w:sz="4" w:space="0" w:color="BDD7EE"/>
            </w:tcBorders>
          </w:tcPr>
          <w:p w14:paraId="6EFBB36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Uspostavljena elektronska usluga</w:t>
            </w:r>
          </w:p>
        </w:tc>
        <w:tc>
          <w:tcPr>
            <w:tcW w:w="1530" w:type="dxa"/>
            <w:tcBorders>
              <w:top w:val="single" w:sz="4" w:space="0" w:color="BDD7EE"/>
              <w:left w:val="single" w:sz="4" w:space="0" w:color="BDD7EE"/>
              <w:bottom w:val="single" w:sz="4" w:space="0" w:color="BDD7EE"/>
              <w:right w:val="single" w:sz="4" w:space="0" w:color="BDD7EE"/>
            </w:tcBorders>
          </w:tcPr>
          <w:p w14:paraId="491D917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tc>
        <w:tc>
          <w:tcPr>
            <w:tcW w:w="1380" w:type="dxa"/>
            <w:gridSpan w:val="2"/>
            <w:tcBorders>
              <w:top w:val="single" w:sz="4" w:space="0" w:color="BDD7EE"/>
              <w:left w:val="single" w:sz="4" w:space="0" w:color="BDD7EE"/>
              <w:bottom w:val="single" w:sz="4" w:space="0" w:color="BDD7EE"/>
              <w:right w:val="single" w:sz="4" w:space="0" w:color="BDD7EE"/>
            </w:tcBorders>
          </w:tcPr>
          <w:p w14:paraId="0E634EF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28" w:type="dxa"/>
            <w:tcBorders>
              <w:top w:val="single" w:sz="4" w:space="0" w:color="BDD7EE"/>
              <w:left w:val="single" w:sz="4" w:space="0" w:color="BDD7EE"/>
              <w:bottom w:val="single" w:sz="4" w:space="0" w:color="BDD7EE"/>
              <w:right w:val="single" w:sz="4" w:space="0" w:color="BDD7EE"/>
            </w:tcBorders>
          </w:tcPr>
          <w:p w14:paraId="12DA0CF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553" w:type="dxa"/>
            <w:gridSpan w:val="2"/>
            <w:tcBorders>
              <w:top w:val="single" w:sz="4" w:space="0" w:color="BDD7EE"/>
              <w:left w:val="single" w:sz="4" w:space="0" w:color="BDD7EE"/>
              <w:bottom w:val="single" w:sz="4" w:space="0" w:color="BDD7EE"/>
              <w:right w:val="single" w:sz="4" w:space="0" w:color="BDD7EE"/>
            </w:tcBorders>
          </w:tcPr>
          <w:p w14:paraId="522F228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673" w:type="dxa"/>
            <w:tcBorders>
              <w:top w:val="single" w:sz="4" w:space="0" w:color="BDD7EE"/>
              <w:left w:val="single" w:sz="4" w:space="0" w:color="BDD7EE"/>
              <w:bottom w:val="single" w:sz="4" w:space="0" w:color="BDD7EE"/>
              <w:right w:val="single" w:sz="4" w:space="0" w:color="BDD7EE"/>
            </w:tcBorders>
          </w:tcPr>
          <w:p w14:paraId="754CC951"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bl>
    <w:p w14:paraId="6F4FB86C" w14:textId="77777777" w:rsidR="005B3072" w:rsidRDefault="005B3072">
      <w:pPr>
        <w:spacing w:before="20" w:after="20" w:line="240" w:lineRule="auto"/>
        <w:rPr>
          <w:rFonts w:ascii="Sitka Text" w:eastAsia="Sitka Text" w:hAnsi="Sitka Text" w:cs="Sitka Text"/>
          <w:color w:val="1F4E79"/>
          <w:sz w:val="24"/>
          <w:szCs w:val="24"/>
        </w:rPr>
      </w:pPr>
    </w:p>
    <w:p w14:paraId="6062FA9F" w14:textId="77777777" w:rsidR="005B3072" w:rsidRDefault="005B3072">
      <w:pPr>
        <w:spacing w:before="20" w:after="20" w:line="240" w:lineRule="auto"/>
        <w:rPr>
          <w:rFonts w:ascii="Sitka Text" w:eastAsia="Sitka Text" w:hAnsi="Sitka Text" w:cs="Sitka Text"/>
          <w:color w:val="1F4E79"/>
          <w:sz w:val="24"/>
          <w:szCs w:val="24"/>
        </w:rPr>
      </w:pPr>
    </w:p>
    <w:p w14:paraId="50359B79" w14:textId="77777777" w:rsidR="005B3072" w:rsidRDefault="005B3072">
      <w:pPr>
        <w:spacing w:before="20" w:after="20" w:line="240" w:lineRule="auto"/>
        <w:rPr>
          <w:rFonts w:ascii="Sitka Text" w:eastAsia="Sitka Text" w:hAnsi="Sitka Text" w:cs="Sitka Text"/>
          <w:color w:val="1F4E79"/>
          <w:sz w:val="24"/>
          <w:szCs w:val="24"/>
        </w:rPr>
      </w:pPr>
    </w:p>
    <w:tbl>
      <w:tblPr>
        <w:tblStyle w:val="af0"/>
        <w:tblW w:w="13335"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953"/>
        <w:gridCol w:w="2424"/>
        <w:gridCol w:w="2361"/>
        <w:gridCol w:w="1587"/>
        <w:gridCol w:w="611"/>
        <w:gridCol w:w="773"/>
        <w:gridCol w:w="1385"/>
        <w:gridCol w:w="519"/>
        <w:gridCol w:w="1096"/>
        <w:gridCol w:w="1626"/>
      </w:tblGrid>
      <w:tr w:rsidR="005B3072" w14:paraId="745166B0" w14:textId="77777777">
        <w:trPr>
          <w:trHeight w:val="1187"/>
        </w:trPr>
        <w:tc>
          <w:tcPr>
            <w:tcW w:w="3378" w:type="dxa"/>
            <w:gridSpan w:val="2"/>
            <w:shd w:val="clear" w:color="auto" w:fill="1F4E79"/>
            <w:tcMar>
              <w:left w:w="170" w:type="dxa"/>
            </w:tcMar>
            <w:vAlign w:val="center"/>
          </w:tcPr>
          <w:p w14:paraId="339A5882"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1.3.</w:t>
            </w:r>
          </w:p>
        </w:tc>
        <w:tc>
          <w:tcPr>
            <w:tcW w:w="9958" w:type="dxa"/>
            <w:gridSpan w:val="8"/>
            <w:shd w:val="clear" w:color="auto" w:fill="1F4E79"/>
            <w:tcMar>
              <w:left w:w="170" w:type="dxa"/>
            </w:tcMar>
            <w:vAlign w:val="center"/>
          </w:tcPr>
          <w:p w14:paraId="43424E1D"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Povećana pokrivenost i modernizacija elektronske komunikacione infrastrukture</w:t>
            </w:r>
          </w:p>
          <w:p w14:paraId="61BB9509" w14:textId="77777777" w:rsidR="005B3072" w:rsidRDefault="005B3072">
            <w:pPr>
              <w:spacing w:after="40"/>
              <w:jc w:val="center"/>
              <w:rPr>
                <w:rFonts w:ascii="Sitka Text" w:eastAsia="Sitka Text" w:hAnsi="Sitka Text" w:cs="Sitka Text"/>
                <w:b/>
                <w:color w:val="FFFFFF"/>
                <w:sz w:val="24"/>
                <w:szCs w:val="24"/>
              </w:rPr>
            </w:pPr>
          </w:p>
        </w:tc>
      </w:tr>
      <w:tr w:rsidR="005B3072" w14:paraId="25633E2C" w14:textId="77777777">
        <w:tc>
          <w:tcPr>
            <w:tcW w:w="5739" w:type="dxa"/>
            <w:gridSpan w:val="3"/>
            <w:shd w:val="clear" w:color="auto" w:fill="DAF2F6"/>
            <w:tcMar>
              <w:left w:w="170" w:type="dxa"/>
            </w:tcMar>
          </w:tcPr>
          <w:p w14:paraId="71DD67C5"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Indikator</w:t>
            </w:r>
            <w:r>
              <w:rPr>
                <w:rFonts w:ascii="Sitka Text" w:eastAsia="Sitka Text" w:hAnsi="Sitka Text" w:cs="Sitka Text"/>
                <w:b/>
                <w:color w:val="1F4E79"/>
                <w:vertAlign w:val="superscript"/>
              </w:rPr>
              <w:footnoteReference w:id="77"/>
            </w:r>
          </w:p>
        </w:tc>
        <w:tc>
          <w:tcPr>
            <w:tcW w:w="2198" w:type="dxa"/>
            <w:gridSpan w:val="2"/>
            <w:shd w:val="clear" w:color="auto" w:fill="DAF2F6"/>
            <w:tcMar>
              <w:left w:w="170" w:type="dxa"/>
            </w:tcMar>
            <w:vAlign w:val="center"/>
          </w:tcPr>
          <w:p w14:paraId="55E2D7E4"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2677" w:type="dxa"/>
            <w:gridSpan w:val="3"/>
            <w:tcBorders>
              <w:bottom w:val="single" w:sz="4" w:space="0" w:color="FFFFFF"/>
            </w:tcBorders>
            <w:shd w:val="clear" w:color="auto" w:fill="DAF2F6"/>
            <w:tcMar>
              <w:left w:w="170" w:type="dxa"/>
            </w:tcMar>
            <w:vAlign w:val="center"/>
          </w:tcPr>
          <w:p w14:paraId="7A81323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2722" w:type="dxa"/>
            <w:gridSpan w:val="2"/>
            <w:tcBorders>
              <w:bottom w:val="single" w:sz="4" w:space="0" w:color="FFFFFF"/>
            </w:tcBorders>
            <w:shd w:val="clear" w:color="auto" w:fill="DAF2F6"/>
            <w:tcMar>
              <w:left w:w="170" w:type="dxa"/>
            </w:tcMar>
            <w:vAlign w:val="center"/>
          </w:tcPr>
          <w:p w14:paraId="497194B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2026.</w:t>
            </w:r>
          </w:p>
        </w:tc>
      </w:tr>
      <w:tr w:rsidR="005B3072" w14:paraId="2E100011" w14:textId="77777777">
        <w:trPr>
          <w:trHeight w:val="258"/>
        </w:trPr>
        <w:tc>
          <w:tcPr>
            <w:tcW w:w="5739" w:type="dxa"/>
            <w:gridSpan w:val="3"/>
            <w:tcBorders>
              <w:bottom w:val="single" w:sz="4" w:space="0" w:color="000000"/>
            </w:tcBorders>
            <w:shd w:val="clear" w:color="auto" w:fill="DAF2F6"/>
            <w:tcMar>
              <w:left w:w="170" w:type="dxa"/>
            </w:tcMar>
          </w:tcPr>
          <w:p w14:paraId="6B54E3F7"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Udio građana koji koriste internet</w:t>
            </w:r>
          </w:p>
        </w:tc>
        <w:tc>
          <w:tcPr>
            <w:tcW w:w="2198" w:type="dxa"/>
            <w:gridSpan w:val="2"/>
            <w:tcBorders>
              <w:bottom w:val="single" w:sz="4" w:space="0" w:color="000000"/>
            </w:tcBorders>
            <w:shd w:val="clear" w:color="auto" w:fill="DAF2F6"/>
            <w:tcMar>
              <w:left w:w="170" w:type="dxa"/>
            </w:tcMar>
          </w:tcPr>
          <w:p w14:paraId="32BA6D99"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82,2,6%</w:t>
            </w:r>
          </w:p>
        </w:tc>
        <w:tc>
          <w:tcPr>
            <w:tcW w:w="2677" w:type="dxa"/>
            <w:gridSpan w:val="3"/>
            <w:tcBorders>
              <w:bottom w:val="single" w:sz="4" w:space="0" w:color="000000"/>
            </w:tcBorders>
            <w:shd w:val="clear" w:color="auto" w:fill="DAF2F6"/>
            <w:tcMar>
              <w:left w:w="170" w:type="dxa"/>
            </w:tcMar>
          </w:tcPr>
          <w:p w14:paraId="350B4B98"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86%</w:t>
            </w:r>
          </w:p>
        </w:tc>
        <w:tc>
          <w:tcPr>
            <w:tcW w:w="2722" w:type="dxa"/>
            <w:gridSpan w:val="2"/>
            <w:tcBorders>
              <w:bottom w:val="single" w:sz="4" w:space="0" w:color="000000"/>
            </w:tcBorders>
            <w:shd w:val="clear" w:color="auto" w:fill="DAF2F6"/>
            <w:tcMar>
              <w:left w:w="170" w:type="dxa"/>
            </w:tcMar>
          </w:tcPr>
          <w:p w14:paraId="0D5FC4DD"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89%</w:t>
            </w:r>
          </w:p>
        </w:tc>
      </w:tr>
      <w:tr w:rsidR="005B3072" w14:paraId="359AA1A5" w14:textId="77777777">
        <w:tc>
          <w:tcPr>
            <w:tcW w:w="5739" w:type="dxa"/>
            <w:gridSpan w:val="3"/>
            <w:tcBorders>
              <w:top w:val="single" w:sz="4" w:space="0" w:color="000000"/>
              <w:bottom w:val="single" w:sz="4" w:space="0" w:color="000000"/>
            </w:tcBorders>
            <w:shd w:val="clear" w:color="auto" w:fill="DAF2F6"/>
            <w:tcMar>
              <w:left w:w="170" w:type="dxa"/>
            </w:tcMar>
          </w:tcPr>
          <w:p w14:paraId="36DF6557"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pokrivenosti domaćinstava fiksnim BB-om brzinom od 100Mbps+</w:t>
            </w:r>
          </w:p>
        </w:tc>
        <w:tc>
          <w:tcPr>
            <w:tcW w:w="2198" w:type="dxa"/>
            <w:gridSpan w:val="2"/>
            <w:tcBorders>
              <w:top w:val="single" w:sz="4" w:space="0" w:color="000000"/>
              <w:bottom w:val="single" w:sz="4" w:space="0" w:color="000000"/>
            </w:tcBorders>
            <w:shd w:val="clear" w:color="auto" w:fill="DAF2F6"/>
            <w:tcMar>
              <w:left w:w="170" w:type="dxa"/>
            </w:tcMar>
          </w:tcPr>
          <w:p w14:paraId="333F9A4A"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76,7%</w:t>
            </w:r>
          </w:p>
        </w:tc>
        <w:tc>
          <w:tcPr>
            <w:tcW w:w="2677" w:type="dxa"/>
            <w:gridSpan w:val="3"/>
            <w:tcBorders>
              <w:top w:val="single" w:sz="4" w:space="0" w:color="000000"/>
              <w:bottom w:val="single" w:sz="4" w:space="0" w:color="000000"/>
            </w:tcBorders>
            <w:shd w:val="clear" w:color="auto" w:fill="DAF2F6"/>
            <w:tcMar>
              <w:left w:w="170" w:type="dxa"/>
            </w:tcMar>
          </w:tcPr>
          <w:p w14:paraId="2A0EE100"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81.6%</w:t>
            </w:r>
          </w:p>
        </w:tc>
        <w:tc>
          <w:tcPr>
            <w:tcW w:w="2722" w:type="dxa"/>
            <w:gridSpan w:val="2"/>
            <w:tcBorders>
              <w:top w:val="single" w:sz="4" w:space="0" w:color="000000"/>
              <w:bottom w:val="single" w:sz="4" w:space="0" w:color="000000"/>
            </w:tcBorders>
            <w:shd w:val="clear" w:color="auto" w:fill="DAF2F6"/>
            <w:tcMar>
              <w:left w:w="170" w:type="dxa"/>
            </w:tcMar>
          </w:tcPr>
          <w:p w14:paraId="17DA87DB"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86,4%</w:t>
            </w:r>
          </w:p>
        </w:tc>
      </w:tr>
      <w:tr w:rsidR="005B3072" w14:paraId="2437545A" w14:textId="77777777">
        <w:tc>
          <w:tcPr>
            <w:tcW w:w="5739" w:type="dxa"/>
            <w:gridSpan w:val="3"/>
            <w:tcBorders>
              <w:top w:val="single" w:sz="4" w:space="0" w:color="000000"/>
              <w:bottom w:val="single" w:sz="4" w:space="0" w:color="000000"/>
            </w:tcBorders>
            <w:shd w:val="clear" w:color="auto" w:fill="DAF2F6"/>
            <w:tcMar>
              <w:left w:w="170" w:type="dxa"/>
            </w:tcMar>
          </w:tcPr>
          <w:p w14:paraId="0837FC8E"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pokrivenosti stanovništva mobilnim BB-om brzinom od 10 Mb/s+</w:t>
            </w:r>
          </w:p>
        </w:tc>
        <w:tc>
          <w:tcPr>
            <w:tcW w:w="2198" w:type="dxa"/>
            <w:gridSpan w:val="2"/>
            <w:tcBorders>
              <w:top w:val="single" w:sz="4" w:space="0" w:color="000000"/>
              <w:bottom w:val="single" w:sz="4" w:space="0" w:color="000000"/>
            </w:tcBorders>
            <w:shd w:val="clear" w:color="auto" w:fill="DAF2F6"/>
            <w:tcMar>
              <w:left w:w="170" w:type="dxa"/>
            </w:tcMar>
          </w:tcPr>
          <w:p w14:paraId="66E07D3E"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97,2%</w:t>
            </w:r>
          </w:p>
        </w:tc>
        <w:tc>
          <w:tcPr>
            <w:tcW w:w="2677" w:type="dxa"/>
            <w:gridSpan w:val="3"/>
            <w:tcBorders>
              <w:top w:val="single" w:sz="4" w:space="0" w:color="000000"/>
              <w:bottom w:val="single" w:sz="4" w:space="0" w:color="000000"/>
            </w:tcBorders>
            <w:shd w:val="clear" w:color="auto" w:fill="DAF2F6"/>
            <w:tcMar>
              <w:left w:w="170" w:type="dxa"/>
            </w:tcMar>
          </w:tcPr>
          <w:p w14:paraId="4D31B36D"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98%</w:t>
            </w:r>
          </w:p>
        </w:tc>
        <w:tc>
          <w:tcPr>
            <w:tcW w:w="2722" w:type="dxa"/>
            <w:gridSpan w:val="2"/>
            <w:tcBorders>
              <w:top w:val="single" w:sz="4" w:space="0" w:color="000000"/>
              <w:bottom w:val="single" w:sz="4" w:space="0" w:color="000000"/>
            </w:tcBorders>
            <w:shd w:val="clear" w:color="auto" w:fill="DAF2F6"/>
            <w:tcMar>
              <w:left w:w="170" w:type="dxa"/>
            </w:tcMar>
          </w:tcPr>
          <w:p w14:paraId="06BD38C3"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99%</w:t>
            </w:r>
          </w:p>
        </w:tc>
      </w:tr>
      <w:tr w:rsidR="005B3072" w14:paraId="152EE4A7" w14:textId="77777777">
        <w:tc>
          <w:tcPr>
            <w:tcW w:w="3378" w:type="dxa"/>
            <w:gridSpan w:val="2"/>
            <w:tcBorders>
              <w:top w:val="single" w:sz="4" w:space="0" w:color="000000"/>
              <w:bottom w:val="single" w:sz="4" w:space="0" w:color="BDD7EE"/>
            </w:tcBorders>
            <w:shd w:val="clear" w:color="auto" w:fill="B4C6E7"/>
            <w:tcMar>
              <w:left w:w="170" w:type="dxa"/>
            </w:tcMar>
          </w:tcPr>
          <w:p w14:paraId="79ABCD6B"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58" w:type="dxa"/>
            <w:gridSpan w:val="8"/>
            <w:tcBorders>
              <w:top w:val="single" w:sz="4" w:space="0" w:color="000000"/>
              <w:bottom w:val="single" w:sz="4" w:space="0" w:color="BDD7EE"/>
            </w:tcBorders>
            <w:shd w:val="clear" w:color="auto" w:fill="B4C6E7"/>
            <w:tcMar>
              <w:left w:w="170" w:type="dxa"/>
            </w:tcMar>
          </w:tcPr>
          <w:p w14:paraId="4EF48213"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Razvoj širokopojasnog pristupa u skladu sa dokumentom EU „Evropsko gigabitno društvo 2025“</w:t>
            </w:r>
          </w:p>
        </w:tc>
      </w:tr>
      <w:tr w:rsidR="005B3072" w14:paraId="612B05C0" w14:textId="77777777">
        <w:tc>
          <w:tcPr>
            <w:tcW w:w="3378"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30694A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lastRenderedPageBreak/>
              <w:t>Aktivnost koja utiče na realizaciju Operativnog cilja</w:t>
            </w:r>
          </w:p>
        </w:tc>
        <w:tc>
          <w:tcPr>
            <w:tcW w:w="2361"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E8207D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8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0D74756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4"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7C92BF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8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0BA86F0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61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57B7761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26"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43B474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706DFBB6" w14:textId="77777777">
        <w:trPr>
          <w:trHeight w:val="1080"/>
        </w:trPr>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4A887A1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1.3.1</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70C1321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Nacionalnog plana razvoja širokopojasnih mreža velikih brzina</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3EABF68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Uspostavljen Nacionalni plan razvoja širokopojasnih mreža velikih brzina </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661E304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Ministarstvo ekonomskog razvoja (MER)</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2F2FD2D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58B845E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305F0A9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4926CC0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33607270" w14:textId="77777777">
        <w:trPr>
          <w:trHeight w:val="1056"/>
        </w:trPr>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465E66C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1.3.2</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2E99F5A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Usaglašavanje sa EU legislativom:</w:t>
            </w:r>
          </w:p>
          <w:p w14:paraId="6370D55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Transponovanje i efikasna primjena Direktive EU o smanjenju troškova širokopojasnog pristupa 2014/61/EU</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7AB538C1" w14:textId="77777777" w:rsidR="005B3072" w:rsidRDefault="00A46913">
            <w:pPr>
              <w:pBdr>
                <w:top w:val="nil"/>
                <w:left w:val="nil"/>
                <w:bottom w:val="nil"/>
                <w:right w:val="nil"/>
                <w:between w:val="nil"/>
              </w:pBdr>
              <w:spacing w:before="20"/>
              <w:rPr>
                <w:rFonts w:ascii="Sitka Text" w:eastAsia="Sitka Text" w:hAnsi="Sitka Text" w:cs="Sitka Text"/>
                <w:color w:val="1F3863"/>
              </w:rPr>
            </w:pPr>
            <w:r>
              <w:rPr>
                <w:rFonts w:ascii="Sitka Text" w:eastAsia="Sitka Text" w:hAnsi="Sitka Text" w:cs="Sitka Text"/>
                <w:color w:val="1F3863"/>
              </w:rPr>
              <w:t>Usvojen Zakon o korišćenju fizičke infrastrukture za postavljanje elektronskih komunikacionih mreža velikih brzina</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154F2F4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MER</w:t>
            </w:r>
          </w:p>
          <w:p w14:paraId="19D4ED97"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18AB81F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2021</w:t>
            </w:r>
          </w:p>
          <w:p w14:paraId="06A4A3FD"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7533E58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2021</w:t>
            </w:r>
          </w:p>
          <w:p w14:paraId="62F9EE05"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292D1EA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p w14:paraId="42FD57D7"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0C1F99EB"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5F858AEC"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1612F0A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1.3.3</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6FA718D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Transponovanje i efikasna primjena Direktive EU o evropskom elektronskom komunikacionom kodu 2018/1972</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78702E8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Usvojen Zakon o elektronskim komunikacijama</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02B666E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MER</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2A95C49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p w14:paraId="4EA3C28D"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7B6B891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677635F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3D00B75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74685041"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212F5A2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1.3.4</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30A32D0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Formiranje Nacionalne kancelarije/direkcije za širokopojasni pristup internetu</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7F03B76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Uspostavljena nacionalna kancelarija/direkcija za kompetentnost u oblasti </w:t>
            </w:r>
            <w:r>
              <w:rPr>
                <w:rFonts w:ascii="Sitka Text" w:eastAsia="Sitka Text" w:hAnsi="Sitka Text" w:cs="Sitka Text"/>
                <w:color w:val="1F4E79"/>
              </w:rPr>
              <w:lastRenderedPageBreak/>
              <w:t xml:space="preserve">širokopojasnog pristupa </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4CA0551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MER</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3DED4FA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5415ED5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683F38D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5C744AD9"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1A87C8E1" w14:textId="77777777">
        <w:tc>
          <w:tcPr>
            <w:tcW w:w="3378" w:type="dxa"/>
            <w:gridSpan w:val="2"/>
            <w:tcBorders>
              <w:top w:val="single" w:sz="4" w:space="0" w:color="BDD7EE"/>
              <w:bottom w:val="single" w:sz="4" w:space="0" w:color="BDD7EE"/>
            </w:tcBorders>
            <w:shd w:val="clear" w:color="auto" w:fill="B4C6E7"/>
            <w:tcMar>
              <w:left w:w="170" w:type="dxa"/>
            </w:tcMar>
          </w:tcPr>
          <w:p w14:paraId="60DBBD41"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lastRenderedPageBreak/>
              <w:t>OBLAST</w:t>
            </w:r>
          </w:p>
        </w:tc>
        <w:tc>
          <w:tcPr>
            <w:tcW w:w="9958" w:type="dxa"/>
            <w:gridSpan w:val="8"/>
            <w:tcBorders>
              <w:top w:val="single" w:sz="4" w:space="0" w:color="BDD7EE"/>
              <w:bottom w:val="single" w:sz="4" w:space="0" w:color="BDD7EE"/>
            </w:tcBorders>
            <w:shd w:val="clear" w:color="auto" w:fill="B4C6E7"/>
            <w:tcMar>
              <w:left w:w="170" w:type="dxa"/>
            </w:tcMar>
          </w:tcPr>
          <w:p w14:paraId="68F85954"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Visoki nivo pokrivanja 5G mrežom i povećana upotreba pristupa Internetu</w:t>
            </w:r>
          </w:p>
        </w:tc>
      </w:tr>
      <w:tr w:rsidR="005B3072" w14:paraId="50AEF3DB" w14:textId="77777777">
        <w:tc>
          <w:tcPr>
            <w:tcW w:w="3378"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6321FA6"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61"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BF5213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8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606E7E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4"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01FB9556"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8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B9CC70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61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88B452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26"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51E81D0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701F100D"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62CDEFA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1.3.5</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116EA98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Strategije/Plana za uvođenje 5G u Crnoj Gori</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5D69DF0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Izrađena Strategija/Plan za uvođenje 5G U Crnoj Gori</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419D101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MER</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417F1D5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449499E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13E0CE7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325E8B9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770D8026"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72B7B2E3"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1.3.6</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0C56AB8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Izrada analize uporednih cijena usluge pristupa internetu za rezidencijalne i biznis korisnike u zemljama regiona i EU sa preporukama korekcija cijena ukoliko postoji potreba</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73FEED4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Izrađena Analiza sa preporukama</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15E2709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PKCG</w:t>
            </w:r>
          </w:p>
          <w:p w14:paraId="2B067E5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EKIP</w:t>
            </w:r>
          </w:p>
          <w:p w14:paraId="3328B002"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MER</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3AF51A9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680AC35D"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7FF5A7D0"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0E33DF63"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4B6DEEC6"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5BFA31E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1.3.7</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285A68A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Dodjela radio-frekvencija iz opsega namijenjenih za 5G </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2F6EA04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Sproveden postupak dodjele radio-frekvencija iz opsega namijenjenih za 5G</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4208493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EKIP</w:t>
            </w:r>
          </w:p>
          <w:p w14:paraId="52EDB95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MER</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04ED24B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18A5501A"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18FEB8F5"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170.000 €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7F0A5BBA"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Budžet EKIP-a </w:t>
            </w:r>
          </w:p>
        </w:tc>
      </w:tr>
      <w:tr w:rsidR="005B3072" w14:paraId="0812626B"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536DF3AD"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1.3.8</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3C2A1435"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Izrada elaborata o određivanju najnižeg </w:t>
            </w:r>
            <w:r>
              <w:rPr>
                <w:rFonts w:ascii="Sitka Text" w:eastAsia="Sitka Text" w:hAnsi="Sitka Text" w:cs="Sitka Text"/>
                <w:color w:val="1F4E79"/>
              </w:rPr>
              <w:lastRenderedPageBreak/>
              <w:t>iznosa jednokratne naknade za dodjelu odobrenja za korišćenje radio frekvencija</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3555FF5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lastRenderedPageBreak/>
              <w:t>Elaborat izrađen</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3F32388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MER</w:t>
            </w:r>
          </w:p>
          <w:p w14:paraId="04B041A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EKIP</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78D47C7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0AB89DC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678AABF2"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30.000 €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4DF3410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131BD55A" w14:textId="77777777">
        <w:tc>
          <w:tcPr>
            <w:tcW w:w="3378" w:type="dxa"/>
            <w:gridSpan w:val="2"/>
            <w:tcBorders>
              <w:top w:val="single" w:sz="4" w:space="0" w:color="BDD7EE"/>
              <w:bottom w:val="single" w:sz="4" w:space="0" w:color="BDD7EE"/>
            </w:tcBorders>
            <w:shd w:val="clear" w:color="auto" w:fill="B4C6E7"/>
            <w:tcMar>
              <w:left w:w="170" w:type="dxa"/>
            </w:tcMar>
          </w:tcPr>
          <w:p w14:paraId="4456512D"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lastRenderedPageBreak/>
              <w:t>OBLAST</w:t>
            </w:r>
          </w:p>
        </w:tc>
        <w:tc>
          <w:tcPr>
            <w:tcW w:w="9958" w:type="dxa"/>
            <w:gridSpan w:val="8"/>
            <w:tcBorders>
              <w:top w:val="single" w:sz="4" w:space="0" w:color="BDD7EE"/>
              <w:bottom w:val="single" w:sz="4" w:space="0" w:color="BDD7EE"/>
            </w:tcBorders>
            <w:shd w:val="clear" w:color="auto" w:fill="B4C6E7"/>
            <w:tcMar>
              <w:left w:w="170" w:type="dxa"/>
            </w:tcMar>
          </w:tcPr>
          <w:p w14:paraId="3E750EEE"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 xml:space="preserve">Brzina komunikacionih linkova između ključnih državnih institucija </w:t>
            </w:r>
          </w:p>
          <w:p w14:paraId="2BCA834C" w14:textId="77777777" w:rsidR="005B3072" w:rsidRDefault="005B3072">
            <w:pPr>
              <w:spacing w:after="40"/>
              <w:rPr>
                <w:rFonts w:ascii="Sitka Text" w:eastAsia="Sitka Text" w:hAnsi="Sitka Text" w:cs="Sitka Text"/>
                <w:b/>
                <w:color w:val="1F4E79"/>
                <w:sz w:val="24"/>
                <w:szCs w:val="24"/>
              </w:rPr>
            </w:pPr>
          </w:p>
        </w:tc>
      </w:tr>
      <w:tr w:rsidR="005B3072" w14:paraId="5B250E44" w14:textId="77777777">
        <w:tc>
          <w:tcPr>
            <w:tcW w:w="3378"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DD48FE6"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61"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EA138D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8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1A0EFC4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4"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BF11E0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8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C193A5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61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EE0395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26"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B0432F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1C777BA6"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37A1384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1.3.9</w:t>
            </w:r>
          </w:p>
        </w:tc>
        <w:tc>
          <w:tcPr>
            <w:tcW w:w="2424"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3EF97D2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tehničkog plana povećanja brzine komunikacionih linkova sa okvirnom procjenom budžeta</w:t>
            </w:r>
          </w:p>
        </w:tc>
        <w:tc>
          <w:tcPr>
            <w:tcW w:w="2361"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0443D85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 tehnički plan i procijenjen budžet</w:t>
            </w:r>
          </w:p>
        </w:tc>
        <w:tc>
          <w:tcPr>
            <w:tcW w:w="1587"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39CFC698" w14:textId="77777777" w:rsidR="005B3072" w:rsidRDefault="00A46913">
            <w:pPr>
              <w:spacing w:before="20" w:after="240"/>
              <w:rPr>
                <w:rFonts w:ascii="Sitka Text" w:eastAsia="Sitka Text" w:hAnsi="Sitka Text" w:cs="Sitka Text"/>
                <w:color w:val="1F4E79"/>
              </w:rPr>
            </w:pPr>
            <w:r>
              <w:rPr>
                <w:rFonts w:ascii="Sitka Text" w:eastAsia="Sitka Text" w:hAnsi="Sitka Text" w:cs="Sitka Text"/>
                <w:color w:val="1F4E79"/>
              </w:rPr>
              <w:t>MJUDDM</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73027D2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 II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41880308"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19E916D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1E1EBE4E" w14:textId="77777777" w:rsidR="005B3072" w:rsidRDefault="005B3072">
            <w:pPr>
              <w:spacing w:before="20"/>
              <w:rPr>
                <w:rFonts w:ascii="Sitka Text" w:eastAsia="Sitka Text" w:hAnsi="Sitka Text" w:cs="Sitka Text"/>
                <w:color w:val="1F4E79"/>
              </w:rPr>
            </w:pPr>
          </w:p>
        </w:tc>
      </w:tr>
      <w:tr w:rsidR="005B3072" w14:paraId="77CF0246"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2ECF4375"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1.3.10</w:t>
            </w:r>
          </w:p>
        </w:tc>
        <w:tc>
          <w:tcPr>
            <w:tcW w:w="2424"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605BA32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Tehnička implementacija 10Gbit/s komunikacija</w:t>
            </w:r>
          </w:p>
        </w:tc>
        <w:tc>
          <w:tcPr>
            <w:tcW w:w="2361"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368F5CE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institucija sa kojima je uspostavljena 10 Gbit/s komunikacija </w:t>
            </w:r>
          </w:p>
        </w:tc>
        <w:tc>
          <w:tcPr>
            <w:tcW w:w="1587"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34EC9B55" w14:textId="77777777" w:rsidR="005B3072" w:rsidRDefault="00A46913">
            <w:pPr>
              <w:spacing w:before="20" w:after="240"/>
              <w:rPr>
                <w:rFonts w:ascii="Sitka Text" w:eastAsia="Sitka Text" w:hAnsi="Sitka Text" w:cs="Sitka Text"/>
                <w:color w:val="1F4E79"/>
              </w:rPr>
            </w:pPr>
            <w:r>
              <w:rPr>
                <w:rFonts w:ascii="Sitka Text" w:eastAsia="Sitka Text" w:hAnsi="Sitka Text" w:cs="Sitka Text"/>
                <w:color w:val="1F4E79"/>
              </w:rPr>
              <w:t>MJUDDM</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740FDE4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 kvartal 2023</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1FD00252"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III kvartal 2023</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09F5CF3F"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200.000 €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361C53F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5C783104" w14:textId="77777777">
        <w:tc>
          <w:tcPr>
            <w:tcW w:w="3378" w:type="dxa"/>
            <w:gridSpan w:val="2"/>
            <w:tcBorders>
              <w:top w:val="single" w:sz="4" w:space="0" w:color="BDD7EE"/>
              <w:bottom w:val="single" w:sz="4" w:space="0" w:color="BDD7EE"/>
            </w:tcBorders>
            <w:shd w:val="clear" w:color="auto" w:fill="B4C6E7"/>
            <w:tcMar>
              <w:left w:w="170" w:type="dxa"/>
            </w:tcMar>
          </w:tcPr>
          <w:p w14:paraId="5B9730D0"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58" w:type="dxa"/>
            <w:gridSpan w:val="8"/>
            <w:tcBorders>
              <w:top w:val="single" w:sz="4" w:space="0" w:color="BDD7EE"/>
              <w:bottom w:val="single" w:sz="4" w:space="0" w:color="BDD7EE"/>
            </w:tcBorders>
            <w:shd w:val="clear" w:color="auto" w:fill="B4C6E7"/>
            <w:tcMar>
              <w:left w:w="170" w:type="dxa"/>
            </w:tcMar>
          </w:tcPr>
          <w:p w14:paraId="52387F4B"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Kriptovana komunikacija između ključnih državnih institucija</w:t>
            </w:r>
          </w:p>
        </w:tc>
      </w:tr>
      <w:tr w:rsidR="005B3072" w14:paraId="64FFDF34" w14:textId="77777777">
        <w:tc>
          <w:tcPr>
            <w:tcW w:w="3378"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09FD5F5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61"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583E596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58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AF7A57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4"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994C90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8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1BF043D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61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B67817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626"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CDDD34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64F7A7DD" w14:textId="77777777">
        <w:trPr>
          <w:trHeight w:val="2475"/>
        </w:trPr>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4722AA94"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1.3.11</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17F6BDB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Izrada tehničkog plana uspostavljanja kriptovane komunikacije između ključnih državnih institucija sa okvirnom procjenom budžeta</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6FD8058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Izrađen tehnički plan i procijenjen budžet</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4D5981F5"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MJUDDM</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7DDB7389"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66EC3F4F"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1045B350"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5CFCAFF8" w14:textId="77777777" w:rsidR="005B3072" w:rsidRDefault="005B3072">
            <w:pPr>
              <w:spacing w:before="20"/>
              <w:rPr>
                <w:rFonts w:ascii="Sitka Text" w:eastAsia="Sitka Text" w:hAnsi="Sitka Text" w:cs="Sitka Text"/>
                <w:color w:val="1F4E79"/>
              </w:rPr>
            </w:pPr>
          </w:p>
        </w:tc>
      </w:tr>
      <w:tr w:rsidR="005B3072" w14:paraId="0B3072D2" w14:textId="77777777">
        <w:tc>
          <w:tcPr>
            <w:tcW w:w="954" w:type="dxa"/>
            <w:tcBorders>
              <w:top w:val="single" w:sz="4" w:space="0" w:color="BDD7EE"/>
              <w:left w:val="single" w:sz="4" w:space="0" w:color="BDD7EE"/>
              <w:bottom w:val="single" w:sz="4" w:space="0" w:color="BDD7EE"/>
              <w:right w:val="single" w:sz="4" w:space="0" w:color="BDD7EE"/>
            </w:tcBorders>
            <w:tcMar>
              <w:left w:w="170" w:type="dxa"/>
            </w:tcMar>
          </w:tcPr>
          <w:p w14:paraId="0BEFC34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1.3.12</w:t>
            </w:r>
          </w:p>
        </w:tc>
        <w:tc>
          <w:tcPr>
            <w:tcW w:w="2424" w:type="dxa"/>
            <w:tcBorders>
              <w:top w:val="single" w:sz="4" w:space="0" w:color="BDD7EE"/>
              <w:left w:val="single" w:sz="4" w:space="0" w:color="BDD7EE"/>
              <w:bottom w:val="single" w:sz="4" w:space="0" w:color="BDD7EE"/>
              <w:right w:val="single" w:sz="4" w:space="0" w:color="BDD7EE"/>
            </w:tcBorders>
            <w:tcMar>
              <w:left w:w="170" w:type="dxa"/>
            </w:tcMar>
          </w:tcPr>
          <w:p w14:paraId="0822FCD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Tehnička implementacija uspostavljanja kriptovane komunikacije</w:t>
            </w:r>
          </w:p>
        </w:tc>
        <w:tc>
          <w:tcPr>
            <w:tcW w:w="2361" w:type="dxa"/>
            <w:tcBorders>
              <w:top w:val="single" w:sz="4" w:space="0" w:color="BDD7EE"/>
              <w:left w:val="single" w:sz="4" w:space="0" w:color="BDD7EE"/>
              <w:bottom w:val="single" w:sz="4" w:space="0" w:color="BDD7EE"/>
              <w:right w:val="single" w:sz="4" w:space="0" w:color="BDD7EE"/>
            </w:tcBorders>
            <w:tcMar>
              <w:left w:w="170" w:type="dxa"/>
            </w:tcMar>
          </w:tcPr>
          <w:p w14:paraId="4149B41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Broj institucija sa kojima je uspostavljena kriptovana komunikacija. </w:t>
            </w:r>
          </w:p>
        </w:tc>
        <w:tc>
          <w:tcPr>
            <w:tcW w:w="1587" w:type="dxa"/>
            <w:tcBorders>
              <w:top w:val="single" w:sz="4" w:space="0" w:color="BDD7EE"/>
              <w:left w:val="single" w:sz="4" w:space="0" w:color="BDD7EE"/>
              <w:bottom w:val="single" w:sz="4" w:space="0" w:color="BDD7EE"/>
              <w:right w:val="single" w:sz="4" w:space="0" w:color="BDD7EE"/>
            </w:tcBorders>
            <w:tcMar>
              <w:left w:w="170" w:type="dxa"/>
            </w:tcMar>
          </w:tcPr>
          <w:p w14:paraId="438ED23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MJUDDM</w:t>
            </w:r>
          </w:p>
        </w:tc>
        <w:tc>
          <w:tcPr>
            <w:tcW w:w="1384" w:type="dxa"/>
            <w:gridSpan w:val="2"/>
            <w:tcBorders>
              <w:top w:val="single" w:sz="4" w:space="0" w:color="BDD7EE"/>
              <w:left w:val="single" w:sz="4" w:space="0" w:color="BDD7EE"/>
              <w:bottom w:val="single" w:sz="4" w:space="0" w:color="BDD7EE"/>
              <w:right w:val="single" w:sz="4" w:space="0" w:color="BDD7EE"/>
            </w:tcBorders>
            <w:tcMar>
              <w:left w:w="170" w:type="dxa"/>
            </w:tcMar>
          </w:tcPr>
          <w:p w14:paraId="5923451F"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 kvartal 2023</w:t>
            </w:r>
          </w:p>
        </w:tc>
        <w:tc>
          <w:tcPr>
            <w:tcW w:w="1385" w:type="dxa"/>
            <w:tcBorders>
              <w:top w:val="single" w:sz="4" w:space="0" w:color="BDD7EE"/>
              <w:left w:val="single" w:sz="4" w:space="0" w:color="BDD7EE"/>
              <w:bottom w:val="single" w:sz="4" w:space="0" w:color="BDD7EE"/>
              <w:right w:val="single" w:sz="4" w:space="0" w:color="BDD7EE"/>
            </w:tcBorders>
            <w:tcMar>
              <w:left w:w="170" w:type="dxa"/>
            </w:tcMar>
          </w:tcPr>
          <w:p w14:paraId="391F987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III kvartal 2023</w:t>
            </w:r>
          </w:p>
        </w:tc>
        <w:tc>
          <w:tcPr>
            <w:tcW w:w="1615" w:type="dxa"/>
            <w:gridSpan w:val="2"/>
            <w:tcBorders>
              <w:top w:val="single" w:sz="4" w:space="0" w:color="BDD7EE"/>
              <w:left w:val="single" w:sz="4" w:space="0" w:color="BDD7EE"/>
              <w:bottom w:val="single" w:sz="4" w:space="0" w:color="BDD7EE"/>
              <w:right w:val="single" w:sz="4" w:space="0" w:color="BDD7EE"/>
            </w:tcBorders>
            <w:tcMar>
              <w:left w:w="170" w:type="dxa"/>
            </w:tcMar>
          </w:tcPr>
          <w:p w14:paraId="0C29F8A3"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100.000 €</w:t>
            </w:r>
          </w:p>
        </w:tc>
        <w:tc>
          <w:tcPr>
            <w:tcW w:w="1626" w:type="dxa"/>
            <w:tcBorders>
              <w:top w:val="single" w:sz="4" w:space="0" w:color="BDD7EE"/>
              <w:left w:val="single" w:sz="4" w:space="0" w:color="BDD7EE"/>
              <w:bottom w:val="single" w:sz="4" w:space="0" w:color="BDD7EE"/>
              <w:right w:val="single" w:sz="4" w:space="0" w:color="BDD7EE"/>
            </w:tcBorders>
            <w:tcMar>
              <w:left w:w="170" w:type="dxa"/>
            </w:tcMar>
          </w:tcPr>
          <w:p w14:paraId="4134370B"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 CG</w:t>
            </w:r>
          </w:p>
        </w:tc>
      </w:tr>
    </w:tbl>
    <w:p w14:paraId="5CB1A340" w14:textId="77777777" w:rsidR="005B3072" w:rsidRDefault="005B3072">
      <w:pPr>
        <w:spacing w:before="120" w:after="120" w:line="240" w:lineRule="auto"/>
        <w:jc w:val="center"/>
        <w:rPr>
          <w:rFonts w:ascii="Sitka Text" w:eastAsia="Sitka Text" w:hAnsi="Sitka Text" w:cs="Sitka Text"/>
          <w:b/>
          <w:color w:val="1F4E79"/>
          <w:sz w:val="28"/>
          <w:szCs w:val="28"/>
        </w:rPr>
      </w:pPr>
    </w:p>
    <w:tbl>
      <w:tblPr>
        <w:tblStyle w:val="af1"/>
        <w:tblW w:w="13560" w:type="dxa"/>
        <w:tblInd w:w="-147"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810"/>
        <w:gridCol w:w="2670"/>
        <w:gridCol w:w="2775"/>
        <w:gridCol w:w="300"/>
        <w:gridCol w:w="1335"/>
        <w:gridCol w:w="855"/>
        <w:gridCol w:w="465"/>
        <w:gridCol w:w="1260"/>
        <w:gridCol w:w="450"/>
        <w:gridCol w:w="1110"/>
        <w:gridCol w:w="1530"/>
      </w:tblGrid>
      <w:tr w:rsidR="005B3072" w14:paraId="54DAACED" w14:textId="77777777">
        <w:trPr>
          <w:trHeight w:val="827"/>
        </w:trPr>
        <w:tc>
          <w:tcPr>
            <w:tcW w:w="3480" w:type="dxa"/>
            <w:gridSpan w:val="2"/>
            <w:shd w:val="clear" w:color="auto" w:fill="1F4E79"/>
            <w:vAlign w:val="center"/>
          </w:tcPr>
          <w:p w14:paraId="25D0BA99"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1.4.</w:t>
            </w:r>
          </w:p>
        </w:tc>
        <w:tc>
          <w:tcPr>
            <w:tcW w:w="10080" w:type="dxa"/>
            <w:gridSpan w:val="9"/>
            <w:shd w:val="clear" w:color="auto" w:fill="1F4E79"/>
            <w:vAlign w:val="center"/>
          </w:tcPr>
          <w:p w14:paraId="53934C15"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Razvoj i unapređenje digitalnih znanja i vještina crnogorskog društva</w:t>
            </w:r>
          </w:p>
        </w:tc>
      </w:tr>
      <w:tr w:rsidR="005B3072" w14:paraId="7E8CE84C" w14:textId="77777777">
        <w:tc>
          <w:tcPr>
            <w:tcW w:w="6555" w:type="dxa"/>
            <w:gridSpan w:val="4"/>
            <w:shd w:val="clear" w:color="auto" w:fill="DAF2F6"/>
          </w:tcPr>
          <w:p w14:paraId="6428DE21"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Indikator</w:t>
            </w:r>
          </w:p>
        </w:tc>
        <w:tc>
          <w:tcPr>
            <w:tcW w:w="2190" w:type="dxa"/>
            <w:gridSpan w:val="2"/>
            <w:shd w:val="clear" w:color="auto" w:fill="DAF2F6"/>
            <w:vAlign w:val="center"/>
          </w:tcPr>
          <w:p w14:paraId="0EDE969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2175" w:type="dxa"/>
            <w:gridSpan w:val="3"/>
            <w:tcBorders>
              <w:bottom w:val="single" w:sz="4" w:space="0" w:color="FFFFFF"/>
            </w:tcBorders>
            <w:shd w:val="clear" w:color="auto" w:fill="DAF2F6"/>
            <w:vAlign w:val="center"/>
          </w:tcPr>
          <w:p w14:paraId="0C450431"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2640" w:type="dxa"/>
            <w:gridSpan w:val="2"/>
            <w:tcBorders>
              <w:bottom w:val="single" w:sz="4" w:space="0" w:color="FFFFFF"/>
            </w:tcBorders>
            <w:shd w:val="clear" w:color="auto" w:fill="DAF2F6"/>
            <w:vAlign w:val="center"/>
          </w:tcPr>
          <w:p w14:paraId="4EBE88A4"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2026.</w:t>
            </w:r>
          </w:p>
        </w:tc>
      </w:tr>
      <w:tr w:rsidR="005B3072" w14:paraId="65BB03EE" w14:textId="77777777">
        <w:tc>
          <w:tcPr>
            <w:tcW w:w="6555" w:type="dxa"/>
            <w:gridSpan w:val="4"/>
            <w:tcBorders>
              <w:bottom w:val="single" w:sz="4" w:space="0" w:color="000000"/>
            </w:tcBorders>
            <w:shd w:val="clear" w:color="auto" w:fill="DAF2F6"/>
          </w:tcPr>
          <w:p w14:paraId="7EB89AF3"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diplomiranih studenata studijskih programa iz oblasti IT-ja u odnosu na ukupan broj diplomiranih studenata na svim univerzitetima</w:t>
            </w:r>
          </w:p>
        </w:tc>
        <w:tc>
          <w:tcPr>
            <w:tcW w:w="2190" w:type="dxa"/>
            <w:gridSpan w:val="2"/>
            <w:tcBorders>
              <w:bottom w:val="single" w:sz="4" w:space="0" w:color="000000"/>
            </w:tcBorders>
            <w:shd w:val="clear" w:color="auto" w:fill="DAF2F6"/>
          </w:tcPr>
          <w:p w14:paraId="0B1D597C"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8%</w:t>
            </w:r>
          </w:p>
        </w:tc>
        <w:tc>
          <w:tcPr>
            <w:tcW w:w="2175" w:type="dxa"/>
            <w:gridSpan w:val="3"/>
            <w:tcBorders>
              <w:bottom w:val="single" w:sz="4" w:space="0" w:color="000000"/>
            </w:tcBorders>
            <w:shd w:val="clear" w:color="auto" w:fill="DAF2F6"/>
          </w:tcPr>
          <w:p w14:paraId="7FFEB19A"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12%</w:t>
            </w:r>
          </w:p>
        </w:tc>
        <w:tc>
          <w:tcPr>
            <w:tcW w:w="2640" w:type="dxa"/>
            <w:gridSpan w:val="2"/>
            <w:tcBorders>
              <w:bottom w:val="single" w:sz="4" w:space="0" w:color="000000"/>
            </w:tcBorders>
            <w:shd w:val="clear" w:color="auto" w:fill="DAF2F6"/>
          </w:tcPr>
          <w:p w14:paraId="68F04CB1"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15%</w:t>
            </w:r>
          </w:p>
        </w:tc>
      </w:tr>
      <w:tr w:rsidR="005B3072" w14:paraId="4AA5009A" w14:textId="77777777">
        <w:tc>
          <w:tcPr>
            <w:tcW w:w="6555" w:type="dxa"/>
            <w:gridSpan w:val="4"/>
            <w:tcBorders>
              <w:top w:val="single" w:sz="4" w:space="0" w:color="000000"/>
              <w:bottom w:val="single" w:sz="4" w:space="0" w:color="000000"/>
            </w:tcBorders>
            <w:shd w:val="clear" w:color="auto" w:fill="DAF2F6"/>
          </w:tcPr>
          <w:p w14:paraId="5292B54D"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Broj obučenih građana/ki iz osjetljive grupe građana koji su pohađali obuke za ICT kod organizatora obrazovanja odraslih</w:t>
            </w:r>
          </w:p>
        </w:tc>
        <w:tc>
          <w:tcPr>
            <w:tcW w:w="2190" w:type="dxa"/>
            <w:gridSpan w:val="2"/>
            <w:tcBorders>
              <w:top w:val="single" w:sz="4" w:space="0" w:color="000000"/>
              <w:bottom w:val="single" w:sz="4" w:space="0" w:color="000000"/>
            </w:tcBorders>
            <w:shd w:val="clear" w:color="auto" w:fill="DAF2F6"/>
          </w:tcPr>
          <w:p w14:paraId="61421DC4"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0</w:t>
            </w:r>
          </w:p>
        </w:tc>
        <w:tc>
          <w:tcPr>
            <w:tcW w:w="2175" w:type="dxa"/>
            <w:gridSpan w:val="3"/>
            <w:tcBorders>
              <w:top w:val="single" w:sz="4" w:space="0" w:color="000000"/>
              <w:bottom w:val="single" w:sz="4" w:space="0" w:color="000000"/>
            </w:tcBorders>
            <w:shd w:val="clear" w:color="auto" w:fill="DAF2F6"/>
          </w:tcPr>
          <w:p w14:paraId="407CDD64"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300</w:t>
            </w:r>
          </w:p>
        </w:tc>
        <w:tc>
          <w:tcPr>
            <w:tcW w:w="2640" w:type="dxa"/>
            <w:gridSpan w:val="2"/>
            <w:tcBorders>
              <w:top w:val="single" w:sz="4" w:space="0" w:color="000000"/>
              <w:bottom w:val="single" w:sz="4" w:space="0" w:color="000000"/>
            </w:tcBorders>
            <w:shd w:val="clear" w:color="auto" w:fill="DAF2F6"/>
          </w:tcPr>
          <w:p w14:paraId="1146227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600</w:t>
            </w:r>
          </w:p>
        </w:tc>
      </w:tr>
      <w:tr w:rsidR="005B3072" w14:paraId="17A3120B" w14:textId="77777777">
        <w:tc>
          <w:tcPr>
            <w:tcW w:w="3480" w:type="dxa"/>
            <w:gridSpan w:val="2"/>
            <w:tcBorders>
              <w:top w:val="single" w:sz="4" w:space="0" w:color="000000"/>
              <w:bottom w:val="single" w:sz="4" w:space="0" w:color="BDD7EE"/>
            </w:tcBorders>
            <w:shd w:val="clear" w:color="auto" w:fill="B4C6E7"/>
          </w:tcPr>
          <w:p w14:paraId="3714F7D3" w14:textId="77777777" w:rsidR="005B3072" w:rsidRDefault="00A46913">
            <w:pPr>
              <w:spacing w:after="40"/>
              <w:rPr>
                <w:rFonts w:ascii="Sitka Text" w:eastAsia="Sitka Text" w:hAnsi="Sitka Text" w:cs="Sitka Text"/>
                <w:b/>
                <w:color w:val="1F4E79"/>
                <w:sz w:val="24"/>
                <w:szCs w:val="24"/>
              </w:rPr>
            </w:pPr>
            <w:bookmarkStart w:id="75" w:name="_xvir7l" w:colFirst="0" w:colLast="0"/>
            <w:bookmarkEnd w:id="75"/>
            <w:r>
              <w:rPr>
                <w:rFonts w:ascii="Sitka Text" w:eastAsia="Sitka Text" w:hAnsi="Sitka Text" w:cs="Sitka Text"/>
                <w:b/>
                <w:color w:val="1F4E79"/>
                <w:sz w:val="24"/>
                <w:szCs w:val="24"/>
              </w:rPr>
              <w:t>OBLAST</w:t>
            </w:r>
          </w:p>
        </w:tc>
        <w:tc>
          <w:tcPr>
            <w:tcW w:w="10080" w:type="dxa"/>
            <w:gridSpan w:val="9"/>
            <w:tcBorders>
              <w:top w:val="single" w:sz="4" w:space="0" w:color="000000"/>
              <w:bottom w:val="single" w:sz="4" w:space="0" w:color="BDD7EE"/>
            </w:tcBorders>
            <w:shd w:val="clear" w:color="auto" w:fill="B4C6E7"/>
          </w:tcPr>
          <w:p w14:paraId="3A74385D"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Unapređenje sistema formalnog obrazovanja</w:t>
            </w:r>
          </w:p>
        </w:tc>
      </w:tr>
      <w:tr w:rsidR="005B3072" w14:paraId="3527341A" w14:textId="77777777">
        <w:tc>
          <w:tcPr>
            <w:tcW w:w="3480"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5F7E3B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77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1E70A3D"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3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780B98D"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20"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05B259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260"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3BD399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60"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D5730BD"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30"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14F5CF8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2C31767B" w14:textId="77777777">
        <w:tc>
          <w:tcPr>
            <w:tcW w:w="810" w:type="dxa"/>
            <w:tcBorders>
              <w:top w:val="single" w:sz="4" w:space="0" w:color="BDD7EE"/>
              <w:left w:val="single" w:sz="4" w:space="0" w:color="BDD7EE"/>
              <w:bottom w:val="single" w:sz="4" w:space="0" w:color="BDD7EE"/>
              <w:right w:val="single" w:sz="4" w:space="0" w:color="BDD7EE"/>
            </w:tcBorders>
            <w:tcMar>
              <w:left w:w="170" w:type="dxa"/>
            </w:tcMar>
          </w:tcPr>
          <w:p w14:paraId="3C069CE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1.4.1</w:t>
            </w:r>
          </w:p>
        </w:tc>
        <w:tc>
          <w:tcPr>
            <w:tcW w:w="2670" w:type="dxa"/>
            <w:tcBorders>
              <w:top w:val="single" w:sz="4" w:space="0" w:color="BDD7EE"/>
              <w:left w:val="single" w:sz="4" w:space="0" w:color="BDD7EE"/>
              <w:bottom w:val="single" w:sz="4" w:space="0" w:color="BDD7EE"/>
              <w:right w:val="single" w:sz="4" w:space="0" w:color="BDD7EE"/>
            </w:tcBorders>
            <w:tcMar>
              <w:left w:w="170" w:type="dxa"/>
            </w:tcMar>
          </w:tcPr>
          <w:p w14:paraId="64BEA42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Akreditacija/reakreditacija studijskih programa</w:t>
            </w:r>
          </w:p>
        </w:tc>
        <w:tc>
          <w:tcPr>
            <w:tcW w:w="2775" w:type="dxa"/>
            <w:tcBorders>
              <w:top w:val="single" w:sz="4" w:space="0" w:color="BDD7EE"/>
              <w:left w:val="single" w:sz="4" w:space="0" w:color="BDD7EE"/>
              <w:bottom w:val="single" w:sz="4" w:space="0" w:color="BDD7EE"/>
              <w:right w:val="single" w:sz="4" w:space="0" w:color="BDD7EE"/>
            </w:tcBorders>
            <w:tcMar>
              <w:left w:w="170" w:type="dxa"/>
            </w:tcMar>
          </w:tcPr>
          <w:p w14:paraId="00AD7D7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akreditovanih/reakreditovanih studijskih programa</w:t>
            </w:r>
          </w:p>
        </w:tc>
        <w:tc>
          <w:tcPr>
            <w:tcW w:w="1635" w:type="dxa"/>
            <w:gridSpan w:val="2"/>
            <w:tcBorders>
              <w:top w:val="single" w:sz="4" w:space="0" w:color="BDD7EE"/>
              <w:left w:val="single" w:sz="4" w:space="0" w:color="BDD7EE"/>
              <w:bottom w:val="single" w:sz="4" w:space="0" w:color="BDD7EE"/>
              <w:right w:val="single" w:sz="4" w:space="0" w:color="BDD7EE"/>
            </w:tcBorders>
            <w:tcMar>
              <w:left w:w="170" w:type="dxa"/>
            </w:tcMar>
            <w:vAlign w:val="center"/>
          </w:tcPr>
          <w:p w14:paraId="1AB3D2C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Agencija za kontrolu i obezbjeđenje kvaliteta visokog obrazovanja, Univerziteti</w:t>
            </w:r>
          </w:p>
        </w:tc>
        <w:tc>
          <w:tcPr>
            <w:tcW w:w="1320" w:type="dxa"/>
            <w:gridSpan w:val="2"/>
            <w:tcBorders>
              <w:top w:val="single" w:sz="4" w:space="0" w:color="BDD7EE"/>
              <w:left w:val="single" w:sz="4" w:space="0" w:color="BDD7EE"/>
              <w:bottom w:val="single" w:sz="4" w:space="0" w:color="BDD7EE"/>
              <w:right w:val="single" w:sz="4" w:space="0" w:color="BDD7EE"/>
            </w:tcBorders>
            <w:tcMar>
              <w:left w:w="170" w:type="dxa"/>
            </w:tcMar>
          </w:tcPr>
          <w:p w14:paraId="7FAA79E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260" w:type="dxa"/>
            <w:tcBorders>
              <w:top w:val="single" w:sz="4" w:space="0" w:color="BDD7EE"/>
              <w:left w:val="single" w:sz="4" w:space="0" w:color="BDD7EE"/>
              <w:bottom w:val="single" w:sz="4" w:space="0" w:color="BDD7EE"/>
              <w:right w:val="single" w:sz="4" w:space="0" w:color="BDD7EE"/>
            </w:tcBorders>
            <w:tcMar>
              <w:left w:w="170" w:type="dxa"/>
            </w:tcMar>
          </w:tcPr>
          <w:p w14:paraId="4A14900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Mar>
              <w:left w:w="170" w:type="dxa"/>
            </w:tcMar>
          </w:tcPr>
          <w:p w14:paraId="11E6B98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30.000 €</w:t>
            </w:r>
          </w:p>
        </w:tc>
        <w:tc>
          <w:tcPr>
            <w:tcW w:w="1530" w:type="dxa"/>
            <w:tcBorders>
              <w:top w:val="single" w:sz="4" w:space="0" w:color="BDD7EE"/>
              <w:left w:val="single" w:sz="4" w:space="0" w:color="BDD7EE"/>
              <w:bottom w:val="single" w:sz="4" w:space="0" w:color="BDD7EE"/>
              <w:right w:val="single" w:sz="4" w:space="0" w:color="BDD7EE"/>
            </w:tcBorders>
            <w:tcMar>
              <w:left w:w="170" w:type="dxa"/>
            </w:tcMar>
          </w:tcPr>
          <w:p w14:paraId="5B677CF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3C45336C" w14:textId="77777777">
        <w:tc>
          <w:tcPr>
            <w:tcW w:w="810" w:type="dxa"/>
            <w:tcBorders>
              <w:top w:val="single" w:sz="4" w:space="0" w:color="BDD7EE"/>
              <w:left w:val="single" w:sz="4" w:space="0" w:color="BDD7EE"/>
              <w:bottom w:val="single" w:sz="4" w:space="0" w:color="BDD7EE"/>
              <w:right w:val="single" w:sz="4" w:space="0" w:color="BDD7EE"/>
            </w:tcBorders>
            <w:tcMar>
              <w:left w:w="170" w:type="dxa"/>
            </w:tcMar>
          </w:tcPr>
          <w:p w14:paraId="009B1E5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1.4.2</w:t>
            </w:r>
          </w:p>
        </w:tc>
        <w:tc>
          <w:tcPr>
            <w:tcW w:w="2670" w:type="dxa"/>
            <w:tcBorders>
              <w:top w:val="single" w:sz="4" w:space="0" w:color="BDD7EE"/>
              <w:left w:val="single" w:sz="4" w:space="0" w:color="BDD7EE"/>
              <w:bottom w:val="single" w:sz="4" w:space="0" w:color="BDD7EE"/>
              <w:right w:val="single" w:sz="4" w:space="0" w:color="BDD7EE"/>
            </w:tcBorders>
            <w:tcMar>
              <w:left w:w="170" w:type="dxa"/>
            </w:tcMar>
          </w:tcPr>
          <w:p w14:paraId="59E8627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Kreiranje modela stipendiranja studenata ICT programa</w:t>
            </w:r>
          </w:p>
        </w:tc>
        <w:tc>
          <w:tcPr>
            <w:tcW w:w="2775" w:type="dxa"/>
            <w:tcBorders>
              <w:top w:val="single" w:sz="4" w:space="0" w:color="BDD7EE"/>
              <w:left w:val="single" w:sz="4" w:space="0" w:color="BDD7EE"/>
              <w:bottom w:val="single" w:sz="4" w:space="0" w:color="BDD7EE"/>
              <w:right w:val="single" w:sz="4" w:space="0" w:color="BDD7EE"/>
            </w:tcBorders>
            <w:tcMar>
              <w:left w:w="170" w:type="dxa"/>
            </w:tcMar>
          </w:tcPr>
          <w:p w14:paraId="4315A40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Krieran model stipendiranja</w:t>
            </w:r>
          </w:p>
        </w:tc>
        <w:tc>
          <w:tcPr>
            <w:tcW w:w="1635" w:type="dxa"/>
            <w:gridSpan w:val="2"/>
            <w:tcBorders>
              <w:top w:val="single" w:sz="4" w:space="0" w:color="BDD7EE"/>
              <w:left w:val="single" w:sz="4" w:space="0" w:color="BDD7EE"/>
              <w:bottom w:val="single" w:sz="4" w:space="0" w:color="BDD7EE"/>
              <w:right w:val="single" w:sz="4" w:space="0" w:color="BDD7EE"/>
            </w:tcBorders>
            <w:tcMar>
              <w:left w:w="170" w:type="dxa"/>
            </w:tcMar>
            <w:vAlign w:val="center"/>
          </w:tcPr>
          <w:p w14:paraId="3041919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 MPNKS, MJUDM, PKCG, ICT klasteri, Naučno-tehnološki centar</w:t>
            </w:r>
          </w:p>
        </w:tc>
        <w:tc>
          <w:tcPr>
            <w:tcW w:w="1320" w:type="dxa"/>
            <w:gridSpan w:val="2"/>
            <w:tcBorders>
              <w:top w:val="single" w:sz="4" w:space="0" w:color="BDD7EE"/>
              <w:left w:val="single" w:sz="4" w:space="0" w:color="BDD7EE"/>
              <w:bottom w:val="single" w:sz="4" w:space="0" w:color="BDD7EE"/>
              <w:right w:val="single" w:sz="4" w:space="0" w:color="BDD7EE"/>
            </w:tcBorders>
            <w:tcMar>
              <w:left w:w="170" w:type="dxa"/>
            </w:tcMar>
          </w:tcPr>
          <w:p w14:paraId="5E7AC51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260" w:type="dxa"/>
            <w:tcBorders>
              <w:top w:val="single" w:sz="4" w:space="0" w:color="BDD7EE"/>
              <w:left w:val="single" w:sz="4" w:space="0" w:color="BDD7EE"/>
              <w:bottom w:val="single" w:sz="4" w:space="0" w:color="BDD7EE"/>
              <w:right w:val="single" w:sz="4" w:space="0" w:color="BDD7EE"/>
            </w:tcBorders>
            <w:tcMar>
              <w:left w:w="170" w:type="dxa"/>
            </w:tcMar>
          </w:tcPr>
          <w:p w14:paraId="26E7D38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 kvartal 2022</w:t>
            </w:r>
          </w:p>
        </w:tc>
        <w:tc>
          <w:tcPr>
            <w:tcW w:w="1560" w:type="dxa"/>
            <w:gridSpan w:val="2"/>
            <w:tcBorders>
              <w:top w:val="single" w:sz="4" w:space="0" w:color="BDD7EE"/>
              <w:left w:val="single" w:sz="4" w:space="0" w:color="BDD7EE"/>
              <w:bottom w:val="single" w:sz="4" w:space="0" w:color="BDD7EE"/>
              <w:right w:val="single" w:sz="4" w:space="0" w:color="BDD7EE"/>
            </w:tcBorders>
            <w:tcMar>
              <w:left w:w="170" w:type="dxa"/>
            </w:tcMar>
          </w:tcPr>
          <w:p w14:paraId="26AAC98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2.500 €</w:t>
            </w:r>
          </w:p>
        </w:tc>
        <w:tc>
          <w:tcPr>
            <w:tcW w:w="1530" w:type="dxa"/>
            <w:tcBorders>
              <w:top w:val="single" w:sz="4" w:space="0" w:color="BDD7EE"/>
              <w:left w:val="single" w:sz="4" w:space="0" w:color="BDD7EE"/>
              <w:bottom w:val="single" w:sz="4" w:space="0" w:color="BDD7EE"/>
              <w:right w:val="single" w:sz="4" w:space="0" w:color="BDD7EE"/>
            </w:tcBorders>
            <w:tcMar>
              <w:left w:w="170" w:type="dxa"/>
            </w:tcMar>
          </w:tcPr>
          <w:p w14:paraId="0101C73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276349FF" w14:textId="77777777">
        <w:tc>
          <w:tcPr>
            <w:tcW w:w="810" w:type="dxa"/>
            <w:tcBorders>
              <w:top w:val="single" w:sz="4" w:space="0" w:color="BDD7EE"/>
              <w:left w:val="single" w:sz="4" w:space="0" w:color="BDD7EE"/>
              <w:bottom w:val="single" w:sz="4" w:space="0" w:color="BDD7EE"/>
              <w:right w:val="single" w:sz="4" w:space="0" w:color="BDD7EE"/>
            </w:tcBorders>
            <w:tcMar>
              <w:left w:w="170" w:type="dxa"/>
            </w:tcMar>
          </w:tcPr>
          <w:p w14:paraId="45D27BE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1.4.3</w:t>
            </w:r>
          </w:p>
        </w:tc>
        <w:tc>
          <w:tcPr>
            <w:tcW w:w="2670" w:type="dxa"/>
            <w:tcBorders>
              <w:top w:val="single" w:sz="4" w:space="0" w:color="BDD7EE"/>
              <w:left w:val="single" w:sz="4" w:space="0" w:color="BDD7EE"/>
              <w:bottom w:val="single" w:sz="4" w:space="0" w:color="BDD7EE"/>
              <w:right w:val="single" w:sz="4" w:space="0" w:color="BDD7EE"/>
            </w:tcBorders>
            <w:tcMar>
              <w:left w:w="170" w:type="dxa"/>
            </w:tcMar>
          </w:tcPr>
          <w:p w14:paraId="36E8C8D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Stipendiranje studenata iz oblasti IKT-a</w:t>
            </w:r>
          </w:p>
        </w:tc>
        <w:tc>
          <w:tcPr>
            <w:tcW w:w="2775" w:type="dxa"/>
            <w:tcBorders>
              <w:top w:val="single" w:sz="4" w:space="0" w:color="BDD7EE"/>
              <w:left w:val="single" w:sz="4" w:space="0" w:color="BDD7EE"/>
              <w:bottom w:val="single" w:sz="4" w:space="0" w:color="BDD7EE"/>
              <w:right w:val="single" w:sz="4" w:space="0" w:color="BDD7EE"/>
            </w:tcBorders>
            <w:tcMar>
              <w:left w:w="170" w:type="dxa"/>
            </w:tcMar>
          </w:tcPr>
          <w:p w14:paraId="1B6D3A6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Broj stipendiranih studenata </w:t>
            </w:r>
          </w:p>
        </w:tc>
        <w:tc>
          <w:tcPr>
            <w:tcW w:w="1635" w:type="dxa"/>
            <w:gridSpan w:val="2"/>
            <w:tcBorders>
              <w:top w:val="single" w:sz="4" w:space="0" w:color="BDD7EE"/>
              <w:left w:val="single" w:sz="4" w:space="0" w:color="BDD7EE"/>
              <w:bottom w:val="single" w:sz="4" w:space="0" w:color="BDD7EE"/>
              <w:right w:val="single" w:sz="4" w:space="0" w:color="BDD7EE"/>
            </w:tcBorders>
            <w:tcMar>
              <w:left w:w="170" w:type="dxa"/>
            </w:tcMar>
            <w:vAlign w:val="center"/>
          </w:tcPr>
          <w:p w14:paraId="4866E6B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MPNKS, MJUDM, ICT klasteri, PKCG, Naučno-tehnološki centar</w:t>
            </w:r>
          </w:p>
        </w:tc>
        <w:tc>
          <w:tcPr>
            <w:tcW w:w="1320" w:type="dxa"/>
            <w:gridSpan w:val="2"/>
            <w:tcBorders>
              <w:top w:val="single" w:sz="4" w:space="0" w:color="BDD7EE"/>
              <w:left w:val="single" w:sz="4" w:space="0" w:color="BDD7EE"/>
              <w:bottom w:val="single" w:sz="4" w:space="0" w:color="BDD7EE"/>
              <w:right w:val="single" w:sz="4" w:space="0" w:color="BDD7EE"/>
            </w:tcBorders>
            <w:tcMar>
              <w:left w:w="170" w:type="dxa"/>
            </w:tcMar>
          </w:tcPr>
          <w:p w14:paraId="2EAD33F9"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 kvartal 2022</w:t>
            </w:r>
          </w:p>
        </w:tc>
        <w:tc>
          <w:tcPr>
            <w:tcW w:w="1260" w:type="dxa"/>
            <w:tcBorders>
              <w:top w:val="single" w:sz="4" w:space="0" w:color="BDD7EE"/>
              <w:left w:val="single" w:sz="4" w:space="0" w:color="BDD7EE"/>
              <w:bottom w:val="single" w:sz="4" w:space="0" w:color="BDD7EE"/>
              <w:right w:val="single" w:sz="4" w:space="0" w:color="BDD7EE"/>
            </w:tcBorders>
            <w:tcMar>
              <w:left w:w="170" w:type="dxa"/>
            </w:tcMar>
          </w:tcPr>
          <w:p w14:paraId="45AFB43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Mar>
              <w:left w:w="170" w:type="dxa"/>
            </w:tcMar>
          </w:tcPr>
          <w:p w14:paraId="00A19D3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36.000 €</w:t>
            </w:r>
          </w:p>
        </w:tc>
        <w:tc>
          <w:tcPr>
            <w:tcW w:w="1530" w:type="dxa"/>
            <w:tcBorders>
              <w:top w:val="single" w:sz="4" w:space="0" w:color="BDD7EE"/>
              <w:left w:val="single" w:sz="4" w:space="0" w:color="BDD7EE"/>
              <w:bottom w:val="single" w:sz="4" w:space="0" w:color="BDD7EE"/>
              <w:right w:val="single" w:sz="4" w:space="0" w:color="BDD7EE"/>
            </w:tcBorders>
            <w:tcMar>
              <w:left w:w="170" w:type="dxa"/>
            </w:tcMar>
          </w:tcPr>
          <w:p w14:paraId="5319FF4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0EC3A7F7" w14:textId="77777777">
        <w:tc>
          <w:tcPr>
            <w:tcW w:w="3480" w:type="dxa"/>
            <w:gridSpan w:val="2"/>
            <w:tcBorders>
              <w:top w:val="single" w:sz="4" w:space="0" w:color="BDD7EE"/>
              <w:bottom w:val="single" w:sz="4" w:space="0" w:color="BDD7EE"/>
            </w:tcBorders>
            <w:shd w:val="clear" w:color="auto" w:fill="B4C6E7"/>
          </w:tcPr>
          <w:p w14:paraId="271A7C9A"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10080" w:type="dxa"/>
            <w:gridSpan w:val="9"/>
            <w:tcBorders>
              <w:top w:val="single" w:sz="4" w:space="0" w:color="BDD7EE"/>
              <w:bottom w:val="single" w:sz="4" w:space="0" w:color="BDD7EE"/>
            </w:tcBorders>
            <w:shd w:val="clear" w:color="auto" w:fill="B4C6E7"/>
          </w:tcPr>
          <w:p w14:paraId="3E2AE5EE"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Podsticanje zapošljivosti kroz uspostavljanje sistema podrške za sticanje znanja i vještina</w:t>
            </w:r>
          </w:p>
        </w:tc>
      </w:tr>
      <w:tr w:rsidR="005B3072" w14:paraId="4C1FE39F" w14:textId="77777777">
        <w:tc>
          <w:tcPr>
            <w:tcW w:w="348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30F73A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775"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02D51EC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35"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50B2A0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2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5857A4E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26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355D1E3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6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505DBD1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3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372CC8C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6C2C1153" w14:textId="77777777">
        <w:tc>
          <w:tcPr>
            <w:tcW w:w="810" w:type="dxa"/>
            <w:tcBorders>
              <w:top w:val="single" w:sz="4" w:space="0" w:color="BDD7EE"/>
              <w:left w:val="single" w:sz="4" w:space="0" w:color="BDD7EE"/>
              <w:bottom w:val="single" w:sz="4" w:space="0" w:color="BDD7EE"/>
              <w:right w:val="single" w:sz="4" w:space="0" w:color="BDD7EE"/>
            </w:tcBorders>
          </w:tcPr>
          <w:p w14:paraId="7E6C165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1.4.4</w:t>
            </w:r>
          </w:p>
        </w:tc>
        <w:tc>
          <w:tcPr>
            <w:tcW w:w="2670" w:type="dxa"/>
            <w:tcBorders>
              <w:top w:val="single" w:sz="4" w:space="0" w:color="BDD7EE"/>
              <w:left w:val="single" w:sz="4" w:space="0" w:color="BDD7EE"/>
              <w:bottom w:val="single" w:sz="4" w:space="0" w:color="BDD7EE"/>
              <w:right w:val="single" w:sz="4" w:space="0" w:color="BDD7EE"/>
            </w:tcBorders>
          </w:tcPr>
          <w:p w14:paraId="13A2D23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Sprovođenje one-stop-shop modela za 75 mladih sa akcentom na unapređenju digitalnih vještina</w:t>
            </w:r>
          </w:p>
        </w:tc>
        <w:tc>
          <w:tcPr>
            <w:tcW w:w="2775" w:type="dxa"/>
            <w:tcBorders>
              <w:top w:val="single" w:sz="4" w:space="0" w:color="BDD7EE"/>
              <w:left w:val="single" w:sz="4" w:space="0" w:color="BDD7EE"/>
              <w:bottom w:val="single" w:sz="4" w:space="0" w:color="BDD7EE"/>
              <w:right w:val="single" w:sz="4" w:space="0" w:color="BDD7EE"/>
            </w:tcBorders>
          </w:tcPr>
          <w:p w14:paraId="6866648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obučenih mladih ljudi </w:t>
            </w:r>
          </w:p>
          <w:p w14:paraId="3B2CBC15"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3E384E51"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635" w:type="dxa"/>
            <w:gridSpan w:val="2"/>
            <w:tcBorders>
              <w:top w:val="single" w:sz="4" w:space="0" w:color="BDD7EE"/>
              <w:left w:val="single" w:sz="4" w:space="0" w:color="BDD7EE"/>
              <w:bottom w:val="single" w:sz="4" w:space="0" w:color="BDD7EE"/>
              <w:right w:val="single" w:sz="4" w:space="0" w:color="BDD7EE"/>
            </w:tcBorders>
          </w:tcPr>
          <w:p w14:paraId="1121475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44BB1DF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NVO</w:t>
            </w:r>
          </w:p>
        </w:tc>
        <w:tc>
          <w:tcPr>
            <w:tcW w:w="1320" w:type="dxa"/>
            <w:gridSpan w:val="2"/>
            <w:tcBorders>
              <w:top w:val="single" w:sz="4" w:space="0" w:color="BDD7EE"/>
              <w:left w:val="single" w:sz="4" w:space="0" w:color="BDD7EE"/>
              <w:bottom w:val="single" w:sz="4" w:space="0" w:color="BDD7EE"/>
              <w:right w:val="single" w:sz="4" w:space="0" w:color="BDD7EE"/>
            </w:tcBorders>
          </w:tcPr>
          <w:p w14:paraId="59785CA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260" w:type="dxa"/>
            <w:tcBorders>
              <w:top w:val="single" w:sz="4" w:space="0" w:color="BDD7EE"/>
              <w:left w:val="single" w:sz="4" w:space="0" w:color="BDD7EE"/>
              <w:bottom w:val="single" w:sz="4" w:space="0" w:color="BDD7EE"/>
              <w:right w:val="single" w:sz="4" w:space="0" w:color="BDD7EE"/>
            </w:tcBorders>
          </w:tcPr>
          <w:p w14:paraId="79872BA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560" w:type="dxa"/>
            <w:gridSpan w:val="2"/>
            <w:tcBorders>
              <w:top w:val="single" w:sz="4" w:space="0" w:color="BDD7EE"/>
              <w:left w:val="single" w:sz="4" w:space="0" w:color="BDD7EE"/>
              <w:bottom w:val="single" w:sz="4" w:space="0" w:color="BDD7EE"/>
              <w:right w:val="single" w:sz="4" w:space="0" w:color="BDD7EE"/>
            </w:tcBorders>
          </w:tcPr>
          <w:p w14:paraId="51A3E18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91.420 €</w:t>
            </w:r>
          </w:p>
        </w:tc>
        <w:tc>
          <w:tcPr>
            <w:tcW w:w="1530" w:type="dxa"/>
            <w:tcBorders>
              <w:top w:val="single" w:sz="4" w:space="0" w:color="BDD7EE"/>
              <w:left w:val="single" w:sz="4" w:space="0" w:color="BDD7EE"/>
              <w:bottom w:val="single" w:sz="4" w:space="0" w:color="BDD7EE"/>
              <w:right w:val="single" w:sz="4" w:space="0" w:color="BDD7EE"/>
            </w:tcBorders>
          </w:tcPr>
          <w:p w14:paraId="17106CD6" w14:textId="77777777" w:rsidR="005B3072" w:rsidRDefault="00A46913">
            <w:pPr>
              <w:pBdr>
                <w:top w:val="nil"/>
                <w:left w:val="nil"/>
                <w:bottom w:val="nil"/>
                <w:right w:val="nil"/>
                <w:between w:val="nil"/>
              </w:pBdr>
              <w:spacing w:before="20"/>
              <w:rPr>
                <w:rFonts w:ascii="Sitka Text" w:eastAsia="Sitka Text" w:hAnsi="Sitka Text" w:cs="Sitka Text"/>
                <w:color w:val="1F4E79"/>
                <w:highlight w:val="yellow"/>
              </w:rPr>
            </w:pPr>
            <w:r>
              <w:rPr>
                <w:rFonts w:ascii="Sitka Text" w:eastAsia="Sitka Text" w:hAnsi="Sitka Text" w:cs="Sitka Text"/>
                <w:color w:val="1F4E79"/>
              </w:rPr>
              <w:t>Donacija EK</w:t>
            </w:r>
          </w:p>
        </w:tc>
      </w:tr>
      <w:tr w:rsidR="005B3072" w14:paraId="0810FBB7" w14:textId="77777777">
        <w:tc>
          <w:tcPr>
            <w:tcW w:w="810" w:type="dxa"/>
            <w:tcBorders>
              <w:top w:val="single" w:sz="4" w:space="0" w:color="BDD7EE"/>
              <w:left w:val="single" w:sz="4" w:space="0" w:color="BDD7EE"/>
              <w:bottom w:val="single" w:sz="4" w:space="0" w:color="BDD7EE"/>
              <w:right w:val="single" w:sz="4" w:space="0" w:color="BDD7EE"/>
            </w:tcBorders>
          </w:tcPr>
          <w:p w14:paraId="71A1973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1.4.5</w:t>
            </w:r>
          </w:p>
        </w:tc>
        <w:tc>
          <w:tcPr>
            <w:tcW w:w="2670" w:type="dxa"/>
            <w:tcBorders>
              <w:top w:val="single" w:sz="4" w:space="0" w:color="BDD7EE"/>
              <w:left w:val="single" w:sz="4" w:space="0" w:color="BDD7EE"/>
              <w:bottom w:val="single" w:sz="4" w:space="0" w:color="BDD7EE"/>
              <w:right w:val="single" w:sz="4" w:space="0" w:color="BDD7EE"/>
            </w:tcBorders>
          </w:tcPr>
          <w:p w14:paraId="5F32C86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Analize ponude programa iz oblasti IKT-a organizatora obrazovanja odraslih</w:t>
            </w:r>
          </w:p>
        </w:tc>
        <w:tc>
          <w:tcPr>
            <w:tcW w:w="2775" w:type="dxa"/>
            <w:tcBorders>
              <w:top w:val="single" w:sz="4" w:space="0" w:color="BDD7EE"/>
              <w:left w:val="single" w:sz="4" w:space="0" w:color="BDD7EE"/>
              <w:bottom w:val="single" w:sz="4" w:space="0" w:color="BDD7EE"/>
              <w:right w:val="single" w:sz="4" w:space="0" w:color="BDD7EE"/>
            </w:tcBorders>
          </w:tcPr>
          <w:p w14:paraId="3A3F3D3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Izvještaj o Analizi ponude programa iz oblasti IKT-a organizatora obrazovanja odraslih </w:t>
            </w:r>
          </w:p>
        </w:tc>
        <w:tc>
          <w:tcPr>
            <w:tcW w:w="1635" w:type="dxa"/>
            <w:gridSpan w:val="2"/>
            <w:tcBorders>
              <w:top w:val="single" w:sz="4" w:space="0" w:color="BDD7EE"/>
              <w:left w:val="single" w:sz="4" w:space="0" w:color="BDD7EE"/>
              <w:bottom w:val="single" w:sz="4" w:space="0" w:color="BDD7EE"/>
              <w:right w:val="single" w:sz="4" w:space="0" w:color="BDD7EE"/>
            </w:tcBorders>
            <w:vAlign w:val="center"/>
          </w:tcPr>
          <w:p w14:paraId="271CFF8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MPNKS, </w:t>
            </w:r>
          </w:p>
          <w:p w14:paraId="1E8320D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MJUDDM, </w:t>
            </w:r>
          </w:p>
          <w:p w14:paraId="278F2F7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CSO, </w:t>
            </w:r>
          </w:p>
          <w:p w14:paraId="3B1DE3B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Organizatori obrazovanja odraslih</w:t>
            </w:r>
          </w:p>
        </w:tc>
        <w:tc>
          <w:tcPr>
            <w:tcW w:w="1320" w:type="dxa"/>
            <w:gridSpan w:val="2"/>
            <w:tcBorders>
              <w:top w:val="single" w:sz="4" w:space="0" w:color="BDD7EE"/>
              <w:left w:val="single" w:sz="4" w:space="0" w:color="BDD7EE"/>
              <w:bottom w:val="single" w:sz="4" w:space="0" w:color="BDD7EE"/>
              <w:right w:val="single" w:sz="4" w:space="0" w:color="BDD7EE"/>
            </w:tcBorders>
          </w:tcPr>
          <w:p w14:paraId="04B6CA3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260" w:type="dxa"/>
            <w:tcBorders>
              <w:top w:val="single" w:sz="4" w:space="0" w:color="BDD7EE"/>
              <w:left w:val="single" w:sz="4" w:space="0" w:color="BDD7EE"/>
              <w:bottom w:val="single" w:sz="4" w:space="0" w:color="BDD7EE"/>
              <w:right w:val="single" w:sz="4" w:space="0" w:color="BDD7EE"/>
            </w:tcBorders>
          </w:tcPr>
          <w:p w14:paraId="7379544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560" w:type="dxa"/>
            <w:gridSpan w:val="2"/>
            <w:tcBorders>
              <w:top w:val="single" w:sz="4" w:space="0" w:color="BDD7EE"/>
              <w:left w:val="single" w:sz="4" w:space="0" w:color="BDD7EE"/>
              <w:bottom w:val="single" w:sz="4" w:space="0" w:color="BDD7EE"/>
              <w:right w:val="single" w:sz="4" w:space="0" w:color="BDD7EE"/>
            </w:tcBorders>
          </w:tcPr>
          <w:p w14:paraId="10A445D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2.000 €</w:t>
            </w:r>
          </w:p>
        </w:tc>
        <w:tc>
          <w:tcPr>
            <w:tcW w:w="1530" w:type="dxa"/>
            <w:tcBorders>
              <w:top w:val="single" w:sz="4" w:space="0" w:color="BDD7EE"/>
              <w:left w:val="single" w:sz="4" w:space="0" w:color="BDD7EE"/>
              <w:bottom w:val="single" w:sz="4" w:space="0" w:color="BDD7EE"/>
              <w:right w:val="single" w:sz="4" w:space="0" w:color="BDD7EE"/>
            </w:tcBorders>
          </w:tcPr>
          <w:p w14:paraId="0918661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2C71E02E" w14:textId="77777777">
        <w:tc>
          <w:tcPr>
            <w:tcW w:w="810" w:type="dxa"/>
            <w:tcBorders>
              <w:top w:val="single" w:sz="4" w:space="0" w:color="BDD7EE"/>
              <w:left w:val="single" w:sz="4" w:space="0" w:color="BDD7EE"/>
              <w:bottom w:val="single" w:sz="4" w:space="0" w:color="BDD7EE"/>
              <w:right w:val="single" w:sz="4" w:space="0" w:color="BDD7EE"/>
            </w:tcBorders>
          </w:tcPr>
          <w:p w14:paraId="0E9544E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1.4.6</w:t>
            </w:r>
          </w:p>
        </w:tc>
        <w:tc>
          <w:tcPr>
            <w:tcW w:w="2670" w:type="dxa"/>
            <w:tcBorders>
              <w:top w:val="single" w:sz="4" w:space="0" w:color="BDD7EE"/>
              <w:left w:val="single" w:sz="4" w:space="0" w:color="BDD7EE"/>
              <w:bottom w:val="single" w:sz="4" w:space="0" w:color="BDD7EE"/>
              <w:right w:val="single" w:sz="4" w:space="0" w:color="BDD7EE"/>
            </w:tcBorders>
          </w:tcPr>
          <w:p w14:paraId="0F81B00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Kreiranje i akreditovanje novih programa obuke iz oblasti IKT-a organizatora obrazovanja odraslih</w:t>
            </w:r>
          </w:p>
          <w:p w14:paraId="7D49FEE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2775" w:type="dxa"/>
            <w:tcBorders>
              <w:top w:val="single" w:sz="4" w:space="0" w:color="BDD7EE"/>
              <w:left w:val="single" w:sz="4" w:space="0" w:color="BDD7EE"/>
              <w:bottom w:val="single" w:sz="4" w:space="0" w:color="BDD7EE"/>
              <w:right w:val="single" w:sz="4" w:space="0" w:color="BDD7EE"/>
            </w:tcBorders>
          </w:tcPr>
          <w:p w14:paraId="1AC4333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akreditovanih novih programa </w:t>
            </w:r>
          </w:p>
        </w:tc>
        <w:tc>
          <w:tcPr>
            <w:tcW w:w="1635" w:type="dxa"/>
            <w:gridSpan w:val="2"/>
            <w:tcBorders>
              <w:top w:val="single" w:sz="4" w:space="0" w:color="BDD7EE"/>
              <w:left w:val="single" w:sz="4" w:space="0" w:color="BDD7EE"/>
              <w:bottom w:val="single" w:sz="4" w:space="0" w:color="BDD7EE"/>
              <w:right w:val="single" w:sz="4" w:space="0" w:color="BDD7EE"/>
            </w:tcBorders>
          </w:tcPr>
          <w:p w14:paraId="73ED9C6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MPNKS, </w:t>
            </w:r>
          </w:p>
          <w:p w14:paraId="7D96B41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MJUDM, CSO,</w:t>
            </w:r>
          </w:p>
          <w:p w14:paraId="19880D6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PKCG, </w:t>
            </w:r>
          </w:p>
          <w:p w14:paraId="13771F0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ICT klaster, Organizatori obrazovanja odraslih</w:t>
            </w:r>
          </w:p>
        </w:tc>
        <w:tc>
          <w:tcPr>
            <w:tcW w:w="1320" w:type="dxa"/>
            <w:gridSpan w:val="2"/>
            <w:tcBorders>
              <w:top w:val="single" w:sz="4" w:space="0" w:color="BDD7EE"/>
              <w:left w:val="single" w:sz="4" w:space="0" w:color="BDD7EE"/>
              <w:bottom w:val="single" w:sz="4" w:space="0" w:color="BDD7EE"/>
              <w:right w:val="single" w:sz="4" w:space="0" w:color="BDD7EE"/>
            </w:tcBorders>
          </w:tcPr>
          <w:p w14:paraId="5BEE3DF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260" w:type="dxa"/>
            <w:tcBorders>
              <w:top w:val="single" w:sz="4" w:space="0" w:color="BDD7EE"/>
              <w:left w:val="single" w:sz="4" w:space="0" w:color="BDD7EE"/>
              <w:bottom w:val="single" w:sz="4" w:space="0" w:color="BDD7EE"/>
              <w:right w:val="single" w:sz="4" w:space="0" w:color="BDD7EE"/>
            </w:tcBorders>
          </w:tcPr>
          <w:p w14:paraId="5DCCE2B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60" w:type="dxa"/>
            <w:gridSpan w:val="2"/>
            <w:tcBorders>
              <w:top w:val="single" w:sz="4" w:space="0" w:color="BDD7EE"/>
              <w:left w:val="single" w:sz="4" w:space="0" w:color="BDD7EE"/>
              <w:bottom w:val="single" w:sz="4" w:space="0" w:color="BDD7EE"/>
              <w:right w:val="single" w:sz="4" w:space="0" w:color="BDD7EE"/>
            </w:tcBorders>
          </w:tcPr>
          <w:p w14:paraId="182224C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20.000 €</w:t>
            </w:r>
          </w:p>
        </w:tc>
        <w:tc>
          <w:tcPr>
            <w:tcW w:w="1530" w:type="dxa"/>
            <w:tcBorders>
              <w:top w:val="single" w:sz="4" w:space="0" w:color="BDD7EE"/>
              <w:left w:val="single" w:sz="4" w:space="0" w:color="BDD7EE"/>
              <w:bottom w:val="single" w:sz="4" w:space="0" w:color="BDD7EE"/>
              <w:right w:val="single" w:sz="4" w:space="0" w:color="BDD7EE"/>
            </w:tcBorders>
          </w:tcPr>
          <w:p w14:paraId="70E8C24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3B49A086" w14:textId="77777777">
        <w:tc>
          <w:tcPr>
            <w:tcW w:w="810" w:type="dxa"/>
            <w:tcBorders>
              <w:top w:val="single" w:sz="4" w:space="0" w:color="BDD7EE"/>
              <w:left w:val="single" w:sz="4" w:space="0" w:color="BDD7EE"/>
              <w:bottom w:val="single" w:sz="4" w:space="0" w:color="BDD7EE"/>
              <w:right w:val="single" w:sz="4" w:space="0" w:color="BDD7EE"/>
            </w:tcBorders>
          </w:tcPr>
          <w:p w14:paraId="27B21C2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1.4.7</w:t>
            </w:r>
          </w:p>
        </w:tc>
        <w:tc>
          <w:tcPr>
            <w:tcW w:w="2670" w:type="dxa"/>
            <w:tcBorders>
              <w:top w:val="single" w:sz="4" w:space="0" w:color="BDD7EE"/>
              <w:left w:val="single" w:sz="4" w:space="0" w:color="BDD7EE"/>
              <w:bottom w:val="single" w:sz="4" w:space="0" w:color="BDD7EE"/>
              <w:right w:val="single" w:sz="4" w:space="0" w:color="BDD7EE"/>
            </w:tcBorders>
          </w:tcPr>
          <w:p w14:paraId="76EEDD0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Realizacija programa obuke iz oblasti IKT-a organizatora obrazovanja odraslih</w:t>
            </w:r>
          </w:p>
          <w:p w14:paraId="44A26614"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2775" w:type="dxa"/>
            <w:tcBorders>
              <w:top w:val="single" w:sz="4" w:space="0" w:color="BDD7EE"/>
              <w:left w:val="single" w:sz="4" w:space="0" w:color="BDD7EE"/>
              <w:bottom w:val="single" w:sz="4" w:space="0" w:color="BDD7EE"/>
              <w:right w:val="single" w:sz="4" w:space="0" w:color="BDD7EE"/>
            </w:tcBorders>
          </w:tcPr>
          <w:p w14:paraId="2532F5F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obučenih osoba iz oblasti IKT-a </w:t>
            </w:r>
          </w:p>
        </w:tc>
        <w:tc>
          <w:tcPr>
            <w:tcW w:w="1635" w:type="dxa"/>
            <w:gridSpan w:val="2"/>
            <w:tcBorders>
              <w:top w:val="single" w:sz="4" w:space="0" w:color="BDD7EE"/>
              <w:left w:val="single" w:sz="4" w:space="0" w:color="BDD7EE"/>
              <w:bottom w:val="single" w:sz="4" w:space="0" w:color="BDD7EE"/>
              <w:right w:val="single" w:sz="4" w:space="0" w:color="BDD7EE"/>
            </w:tcBorders>
          </w:tcPr>
          <w:p w14:paraId="2F11EEE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MJUDM, </w:t>
            </w:r>
          </w:p>
          <w:p w14:paraId="5E05D66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ZZZCG,</w:t>
            </w:r>
          </w:p>
          <w:p w14:paraId="20FFDF4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Organizatori obrazovanja odraslih</w:t>
            </w:r>
          </w:p>
        </w:tc>
        <w:tc>
          <w:tcPr>
            <w:tcW w:w="1320" w:type="dxa"/>
            <w:gridSpan w:val="2"/>
            <w:tcBorders>
              <w:top w:val="single" w:sz="4" w:space="0" w:color="BDD7EE"/>
              <w:left w:val="single" w:sz="4" w:space="0" w:color="BDD7EE"/>
              <w:bottom w:val="single" w:sz="4" w:space="0" w:color="BDD7EE"/>
              <w:right w:val="single" w:sz="4" w:space="0" w:color="BDD7EE"/>
            </w:tcBorders>
          </w:tcPr>
          <w:p w14:paraId="13256BC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260" w:type="dxa"/>
            <w:tcBorders>
              <w:top w:val="single" w:sz="4" w:space="0" w:color="BDD7EE"/>
              <w:left w:val="single" w:sz="4" w:space="0" w:color="BDD7EE"/>
              <w:bottom w:val="single" w:sz="4" w:space="0" w:color="BDD7EE"/>
              <w:right w:val="single" w:sz="4" w:space="0" w:color="BDD7EE"/>
            </w:tcBorders>
          </w:tcPr>
          <w:p w14:paraId="1DA57C7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Pr>
          <w:p w14:paraId="70A5287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70.000 €</w:t>
            </w:r>
          </w:p>
        </w:tc>
        <w:tc>
          <w:tcPr>
            <w:tcW w:w="1530" w:type="dxa"/>
            <w:tcBorders>
              <w:top w:val="single" w:sz="4" w:space="0" w:color="BDD7EE"/>
              <w:left w:val="single" w:sz="4" w:space="0" w:color="BDD7EE"/>
              <w:bottom w:val="single" w:sz="4" w:space="0" w:color="BDD7EE"/>
              <w:right w:val="single" w:sz="4" w:space="0" w:color="BDD7EE"/>
            </w:tcBorders>
          </w:tcPr>
          <w:p w14:paraId="0B0E366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479AE550" w14:textId="77777777">
        <w:tc>
          <w:tcPr>
            <w:tcW w:w="810" w:type="dxa"/>
            <w:tcBorders>
              <w:top w:val="single" w:sz="4" w:space="0" w:color="BDD7EE"/>
              <w:left w:val="single" w:sz="4" w:space="0" w:color="BDD7EE"/>
              <w:bottom w:val="single" w:sz="4" w:space="0" w:color="BDD7EE"/>
              <w:right w:val="single" w:sz="4" w:space="0" w:color="BDD7EE"/>
            </w:tcBorders>
          </w:tcPr>
          <w:p w14:paraId="12A01AB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1.4.8</w:t>
            </w:r>
          </w:p>
        </w:tc>
        <w:tc>
          <w:tcPr>
            <w:tcW w:w="2670" w:type="dxa"/>
            <w:tcBorders>
              <w:top w:val="single" w:sz="4" w:space="0" w:color="BDD7EE"/>
              <w:left w:val="single" w:sz="4" w:space="0" w:color="BDD7EE"/>
              <w:bottom w:val="single" w:sz="4" w:space="0" w:color="BDD7EE"/>
              <w:right w:val="single" w:sz="4" w:space="0" w:color="BDD7EE"/>
            </w:tcBorders>
          </w:tcPr>
          <w:p w14:paraId="232E60E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analize kojom će se utvrditi postojeći nivo znanja i vještina u oblastima STEMa i digitalne transformacije</w:t>
            </w:r>
          </w:p>
        </w:tc>
        <w:tc>
          <w:tcPr>
            <w:tcW w:w="2775" w:type="dxa"/>
            <w:tcBorders>
              <w:top w:val="single" w:sz="4" w:space="0" w:color="BDD7EE"/>
              <w:left w:val="single" w:sz="4" w:space="0" w:color="BDD7EE"/>
              <w:bottom w:val="single" w:sz="4" w:space="0" w:color="BDD7EE"/>
              <w:right w:val="single" w:sz="4" w:space="0" w:color="BDD7EE"/>
            </w:tcBorders>
          </w:tcPr>
          <w:p w14:paraId="4548907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Izrađena analiza </w:t>
            </w:r>
          </w:p>
        </w:tc>
        <w:tc>
          <w:tcPr>
            <w:tcW w:w="1635" w:type="dxa"/>
            <w:gridSpan w:val="2"/>
            <w:tcBorders>
              <w:top w:val="single" w:sz="4" w:space="0" w:color="BDD7EE"/>
              <w:left w:val="single" w:sz="4" w:space="0" w:color="BDD7EE"/>
              <w:bottom w:val="single" w:sz="4" w:space="0" w:color="BDD7EE"/>
              <w:right w:val="single" w:sz="4" w:space="0" w:color="BDD7EE"/>
            </w:tcBorders>
          </w:tcPr>
          <w:p w14:paraId="0BDB7D4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7E60CD6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UNDP</w:t>
            </w:r>
          </w:p>
        </w:tc>
        <w:tc>
          <w:tcPr>
            <w:tcW w:w="1320" w:type="dxa"/>
            <w:gridSpan w:val="2"/>
            <w:tcBorders>
              <w:top w:val="single" w:sz="4" w:space="0" w:color="BDD7EE"/>
              <w:left w:val="single" w:sz="4" w:space="0" w:color="BDD7EE"/>
              <w:bottom w:val="single" w:sz="4" w:space="0" w:color="BDD7EE"/>
              <w:right w:val="single" w:sz="4" w:space="0" w:color="BDD7EE"/>
            </w:tcBorders>
          </w:tcPr>
          <w:p w14:paraId="62B5ABE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260" w:type="dxa"/>
            <w:tcBorders>
              <w:top w:val="single" w:sz="4" w:space="0" w:color="BDD7EE"/>
              <w:left w:val="single" w:sz="4" w:space="0" w:color="BDD7EE"/>
              <w:bottom w:val="single" w:sz="4" w:space="0" w:color="BDD7EE"/>
              <w:right w:val="single" w:sz="4" w:space="0" w:color="BDD7EE"/>
            </w:tcBorders>
          </w:tcPr>
          <w:p w14:paraId="6E8FDC7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2023</w:t>
            </w:r>
          </w:p>
        </w:tc>
        <w:tc>
          <w:tcPr>
            <w:tcW w:w="1560" w:type="dxa"/>
            <w:gridSpan w:val="2"/>
            <w:tcBorders>
              <w:top w:val="single" w:sz="4" w:space="0" w:color="BDD7EE"/>
              <w:left w:val="single" w:sz="4" w:space="0" w:color="BDD7EE"/>
              <w:bottom w:val="single" w:sz="4" w:space="0" w:color="BDD7EE"/>
              <w:right w:val="single" w:sz="4" w:space="0" w:color="BDD7EE"/>
            </w:tcBorders>
          </w:tcPr>
          <w:p w14:paraId="200A63A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50.000 €</w:t>
            </w:r>
          </w:p>
        </w:tc>
        <w:tc>
          <w:tcPr>
            <w:tcW w:w="1530" w:type="dxa"/>
            <w:tcBorders>
              <w:top w:val="single" w:sz="4" w:space="0" w:color="BDD7EE"/>
              <w:left w:val="single" w:sz="4" w:space="0" w:color="BDD7EE"/>
              <w:bottom w:val="single" w:sz="4" w:space="0" w:color="BDD7EE"/>
              <w:right w:val="single" w:sz="4" w:space="0" w:color="BDD7EE"/>
            </w:tcBorders>
          </w:tcPr>
          <w:p w14:paraId="499DD90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Donatroska podrška</w:t>
            </w:r>
          </w:p>
        </w:tc>
      </w:tr>
      <w:tr w:rsidR="005B3072" w14:paraId="21B76136" w14:textId="77777777">
        <w:tc>
          <w:tcPr>
            <w:tcW w:w="3480" w:type="dxa"/>
            <w:gridSpan w:val="2"/>
            <w:tcBorders>
              <w:top w:val="single" w:sz="4" w:space="0" w:color="BDD7EE"/>
              <w:bottom w:val="single" w:sz="4" w:space="0" w:color="BDD7EE"/>
            </w:tcBorders>
            <w:shd w:val="clear" w:color="auto" w:fill="B4C6E7"/>
          </w:tcPr>
          <w:p w14:paraId="1C5C01C3"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10080" w:type="dxa"/>
            <w:gridSpan w:val="9"/>
            <w:tcBorders>
              <w:top w:val="single" w:sz="4" w:space="0" w:color="BDD7EE"/>
              <w:bottom w:val="single" w:sz="4" w:space="0" w:color="BDD7EE"/>
            </w:tcBorders>
            <w:shd w:val="clear" w:color="auto" w:fill="B4C6E7"/>
          </w:tcPr>
          <w:p w14:paraId="10BC4533"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Digitalna znanja i vještine za osjetljive grupe građana (starija populacija, osobe sa invaliditetom, RAE populacija itd.) u procesu cjeloživotnog učenja</w:t>
            </w:r>
          </w:p>
        </w:tc>
      </w:tr>
      <w:tr w:rsidR="005B3072" w14:paraId="7A27FEBA" w14:textId="77777777">
        <w:tc>
          <w:tcPr>
            <w:tcW w:w="348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13192A7D"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775"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477FB70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35"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99D7B8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2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7998F12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26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B67B8A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6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5524096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30"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628A994D"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4BAD1BC8" w14:textId="77777777">
        <w:trPr>
          <w:trHeight w:val="990"/>
        </w:trPr>
        <w:tc>
          <w:tcPr>
            <w:tcW w:w="810" w:type="dxa"/>
            <w:tcBorders>
              <w:top w:val="single" w:sz="4" w:space="0" w:color="BDD7EE"/>
              <w:left w:val="single" w:sz="4" w:space="0" w:color="BDD7EE"/>
              <w:bottom w:val="single" w:sz="4" w:space="0" w:color="BDD7EE"/>
              <w:right w:val="single" w:sz="4" w:space="0" w:color="BDD7EE"/>
            </w:tcBorders>
          </w:tcPr>
          <w:p w14:paraId="6B642B0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1.4.9</w:t>
            </w:r>
          </w:p>
        </w:tc>
        <w:tc>
          <w:tcPr>
            <w:tcW w:w="2670" w:type="dxa"/>
            <w:tcBorders>
              <w:top w:val="single" w:sz="4" w:space="0" w:color="BDD7EE"/>
              <w:left w:val="single" w:sz="4" w:space="0" w:color="BDD7EE"/>
              <w:bottom w:val="single" w:sz="4" w:space="0" w:color="BDD7EE"/>
              <w:right w:val="single" w:sz="4" w:space="0" w:color="BDD7EE"/>
            </w:tcBorders>
          </w:tcPr>
          <w:p w14:paraId="7CD3259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Realizacija obuka za osobe sa invaliditetom iz IKT oblasti</w:t>
            </w:r>
          </w:p>
        </w:tc>
        <w:tc>
          <w:tcPr>
            <w:tcW w:w="2775" w:type="dxa"/>
            <w:tcBorders>
              <w:top w:val="single" w:sz="4" w:space="0" w:color="BDD7EE"/>
              <w:left w:val="single" w:sz="4" w:space="0" w:color="BDD7EE"/>
              <w:bottom w:val="single" w:sz="4" w:space="0" w:color="BDD7EE"/>
              <w:right w:val="single" w:sz="4" w:space="0" w:color="BDD7EE"/>
            </w:tcBorders>
          </w:tcPr>
          <w:p w14:paraId="4B5737A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obučenih osoba </w:t>
            </w:r>
          </w:p>
        </w:tc>
        <w:tc>
          <w:tcPr>
            <w:tcW w:w="1635" w:type="dxa"/>
            <w:gridSpan w:val="2"/>
            <w:tcBorders>
              <w:top w:val="single" w:sz="4" w:space="0" w:color="BDD7EE"/>
              <w:left w:val="single" w:sz="4" w:space="0" w:color="BDD7EE"/>
              <w:bottom w:val="single" w:sz="4" w:space="0" w:color="BDD7EE"/>
              <w:right w:val="single" w:sz="4" w:space="0" w:color="BDD7EE"/>
            </w:tcBorders>
          </w:tcPr>
          <w:p w14:paraId="6BFDE07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MJUDM, Organizatori obrazovanja odraslih</w:t>
            </w:r>
          </w:p>
        </w:tc>
        <w:tc>
          <w:tcPr>
            <w:tcW w:w="1320" w:type="dxa"/>
            <w:gridSpan w:val="2"/>
            <w:tcBorders>
              <w:top w:val="single" w:sz="4" w:space="0" w:color="BDD7EE"/>
              <w:left w:val="single" w:sz="4" w:space="0" w:color="BDD7EE"/>
              <w:bottom w:val="single" w:sz="4" w:space="0" w:color="BDD7EE"/>
              <w:right w:val="single" w:sz="4" w:space="0" w:color="BDD7EE"/>
            </w:tcBorders>
          </w:tcPr>
          <w:p w14:paraId="059A4D2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260" w:type="dxa"/>
            <w:tcBorders>
              <w:top w:val="single" w:sz="4" w:space="0" w:color="BDD7EE"/>
              <w:left w:val="single" w:sz="4" w:space="0" w:color="BDD7EE"/>
              <w:bottom w:val="single" w:sz="4" w:space="0" w:color="BDD7EE"/>
              <w:right w:val="single" w:sz="4" w:space="0" w:color="BDD7EE"/>
            </w:tcBorders>
          </w:tcPr>
          <w:p w14:paraId="0B8E323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Pr>
          <w:p w14:paraId="69298DD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42.000 €</w:t>
            </w:r>
          </w:p>
        </w:tc>
        <w:tc>
          <w:tcPr>
            <w:tcW w:w="1530" w:type="dxa"/>
            <w:tcBorders>
              <w:top w:val="single" w:sz="4" w:space="0" w:color="BDD7EE"/>
              <w:left w:val="single" w:sz="4" w:space="0" w:color="BDD7EE"/>
              <w:bottom w:val="single" w:sz="4" w:space="0" w:color="BDD7EE"/>
              <w:right w:val="single" w:sz="4" w:space="0" w:color="BDD7EE"/>
            </w:tcBorders>
          </w:tcPr>
          <w:p w14:paraId="7A3483B1" w14:textId="77777777" w:rsidR="005B3072" w:rsidRDefault="00A46913">
            <w:pPr>
              <w:spacing w:before="20"/>
              <w:rPr>
                <w:rFonts w:ascii="Sitka Text" w:eastAsia="Sitka Text" w:hAnsi="Sitka Text" w:cs="Sitka Text"/>
                <w:color w:val="385623"/>
              </w:rPr>
            </w:pPr>
            <w:r>
              <w:rPr>
                <w:rFonts w:ascii="Sitka Text" w:eastAsia="Sitka Text" w:hAnsi="Sitka Text" w:cs="Sitka Text"/>
                <w:color w:val="1F4E79"/>
              </w:rPr>
              <w:t>Budžet CG</w:t>
            </w:r>
          </w:p>
        </w:tc>
      </w:tr>
      <w:tr w:rsidR="005B3072" w14:paraId="540245EE" w14:textId="77777777">
        <w:tc>
          <w:tcPr>
            <w:tcW w:w="810" w:type="dxa"/>
            <w:tcBorders>
              <w:top w:val="single" w:sz="4" w:space="0" w:color="BDD7EE"/>
              <w:left w:val="single" w:sz="4" w:space="0" w:color="BDD7EE"/>
              <w:bottom w:val="single" w:sz="4" w:space="0" w:color="BDD7EE"/>
              <w:right w:val="single" w:sz="4" w:space="0" w:color="BDD7EE"/>
            </w:tcBorders>
          </w:tcPr>
          <w:p w14:paraId="4B0F928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1.4.10</w:t>
            </w:r>
          </w:p>
        </w:tc>
        <w:tc>
          <w:tcPr>
            <w:tcW w:w="2670" w:type="dxa"/>
            <w:tcBorders>
              <w:top w:val="single" w:sz="4" w:space="0" w:color="BDD7EE"/>
              <w:left w:val="single" w:sz="4" w:space="0" w:color="BDD7EE"/>
              <w:bottom w:val="single" w:sz="4" w:space="0" w:color="BDD7EE"/>
              <w:right w:val="single" w:sz="4" w:space="0" w:color="BDD7EE"/>
            </w:tcBorders>
          </w:tcPr>
          <w:p w14:paraId="2F7470A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Realizacija obuka za starija lica iz IKT oblasti</w:t>
            </w:r>
          </w:p>
        </w:tc>
        <w:tc>
          <w:tcPr>
            <w:tcW w:w="2775" w:type="dxa"/>
            <w:tcBorders>
              <w:top w:val="single" w:sz="4" w:space="0" w:color="BDD7EE"/>
              <w:left w:val="single" w:sz="4" w:space="0" w:color="BDD7EE"/>
              <w:bottom w:val="single" w:sz="4" w:space="0" w:color="BDD7EE"/>
              <w:right w:val="single" w:sz="4" w:space="0" w:color="BDD7EE"/>
            </w:tcBorders>
          </w:tcPr>
          <w:p w14:paraId="2113627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obučenih osoba </w:t>
            </w:r>
          </w:p>
        </w:tc>
        <w:tc>
          <w:tcPr>
            <w:tcW w:w="1635" w:type="dxa"/>
            <w:gridSpan w:val="2"/>
            <w:tcBorders>
              <w:top w:val="single" w:sz="4" w:space="0" w:color="BDD7EE"/>
              <w:left w:val="single" w:sz="4" w:space="0" w:color="BDD7EE"/>
              <w:bottom w:val="single" w:sz="4" w:space="0" w:color="BDD7EE"/>
              <w:right w:val="single" w:sz="4" w:space="0" w:color="BDD7EE"/>
            </w:tcBorders>
          </w:tcPr>
          <w:p w14:paraId="7FB4F28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MJUDM, Organizatori obrazovanja odraslih</w:t>
            </w:r>
          </w:p>
        </w:tc>
        <w:tc>
          <w:tcPr>
            <w:tcW w:w="1320" w:type="dxa"/>
            <w:gridSpan w:val="2"/>
            <w:tcBorders>
              <w:top w:val="single" w:sz="4" w:space="0" w:color="BDD7EE"/>
              <w:left w:val="single" w:sz="4" w:space="0" w:color="BDD7EE"/>
              <w:bottom w:val="single" w:sz="4" w:space="0" w:color="BDD7EE"/>
              <w:right w:val="single" w:sz="4" w:space="0" w:color="BDD7EE"/>
            </w:tcBorders>
          </w:tcPr>
          <w:p w14:paraId="5BC8FE9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260" w:type="dxa"/>
            <w:tcBorders>
              <w:top w:val="single" w:sz="4" w:space="0" w:color="BDD7EE"/>
              <w:left w:val="single" w:sz="4" w:space="0" w:color="BDD7EE"/>
              <w:bottom w:val="single" w:sz="4" w:space="0" w:color="BDD7EE"/>
              <w:right w:val="single" w:sz="4" w:space="0" w:color="BDD7EE"/>
            </w:tcBorders>
          </w:tcPr>
          <w:p w14:paraId="48DB765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Pr>
          <w:p w14:paraId="2658BEA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42.000 €</w:t>
            </w:r>
          </w:p>
        </w:tc>
        <w:tc>
          <w:tcPr>
            <w:tcW w:w="1530" w:type="dxa"/>
            <w:tcBorders>
              <w:top w:val="single" w:sz="4" w:space="0" w:color="BDD7EE"/>
              <w:left w:val="single" w:sz="4" w:space="0" w:color="BDD7EE"/>
              <w:bottom w:val="single" w:sz="4" w:space="0" w:color="BDD7EE"/>
              <w:right w:val="single" w:sz="4" w:space="0" w:color="BDD7EE"/>
            </w:tcBorders>
          </w:tcPr>
          <w:p w14:paraId="3595EF18" w14:textId="77777777" w:rsidR="005B3072" w:rsidRDefault="00A46913">
            <w:pPr>
              <w:spacing w:before="20"/>
              <w:rPr>
                <w:rFonts w:ascii="Sitka Text" w:eastAsia="Sitka Text" w:hAnsi="Sitka Text" w:cs="Sitka Text"/>
                <w:color w:val="385623"/>
              </w:rPr>
            </w:pPr>
            <w:r>
              <w:rPr>
                <w:rFonts w:ascii="Sitka Text" w:eastAsia="Sitka Text" w:hAnsi="Sitka Text" w:cs="Sitka Text"/>
                <w:color w:val="1F4E79"/>
              </w:rPr>
              <w:t>Budžet CG</w:t>
            </w:r>
          </w:p>
        </w:tc>
      </w:tr>
      <w:tr w:rsidR="005B3072" w14:paraId="3560B230" w14:textId="77777777">
        <w:tc>
          <w:tcPr>
            <w:tcW w:w="810" w:type="dxa"/>
            <w:tcBorders>
              <w:top w:val="single" w:sz="4" w:space="0" w:color="BDD7EE"/>
              <w:left w:val="single" w:sz="4" w:space="0" w:color="BDD7EE"/>
              <w:bottom w:val="single" w:sz="4" w:space="0" w:color="BDD7EE"/>
              <w:right w:val="single" w:sz="4" w:space="0" w:color="BDD7EE"/>
            </w:tcBorders>
          </w:tcPr>
          <w:p w14:paraId="7641AFF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1.4.11</w:t>
            </w:r>
          </w:p>
        </w:tc>
        <w:tc>
          <w:tcPr>
            <w:tcW w:w="2670" w:type="dxa"/>
            <w:tcBorders>
              <w:top w:val="single" w:sz="4" w:space="0" w:color="BDD7EE"/>
              <w:left w:val="single" w:sz="4" w:space="0" w:color="BDD7EE"/>
              <w:bottom w:val="single" w:sz="4" w:space="0" w:color="BDD7EE"/>
              <w:right w:val="single" w:sz="4" w:space="0" w:color="BDD7EE"/>
            </w:tcBorders>
          </w:tcPr>
          <w:p w14:paraId="5108CE9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Realizacija obuka za RE populaciju iz IKT oblasti</w:t>
            </w:r>
          </w:p>
        </w:tc>
        <w:tc>
          <w:tcPr>
            <w:tcW w:w="2775" w:type="dxa"/>
            <w:tcBorders>
              <w:top w:val="single" w:sz="4" w:space="0" w:color="BDD7EE"/>
              <w:left w:val="single" w:sz="4" w:space="0" w:color="BDD7EE"/>
              <w:bottom w:val="single" w:sz="4" w:space="0" w:color="BDD7EE"/>
              <w:right w:val="single" w:sz="4" w:space="0" w:color="BDD7EE"/>
            </w:tcBorders>
          </w:tcPr>
          <w:p w14:paraId="59EAE08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obučenih osoba  </w:t>
            </w:r>
          </w:p>
        </w:tc>
        <w:tc>
          <w:tcPr>
            <w:tcW w:w="1635" w:type="dxa"/>
            <w:gridSpan w:val="2"/>
            <w:tcBorders>
              <w:top w:val="single" w:sz="4" w:space="0" w:color="BDD7EE"/>
              <w:left w:val="single" w:sz="4" w:space="0" w:color="BDD7EE"/>
              <w:bottom w:val="single" w:sz="4" w:space="0" w:color="BDD7EE"/>
              <w:right w:val="single" w:sz="4" w:space="0" w:color="BDD7EE"/>
            </w:tcBorders>
          </w:tcPr>
          <w:p w14:paraId="22B5960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MJUDM, Organizatori obrazovanja odraslih</w:t>
            </w:r>
          </w:p>
        </w:tc>
        <w:tc>
          <w:tcPr>
            <w:tcW w:w="1320" w:type="dxa"/>
            <w:gridSpan w:val="2"/>
            <w:tcBorders>
              <w:top w:val="single" w:sz="4" w:space="0" w:color="BDD7EE"/>
              <w:left w:val="single" w:sz="4" w:space="0" w:color="BDD7EE"/>
              <w:bottom w:val="single" w:sz="4" w:space="0" w:color="BDD7EE"/>
              <w:right w:val="single" w:sz="4" w:space="0" w:color="BDD7EE"/>
            </w:tcBorders>
          </w:tcPr>
          <w:p w14:paraId="2B4980B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260" w:type="dxa"/>
            <w:tcBorders>
              <w:top w:val="single" w:sz="4" w:space="0" w:color="BDD7EE"/>
              <w:left w:val="single" w:sz="4" w:space="0" w:color="BDD7EE"/>
              <w:bottom w:val="single" w:sz="4" w:space="0" w:color="BDD7EE"/>
              <w:right w:val="single" w:sz="4" w:space="0" w:color="BDD7EE"/>
            </w:tcBorders>
          </w:tcPr>
          <w:p w14:paraId="3DDB646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Pr>
          <w:p w14:paraId="24A7127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14.000 €</w:t>
            </w:r>
          </w:p>
        </w:tc>
        <w:tc>
          <w:tcPr>
            <w:tcW w:w="1530" w:type="dxa"/>
            <w:tcBorders>
              <w:top w:val="single" w:sz="4" w:space="0" w:color="BDD7EE"/>
              <w:left w:val="single" w:sz="4" w:space="0" w:color="BDD7EE"/>
              <w:bottom w:val="single" w:sz="4" w:space="0" w:color="BDD7EE"/>
              <w:right w:val="single" w:sz="4" w:space="0" w:color="BDD7EE"/>
            </w:tcBorders>
          </w:tcPr>
          <w:p w14:paraId="387D2E29" w14:textId="77777777" w:rsidR="005B3072" w:rsidRDefault="00A46913">
            <w:pPr>
              <w:spacing w:before="20"/>
              <w:rPr>
                <w:rFonts w:ascii="Sitka Text" w:eastAsia="Sitka Text" w:hAnsi="Sitka Text" w:cs="Sitka Text"/>
                <w:color w:val="385623"/>
              </w:rPr>
            </w:pPr>
            <w:r>
              <w:rPr>
                <w:rFonts w:ascii="Sitka Text" w:eastAsia="Sitka Text" w:hAnsi="Sitka Text" w:cs="Sitka Text"/>
                <w:color w:val="1F4E79"/>
              </w:rPr>
              <w:t>Budžet CG</w:t>
            </w:r>
          </w:p>
        </w:tc>
      </w:tr>
      <w:tr w:rsidR="005B3072" w14:paraId="066B5298" w14:textId="77777777">
        <w:tc>
          <w:tcPr>
            <w:tcW w:w="810" w:type="dxa"/>
            <w:tcBorders>
              <w:top w:val="single" w:sz="4" w:space="0" w:color="BDD7EE"/>
              <w:left w:val="single" w:sz="4" w:space="0" w:color="BDD7EE"/>
              <w:bottom w:val="single" w:sz="4" w:space="0" w:color="BDD7EE"/>
              <w:right w:val="single" w:sz="4" w:space="0" w:color="BDD7EE"/>
            </w:tcBorders>
          </w:tcPr>
          <w:p w14:paraId="59A0A65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1.4.12</w:t>
            </w:r>
          </w:p>
        </w:tc>
        <w:tc>
          <w:tcPr>
            <w:tcW w:w="2670" w:type="dxa"/>
            <w:tcBorders>
              <w:top w:val="single" w:sz="4" w:space="0" w:color="BDD7EE"/>
              <w:left w:val="single" w:sz="4" w:space="0" w:color="BDD7EE"/>
              <w:bottom w:val="single" w:sz="4" w:space="0" w:color="BDD7EE"/>
              <w:right w:val="single" w:sz="4" w:space="0" w:color="BDD7EE"/>
            </w:tcBorders>
          </w:tcPr>
          <w:p w14:paraId="031B303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Realizacija obuka za osobe sa invaliditetom za upotrebu opcija ePristupačnosti na portalu gov.me</w:t>
            </w:r>
          </w:p>
        </w:tc>
        <w:tc>
          <w:tcPr>
            <w:tcW w:w="2775" w:type="dxa"/>
            <w:tcBorders>
              <w:top w:val="single" w:sz="4" w:space="0" w:color="BDD7EE"/>
              <w:left w:val="single" w:sz="4" w:space="0" w:color="BDD7EE"/>
              <w:bottom w:val="single" w:sz="4" w:space="0" w:color="BDD7EE"/>
              <w:right w:val="single" w:sz="4" w:space="0" w:color="BDD7EE"/>
            </w:tcBorders>
          </w:tcPr>
          <w:p w14:paraId="4514FC6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obučenih osoba </w:t>
            </w:r>
          </w:p>
        </w:tc>
        <w:tc>
          <w:tcPr>
            <w:tcW w:w="1635" w:type="dxa"/>
            <w:gridSpan w:val="2"/>
            <w:tcBorders>
              <w:top w:val="single" w:sz="4" w:space="0" w:color="BDD7EE"/>
              <w:left w:val="single" w:sz="4" w:space="0" w:color="BDD7EE"/>
              <w:bottom w:val="single" w:sz="4" w:space="0" w:color="BDD7EE"/>
              <w:right w:val="single" w:sz="4" w:space="0" w:color="BDD7EE"/>
            </w:tcBorders>
          </w:tcPr>
          <w:p w14:paraId="5122E5A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MJUDM, Organizacije OSI</w:t>
            </w:r>
          </w:p>
        </w:tc>
        <w:tc>
          <w:tcPr>
            <w:tcW w:w="1320" w:type="dxa"/>
            <w:gridSpan w:val="2"/>
            <w:tcBorders>
              <w:top w:val="single" w:sz="4" w:space="0" w:color="BDD7EE"/>
              <w:left w:val="single" w:sz="4" w:space="0" w:color="BDD7EE"/>
              <w:bottom w:val="single" w:sz="4" w:space="0" w:color="BDD7EE"/>
              <w:right w:val="single" w:sz="4" w:space="0" w:color="BDD7EE"/>
            </w:tcBorders>
          </w:tcPr>
          <w:p w14:paraId="42D08B3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260" w:type="dxa"/>
            <w:tcBorders>
              <w:top w:val="single" w:sz="4" w:space="0" w:color="BDD7EE"/>
              <w:left w:val="single" w:sz="4" w:space="0" w:color="BDD7EE"/>
              <w:bottom w:val="single" w:sz="4" w:space="0" w:color="BDD7EE"/>
              <w:right w:val="single" w:sz="4" w:space="0" w:color="BDD7EE"/>
            </w:tcBorders>
          </w:tcPr>
          <w:p w14:paraId="557A61A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60" w:type="dxa"/>
            <w:gridSpan w:val="2"/>
            <w:tcBorders>
              <w:top w:val="single" w:sz="4" w:space="0" w:color="BDD7EE"/>
              <w:left w:val="single" w:sz="4" w:space="0" w:color="BDD7EE"/>
              <w:bottom w:val="single" w:sz="4" w:space="0" w:color="BDD7EE"/>
              <w:right w:val="single" w:sz="4" w:space="0" w:color="BDD7EE"/>
            </w:tcBorders>
          </w:tcPr>
          <w:p w14:paraId="530109E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1.500 €</w:t>
            </w:r>
          </w:p>
        </w:tc>
        <w:tc>
          <w:tcPr>
            <w:tcW w:w="1530" w:type="dxa"/>
            <w:tcBorders>
              <w:top w:val="single" w:sz="4" w:space="0" w:color="BDD7EE"/>
              <w:left w:val="single" w:sz="4" w:space="0" w:color="BDD7EE"/>
              <w:bottom w:val="single" w:sz="4" w:space="0" w:color="BDD7EE"/>
              <w:right w:val="single" w:sz="4" w:space="0" w:color="BDD7EE"/>
            </w:tcBorders>
          </w:tcPr>
          <w:p w14:paraId="69E4B7C8" w14:textId="77777777" w:rsidR="005B3072" w:rsidRDefault="00A46913">
            <w:pPr>
              <w:spacing w:before="20"/>
              <w:rPr>
                <w:rFonts w:ascii="Sitka Text" w:eastAsia="Sitka Text" w:hAnsi="Sitka Text" w:cs="Sitka Text"/>
                <w:color w:val="385623"/>
              </w:rPr>
            </w:pPr>
            <w:r>
              <w:rPr>
                <w:rFonts w:ascii="Sitka Text" w:eastAsia="Sitka Text" w:hAnsi="Sitka Text" w:cs="Sitka Text"/>
                <w:color w:val="1F4E79"/>
              </w:rPr>
              <w:t>Budžet CG</w:t>
            </w:r>
          </w:p>
        </w:tc>
      </w:tr>
    </w:tbl>
    <w:p w14:paraId="5E4C4A03" w14:textId="77777777" w:rsidR="005B3072" w:rsidRDefault="005B3072">
      <w:pPr>
        <w:spacing w:before="120" w:after="120" w:line="240" w:lineRule="auto"/>
        <w:rPr>
          <w:rFonts w:ascii="Sitka Text" w:eastAsia="Sitka Text" w:hAnsi="Sitka Text" w:cs="Sitka Text"/>
          <w:b/>
          <w:color w:val="1F4E79"/>
          <w:sz w:val="28"/>
          <w:szCs w:val="28"/>
        </w:rPr>
      </w:pPr>
    </w:p>
    <w:p w14:paraId="2FC04928" w14:textId="77777777" w:rsidR="005B3072" w:rsidRDefault="005B3072">
      <w:pPr>
        <w:spacing w:before="120" w:after="120" w:line="240" w:lineRule="auto"/>
        <w:jc w:val="center"/>
        <w:rPr>
          <w:rFonts w:ascii="Sitka Text" w:eastAsia="Sitka Text" w:hAnsi="Sitka Text" w:cs="Sitka Text"/>
          <w:b/>
          <w:color w:val="1F4E79"/>
          <w:sz w:val="28"/>
          <w:szCs w:val="28"/>
        </w:rPr>
      </w:pPr>
    </w:p>
    <w:p w14:paraId="7EC344DD" w14:textId="77777777" w:rsidR="005B3072" w:rsidRDefault="00A46913">
      <w:pPr>
        <w:spacing w:before="120" w:after="120" w:line="240" w:lineRule="auto"/>
        <w:jc w:val="center"/>
        <w:rPr>
          <w:rFonts w:ascii="Sitka Text" w:eastAsia="Sitka Text" w:hAnsi="Sitka Text" w:cs="Sitka Text"/>
          <w:b/>
          <w:color w:val="1F4E79"/>
          <w:sz w:val="28"/>
          <w:szCs w:val="28"/>
        </w:rPr>
      </w:pPr>
      <w:r>
        <w:rPr>
          <w:rFonts w:ascii="Sitka Text" w:eastAsia="Sitka Text" w:hAnsi="Sitka Text" w:cs="Sitka Text"/>
          <w:b/>
          <w:color w:val="1F4E79"/>
          <w:sz w:val="28"/>
          <w:szCs w:val="28"/>
        </w:rPr>
        <w:t>STRATEŠKI CILJ II</w:t>
      </w:r>
    </w:p>
    <w:p w14:paraId="2435E17A" w14:textId="77777777" w:rsidR="005B3072" w:rsidRDefault="00A46913">
      <w:pPr>
        <w:spacing w:before="120" w:after="120" w:line="240" w:lineRule="auto"/>
        <w:jc w:val="center"/>
        <w:rPr>
          <w:rFonts w:ascii="Sitka Text" w:eastAsia="Sitka Text" w:hAnsi="Sitka Text" w:cs="Sitka Text"/>
          <w:b/>
          <w:color w:val="1F4E79"/>
          <w:sz w:val="28"/>
          <w:szCs w:val="28"/>
        </w:rPr>
      </w:pPr>
      <w:r>
        <w:rPr>
          <w:rFonts w:ascii="Sitka Text" w:eastAsia="Sitka Text" w:hAnsi="Sitka Text" w:cs="Sitka Text"/>
          <w:b/>
          <w:color w:val="1F4E79"/>
          <w:sz w:val="28"/>
          <w:szCs w:val="28"/>
        </w:rPr>
        <w:t>Jačanje digitalne svijesti crnogorskog društva i digitalne konkurentnosti IKT sektora</w:t>
      </w:r>
    </w:p>
    <w:p w14:paraId="4217BD4B" w14:textId="77777777" w:rsidR="005B3072" w:rsidRDefault="005B3072">
      <w:pPr>
        <w:spacing w:before="120" w:after="120" w:line="240" w:lineRule="auto"/>
        <w:jc w:val="center"/>
        <w:rPr>
          <w:rFonts w:ascii="Sitka Text" w:eastAsia="Sitka Text" w:hAnsi="Sitka Text" w:cs="Sitka Text"/>
          <w:b/>
          <w:color w:val="1F4E79"/>
          <w:sz w:val="28"/>
          <w:szCs w:val="28"/>
        </w:rPr>
      </w:pPr>
    </w:p>
    <w:tbl>
      <w:tblPr>
        <w:tblStyle w:val="af2"/>
        <w:tblW w:w="13114"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895"/>
        <w:gridCol w:w="2145"/>
        <w:gridCol w:w="2387"/>
        <w:gridCol w:w="211"/>
        <w:gridCol w:w="1530"/>
        <w:gridCol w:w="966"/>
        <w:gridCol w:w="418"/>
        <w:gridCol w:w="1443"/>
        <w:gridCol w:w="509"/>
        <w:gridCol w:w="1045"/>
        <w:gridCol w:w="1565"/>
      </w:tblGrid>
      <w:tr w:rsidR="005B3072" w14:paraId="4F0A03C0" w14:textId="77777777">
        <w:trPr>
          <w:trHeight w:val="827"/>
        </w:trPr>
        <w:tc>
          <w:tcPr>
            <w:tcW w:w="3040" w:type="dxa"/>
            <w:gridSpan w:val="2"/>
            <w:shd w:val="clear" w:color="auto" w:fill="1F4E79"/>
            <w:vAlign w:val="center"/>
          </w:tcPr>
          <w:p w14:paraId="23C5B406"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2.1</w:t>
            </w:r>
          </w:p>
        </w:tc>
        <w:tc>
          <w:tcPr>
            <w:tcW w:w="10074" w:type="dxa"/>
            <w:gridSpan w:val="9"/>
            <w:shd w:val="clear" w:color="auto" w:fill="1F4E79"/>
            <w:vAlign w:val="center"/>
          </w:tcPr>
          <w:p w14:paraId="7298127C"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Podizanje svijesti građana i privrede o važnosti digitalnog razvoja</w:t>
            </w:r>
          </w:p>
        </w:tc>
      </w:tr>
      <w:tr w:rsidR="005B3072" w14:paraId="2B93F898" w14:textId="77777777">
        <w:tc>
          <w:tcPr>
            <w:tcW w:w="5638" w:type="dxa"/>
            <w:gridSpan w:val="4"/>
            <w:shd w:val="clear" w:color="auto" w:fill="DAF2F6"/>
          </w:tcPr>
          <w:p w14:paraId="4E3EBB62"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Indikator</w:t>
            </w:r>
          </w:p>
        </w:tc>
        <w:tc>
          <w:tcPr>
            <w:tcW w:w="2496" w:type="dxa"/>
            <w:gridSpan w:val="2"/>
            <w:shd w:val="clear" w:color="auto" w:fill="DAF2F6"/>
            <w:vAlign w:val="center"/>
          </w:tcPr>
          <w:p w14:paraId="57A78840"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2370" w:type="dxa"/>
            <w:gridSpan w:val="3"/>
            <w:tcBorders>
              <w:bottom w:val="single" w:sz="4" w:space="0" w:color="FFFFFF"/>
            </w:tcBorders>
            <w:shd w:val="clear" w:color="auto" w:fill="DAF2F6"/>
            <w:vAlign w:val="center"/>
          </w:tcPr>
          <w:p w14:paraId="5122DD6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2610" w:type="dxa"/>
            <w:gridSpan w:val="2"/>
            <w:tcBorders>
              <w:bottom w:val="single" w:sz="4" w:space="0" w:color="FFFFFF"/>
            </w:tcBorders>
            <w:shd w:val="clear" w:color="auto" w:fill="DAF2F6"/>
            <w:vAlign w:val="center"/>
          </w:tcPr>
          <w:p w14:paraId="4195D187"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2026.</w:t>
            </w:r>
          </w:p>
        </w:tc>
      </w:tr>
      <w:tr w:rsidR="005B3072" w14:paraId="7ED742D4" w14:textId="77777777">
        <w:tc>
          <w:tcPr>
            <w:tcW w:w="5638" w:type="dxa"/>
            <w:gridSpan w:val="4"/>
            <w:tcBorders>
              <w:top w:val="single" w:sz="4" w:space="0" w:color="000000"/>
              <w:bottom w:val="single" w:sz="4" w:space="0" w:color="000000"/>
            </w:tcBorders>
            <w:shd w:val="clear" w:color="auto" w:fill="DAF2F6"/>
          </w:tcPr>
          <w:p w14:paraId="66B49CCF"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državnih organa koji su aktivno uključeni u komunikacionoj kampanji</w:t>
            </w:r>
          </w:p>
        </w:tc>
        <w:tc>
          <w:tcPr>
            <w:tcW w:w="2496" w:type="dxa"/>
            <w:gridSpan w:val="2"/>
            <w:tcBorders>
              <w:top w:val="single" w:sz="4" w:space="0" w:color="000000"/>
              <w:bottom w:val="single" w:sz="4" w:space="0" w:color="000000"/>
            </w:tcBorders>
            <w:shd w:val="clear" w:color="auto" w:fill="DAF2F6"/>
          </w:tcPr>
          <w:p w14:paraId="39F096E1"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w:t>
            </w:r>
          </w:p>
        </w:tc>
        <w:tc>
          <w:tcPr>
            <w:tcW w:w="2370" w:type="dxa"/>
            <w:gridSpan w:val="3"/>
            <w:tcBorders>
              <w:top w:val="single" w:sz="4" w:space="0" w:color="000000"/>
              <w:bottom w:val="single" w:sz="4" w:space="0" w:color="000000"/>
            </w:tcBorders>
            <w:shd w:val="clear" w:color="auto" w:fill="DAF2F6"/>
          </w:tcPr>
          <w:p w14:paraId="5DD8FBD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50% državnih organa u odnosu na ukupan broj</w:t>
            </w:r>
          </w:p>
        </w:tc>
        <w:tc>
          <w:tcPr>
            <w:tcW w:w="2610" w:type="dxa"/>
            <w:gridSpan w:val="2"/>
            <w:tcBorders>
              <w:top w:val="single" w:sz="4" w:space="0" w:color="000000"/>
              <w:bottom w:val="single" w:sz="4" w:space="0" w:color="000000"/>
            </w:tcBorders>
            <w:shd w:val="clear" w:color="auto" w:fill="DAF2F6"/>
          </w:tcPr>
          <w:p w14:paraId="68437473"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75% državnih organa u odnosu na ukupan broj</w:t>
            </w:r>
          </w:p>
        </w:tc>
      </w:tr>
      <w:tr w:rsidR="005B3072" w14:paraId="6CBECA0C" w14:textId="77777777">
        <w:tc>
          <w:tcPr>
            <w:tcW w:w="5638" w:type="dxa"/>
            <w:gridSpan w:val="4"/>
            <w:tcBorders>
              <w:bottom w:val="single" w:sz="4" w:space="0" w:color="000000"/>
            </w:tcBorders>
            <w:shd w:val="clear" w:color="auto" w:fill="DAF2F6"/>
          </w:tcPr>
          <w:p w14:paraId="232BC42A"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 xml:space="preserve">Procenat građana informisanih o dostupnosti i načinu korišćenja elektronskih usluga   </w:t>
            </w:r>
          </w:p>
        </w:tc>
        <w:tc>
          <w:tcPr>
            <w:tcW w:w="2496" w:type="dxa"/>
            <w:gridSpan w:val="2"/>
            <w:tcBorders>
              <w:bottom w:val="single" w:sz="4" w:space="0" w:color="000000"/>
            </w:tcBorders>
            <w:shd w:val="clear" w:color="auto" w:fill="DAF2F6"/>
          </w:tcPr>
          <w:p w14:paraId="6111508E"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22% građana sebe smatra uglavnom ili potpuno upoznatim sa elektronskim uslugama</w:t>
            </w:r>
          </w:p>
        </w:tc>
        <w:tc>
          <w:tcPr>
            <w:tcW w:w="2370" w:type="dxa"/>
            <w:gridSpan w:val="3"/>
            <w:tcBorders>
              <w:bottom w:val="single" w:sz="4" w:space="0" w:color="000000"/>
            </w:tcBorders>
            <w:shd w:val="clear" w:color="auto" w:fill="DAF2F6"/>
          </w:tcPr>
          <w:p w14:paraId="704C347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45% građana sebe smatra uglavnom ili potpuno upoznatim sa elektronskim uslugama</w:t>
            </w:r>
          </w:p>
        </w:tc>
        <w:tc>
          <w:tcPr>
            <w:tcW w:w="2610" w:type="dxa"/>
            <w:gridSpan w:val="2"/>
            <w:tcBorders>
              <w:bottom w:val="single" w:sz="4" w:space="0" w:color="000000"/>
            </w:tcBorders>
            <w:shd w:val="clear" w:color="auto" w:fill="DAF2F6"/>
          </w:tcPr>
          <w:p w14:paraId="3686CEF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65% građana sebe smatra uglavnom ili potpuno upoznatim sa elektronskim uslugama</w:t>
            </w:r>
          </w:p>
        </w:tc>
      </w:tr>
      <w:tr w:rsidR="005B3072" w14:paraId="01B8DD67" w14:textId="77777777">
        <w:tc>
          <w:tcPr>
            <w:tcW w:w="5638" w:type="dxa"/>
            <w:gridSpan w:val="4"/>
            <w:tcBorders>
              <w:top w:val="single" w:sz="4" w:space="0" w:color="000000"/>
              <w:bottom w:val="single" w:sz="4" w:space="0" w:color="000000"/>
            </w:tcBorders>
            <w:shd w:val="clear" w:color="auto" w:fill="DAF2F6"/>
          </w:tcPr>
          <w:p w14:paraId="6E5A12E9"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Procenat informisanosti privrede o dostupnosti i načinu korišćenja elektronskih usluga</w:t>
            </w:r>
            <w:r>
              <w:rPr>
                <w:rFonts w:ascii="Sitka Text" w:eastAsia="Sitka Text" w:hAnsi="Sitka Text" w:cs="Sitka Text"/>
                <w:b/>
                <w:color w:val="1F4E79"/>
                <w:vertAlign w:val="superscript"/>
              </w:rPr>
              <w:footnoteReference w:id="78"/>
            </w:r>
          </w:p>
        </w:tc>
        <w:tc>
          <w:tcPr>
            <w:tcW w:w="2496" w:type="dxa"/>
            <w:gridSpan w:val="2"/>
            <w:tcBorders>
              <w:top w:val="single" w:sz="4" w:space="0" w:color="000000"/>
              <w:bottom w:val="single" w:sz="4" w:space="0" w:color="000000"/>
            </w:tcBorders>
            <w:shd w:val="clear" w:color="auto" w:fill="DAF2F6"/>
          </w:tcPr>
          <w:p w14:paraId="10946BDC"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87% privrede sebe smatra uglavnom ili potpuno upoznatim sa elektronskim uslugama</w:t>
            </w:r>
          </w:p>
        </w:tc>
        <w:tc>
          <w:tcPr>
            <w:tcW w:w="2370" w:type="dxa"/>
            <w:gridSpan w:val="3"/>
            <w:tcBorders>
              <w:top w:val="single" w:sz="4" w:space="0" w:color="000000"/>
              <w:bottom w:val="single" w:sz="4" w:space="0" w:color="000000"/>
            </w:tcBorders>
            <w:shd w:val="clear" w:color="auto" w:fill="DAF2F6"/>
          </w:tcPr>
          <w:p w14:paraId="28FA8A1A"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90% privrede sebe smatra uglavnom ili potpuno upoznatim sa elektronskim uslugama</w:t>
            </w:r>
          </w:p>
        </w:tc>
        <w:tc>
          <w:tcPr>
            <w:tcW w:w="2610" w:type="dxa"/>
            <w:gridSpan w:val="2"/>
            <w:tcBorders>
              <w:top w:val="single" w:sz="4" w:space="0" w:color="000000"/>
              <w:bottom w:val="single" w:sz="4" w:space="0" w:color="000000"/>
            </w:tcBorders>
            <w:shd w:val="clear" w:color="auto" w:fill="DAF2F6"/>
          </w:tcPr>
          <w:p w14:paraId="2E90BD3F"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95% privrede sebe smatra uglavnom ili potpuno upoznatim sa elektronskim uslugama</w:t>
            </w:r>
          </w:p>
        </w:tc>
      </w:tr>
      <w:tr w:rsidR="005B3072" w14:paraId="20AC08D0" w14:textId="77777777">
        <w:tc>
          <w:tcPr>
            <w:tcW w:w="3040" w:type="dxa"/>
            <w:gridSpan w:val="2"/>
            <w:tcBorders>
              <w:top w:val="single" w:sz="4" w:space="0" w:color="000000"/>
              <w:bottom w:val="single" w:sz="4" w:space="0" w:color="BDD7EE"/>
            </w:tcBorders>
            <w:shd w:val="clear" w:color="auto" w:fill="B4C6E7"/>
          </w:tcPr>
          <w:p w14:paraId="2C125EC8"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10074" w:type="dxa"/>
            <w:gridSpan w:val="9"/>
            <w:tcBorders>
              <w:top w:val="single" w:sz="4" w:space="0" w:color="000000"/>
              <w:bottom w:val="single" w:sz="4" w:space="0" w:color="BDD7EE"/>
            </w:tcBorders>
            <w:shd w:val="clear" w:color="auto" w:fill="B4C6E7"/>
          </w:tcPr>
          <w:p w14:paraId="57CAF87F"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Definisanje i implementacija jednistvene komunikacione kampanje u oblasti digitalne transformacije</w:t>
            </w:r>
          </w:p>
        </w:tc>
      </w:tr>
      <w:tr w:rsidR="005B3072" w14:paraId="0DC3ECE8" w14:textId="77777777">
        <w:tc>
          <w:tcPr>
            <w:tcW w:w="304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2DAE3E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87"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22654A8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741"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22E875A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AF5A3DD"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44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4C9C313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1F192CA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65"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23D3C1F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0F2D7E49" w14:textId="77777777">
        <w:tc>
          <w:tcPr>
            <w:tcW w:w="895" w:type="dxa"/>
            <w:tcBorders>
              <w:top w:val="single" w:sz="4" w:space="0" w:color="BDD7EE"/>
              <w:left w:val="single" w:sz="4" w:space="0" w:color="BDD7EE"/>
              <w:bottom w:val="single" w:sz="4" w:space="0" w:color="BDD7EE"/>
              <w:right w:val="single" w:sz="4" w:space="0" w:color="BDD7EE"/>
            </w:tcBorders>
          </w:tcPr>
          <w:p w14:paraId="3064362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2.1.1</w:t>
            </w:r>
          </w:p>
        </w:tc>
        <w:tc>
          <w:tcPr>
            <w:tcW w:w="2145" w:type="dxa"/>
            <w:tcBorders>
              <w:top w:val="single" w:sz="4" w:space="0" w:color="BDD7EE"/>
              <w:left w:val="single" w:sz="4" w:space="0" w:color="BDD7EE"/>
              <w:bottom w:val="single" w:sz="4" w:space="0" w:color="BDD7EE"/>
              <w:right w:val="single" w:sz="4" w:space="0" w:color="BDD7EE"/>
            </w:tcBorders>
            <w:vAlign w:val="center"/>
          </w:tcPr>
          <w:p w14:paraId="0F7E670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internog koordinacionog tijela državne uprave za definisanje i implementaciju komunikacione kampanje</w:t>
            </w:r>
          </w:p>
        </w:tc>
        <w:tc>
          <w:tcPr>
            <w:tcW w:w="2387" w:type="dxa"/>
            <w:tcBorders>
              <w:top w:val="single" w:sz="4" w:space="0" w:color="BDD7EE"/>
              <w:left w:val="single" w:sz="4" w:space="0" w:color="BDD7EE"/>
              <w:bottom w:val="single" w:sz="4" w:space="0" w:color="BDD7EE"/>
              <w:right w:val="single" w:sz="4" w:space="0" w:color="BDD7EE"/>
            </w:tcBorders>
          </w:tcPr>
          <w:p w14:paraId="7F42A6B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Formirano koordinaciono tijelo</w:t>
            </w:r>
          </w:p>
        </w:tc>
        <w:tc>
          <w:tcPr>
            <w:tcW w:w="1741" w:type="dxa"/>
            <w:gridSpan w:val="2"/>
            <w:tcBorders>
              <w:top w:val="single" w:sz="4" w:space="0" w:color="BDD7EE"/>
              <w:left w:val="single" w:sz="4" w:space="0" w:color="BDD7EE"/>
              <w:bottom w:val="single" w:sz="4" w:space="0" w:color="BDD7EE"/>
              <w:right w:val="single" w:sz="4" w:space="0" w:color="BDD7EE"/>
            </w:tcBorders>
          </w:tcPr>
          <w:p w14:paraId="3B01D4E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 (PR služba)</w:t>
            </w:r>
          </w:p>
          <w:p w14:paraId="505089E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84" w:type="dxa"/>
            <w:gridSpan w:val="2"/>
            <w:tcBorders>
              <w:top w:val="single" w:sz="4" w:space="0" w:color="BDD7EE"/>
              <w:left w:val="single" w:sz="4" w:space="0" w:color="BDD7EE"/>
              <w:bottom w:val="single" w:sz="4" w:space="0" w:color="BDD7EE"/>
              <w:right w:val="single" w:sz="4" w:space="0" w:color="BDD7EE"/>
            </w:tcBorders>
          </w:tcPr>
          <w:p w14:paraId="3CC6B49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43" w:type="dxa"/>
            <w:tcBorders>
              <w:top w:val="single" w:sz="4" w:space="0" w:color="BDD7EE"/>
              <w:left w:val="single" w:sz="4" w:space="0" w:color="BDD7EE"/>
              <w:bottom w:val="single" w:sz="4" w:space="0" w:color="BDD7EE"/>
              <w:right w:val="single" w:sz="4" w:space="0" w:color="BDD7EE"/>
            </w:tcBorders>
          </w:tcPr>
          <w:p w14:paraId="2E0BBB2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p w14:paraId="1316E7DD"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554" w:type="dxa"/>
            <w:gridSpan w:val="2"/>
            <w:tcBorders>
              <w:top w:val="single" w:sz="4" w:space="0" w:color="BDD7EE"/>
              <w:left w:val="single" w:sz="4" w:space="0" w:color="BDD7EE"/>
              <w:bottom w:val="single" w:sz="4" w:space="0" w:color="BDD7EE"/>
              <w:right w:val="single" w:sz="4" w:space="0" w:color="BDD7EE"/>
            </w:tcBorders>
          </w:tcPr>
          <w:p w14:paraId="70C9BAF6"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0616599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565" w:type="dxa"/>
            <w:tcBorders>
              <w:top w:val="single" w:sz="4" w:space="0" w:color="BDD7EE"/>
              <w:left w:val="single" w:sz="4" w:space="0" w:color="BDD7EE"/>
              <w:bottom w:val="single" w:sz="4" w:space="0" w:color="BDD7EE"/>
              <w:right w:val="single" w:sz="4" w:space="0" w:color="BDD7EE"/>
            </w:tcBorders>
          </w:tcPr>
          <w:p w14:paraId="2278CBC1"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25A056B6" w14:textId="77777777">
        <w:tc>
          <w:tcPr>
            <w:tcW w:w="895" w:type="dxa"/>
            <w:tcBorders>
              <w:top w:val="single" w:sz="4" w:space="0" w:color="BDD7EE"/>
              <w:left w:val="single" w:sz="4" w:space="0" w:color="BDD7EE"/>
              <w:bottom w:val="single" w:sz="4" w:space="0" w:color="BDD7EE"/>
              <w:right w:val="single" w:sz="4" w:space="0" w:color="BDD7EE"/>
            </w:tcBorders>
          </w:tcPr>
          <w:p w14:paraId="5F5281D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2.1.2</w:t>
            </w:r>
          </w:p>
        </w:tc>
        <w:tc>
          <w:tcPr>
            <w:tcW w:w="2145" w:type="dxa"/>
            <w:tcBorders>
              <w:top w:val="single" w:sz="4" w:space="0" w:color="BDD7EE"/>
              <w:left w:val="single" w:sz="4" w:space="0" w:color="BDD7EE"/>
              <w:bottom w:val="single" w:sz="4" w:space="0" w:color="BDD7EE"/>
              <w:right w:val="single" w:sz="4" w:space="0" w:color="BDD7EE"/>
            </w:tcBorders>
            <w:vAlign w:val="center"/>
          </w:tcPr>
          <w:p w14:paraId="7B4B442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smjernica za pripremu komunikacionih kampanja u skladu sa DEI principima</w:t>
            </w:r>
          </w:p>
        </w:tc>
        <w:tc>
          <w:tcPr>
            <w:tcW w:w="2387" w:type="dxa"/>
            <w:tcBorders>
              <w:top w:val="single" w:sz="4" w:space="0" w:color="BDD7EE"/>
              <w:left w:val="single" w:sz="4" w:space="0" w:color="BDD7EE"/>
              <w:bottom w:val="single" w:sz="4" w:space="0" w:color="BDD7EE"/>
              <w:right w:val="single" w:sz="4" w:space="0" w:color="BDD7EE"/>
            </w:tcBorders>
          </w:tcPr>
          <w:p w14:paraId="1183925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orodnjenih komunikacionih kampanja </w:t>
            </w:r>
          </w:p>
        </w:tc>
        <w:tc>
          <w:tcPr>
            <w:tcW w:w="1741" w:type="dxa"/>
            <w:gridSpan w:val="2"/>
            <w:tcBorders>
              <w:top w:val="single" w:sz="4" w:space="0" w:color="BDD7EE"/>
              <w:left w:val="single" w:sz="4" w:space="0" w:color="BDD7EE"/>
              <w:bottom w:val="single" w:sz="4" w:space="0" w:color="BDD7EE"/>
              <w:right w:val="single" w:sz="4" w:space="0" w:color="BDD7EE"/>
            </w:tcBorders>
          </w:tcPr>
          <w:p w14:paraId="7F91262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MJUDDM </w:t>
            </w:r>
          </w:p>
        </w:tc>
        <w:tc>
          <w:tcPr>
            <w:tcW w:w="1384" w:type="dxa"/>
            <w:gridSpan w:val="2"/>
            <w:tcBorders>
              <w:top w:val="single" w:sz="4" w:space="0" w:color="BDD7EE"/>
              <w:left w:val="single" w:sz="4" w:space="0" w:color="BDD7EE"/>
              <w:bottom w:val="single" w:sz="4" w:space="0" w:color="BDD7EE"/>
              <w:right w:val="single" w:sz="4" w:space="0" w:color="BDD7EE"/>
            </w:tcBorders>
          </w:tcPr>
          <w:p w14:paraId="7E70D81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43" w:type="dxa"/>
            <w:tcBorders>
              <w:top w:val="single" w:sz="4" w:space="0" w:color="BDD7EE"/>
              <w:left w:val="single" w:sz="4" w:space="0" w:color="BDD7EE"/>
              <w:bottom w:val="single" w:sz="4" w:space="0" w:color="BDD7EE"/>
              <w:right w:val="single" w:sz="4" w:space="0" w:color="BDD7EE"/>
            </w:tcBorders>
          </w:tcPr>
          <w:p w14:paraId="4A1EE05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1D92534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5.000 €</w:t>
            </w:r>
          </w:p>
        </w:tc>
        <w:tc>
          <w:tcPr>
            <w:tcW w:w="1565" w:type="dxa"/>
            <w:tcBorders>
              <w:top w:val="single" w:sz="4" w:space="0" w:color="BDD7EE"/>
              <w:left w:val="single" w:sz="4" w:space="0" w:color="BDD7EE"/>
              <w:bottom w:val="single" w:sz="4" w:space="0" w:color="BDD7EE"/>
              <w:right w:val="single" w:sz="4" w:space="0" w:color="BDD7EE"/>
            </w:tcBorders>
          </w:tcPr>
          <w:p w14:paraId="1191E8E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Donatroska sredstva UNDP</w:t>
            </w:r>
          </w:p>
        </w:tc>
      </w:tr>
      <w:tr w:rsidR="005B3072" w14:paraId="70C1C38E" w14:textId="77777777">
        <w:tc>
          <w:tcPr>
            <w:tcW w:w="895" w:type="dxa"/>
            <w:tcBorders>
              <w:top w:val="single" w:sz="4" w:space="0" w:color="BDD7EE"/>
              <w:left w:val="single" w:sz="4" w:space="0" w:color="BDD7EE"/>
              <w:bottom w:val="single" w:sz="4" w:space="0" w:color="BDD7EE"/>
              <w:right w:val="single" w:sz="4" w:space="0" w:color="BDD7EE"/>
            </w:tcBorders>
          </w:tcPr>
          <w:p w14:paraId="132B3C7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2.1.3</w:t>
            </w:r>
          </w:p>
        </w:tc>
        <w:tc>
          <w:tcPr>
            <w:tcW w:w="2145" w:type="dxa"/>
            <w:tcBorders>
              <w:top w:val="single" w:sz="4" w:space="0" w:color="BDD7EE"/>
              <w:left w:val="single" w:sz="4" w:space="0" w:color="BDD7EE"/>
              <w:bottom w:val="single" w:sz="4" w:space="0" w:color="BDD7EE"/>
              <w:right w:val="single" w:sz="4" w:space="0" w:color="BDD7EE"/>
            </w:tcBorders>
          </w:tcPr>
          <w:p w14:paraId="7CBB6B7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Komunikacione kampanje u oblasti digitalne transformacije za građane i privredu</w:t>
            </w:r>
          </w:p>
          <w:p w14:paraId="3D174E1C"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2387" w:type="dxa"/>
            <w:tcBorders>
              <w:top w:val="single" w:sz="4" w:space="0" w:color="BDD7EE"/>
              <w:left w:val="single" w:sz="4" w:space="0" w:color="BDD7EE"/>
              <w:bottom w:val="single" w:sz="4" w:space="0" w:color="BDD7EE"/>
              <w:right w:val="single" w:sz="4" w:space="0" w:color="BDD7EE"/>
            </w:tcBorders>
          </w:tcPr>
          <w:p w14:paraId="421C6EE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Izrađena Komunikaciona kampanja i prateći Komunikacioni Plan (KP)</w:t>
            </w:r>
          </w:p>
        </w:tc>
        <w:tc>
          <w:tcPr>
            <w:tcW w:w="1741" w:type="dxa"/>
            <w:gridSpan w:val="2"/>
            <w:tcBorders>
              <w:top w:val="single" w:sz="4" w:space="0" w:color="BDD7EE"/>
              <w:left w:val="single" w:sz="4" w:space="0" w:color="BDD7EE"/>
              <w:bottom w:val="single" w:sz="4" w:space="0" w:color="BDD7EE"/>
              <w:right w:val="single" w:sz="4" w:space="0" w:color="BDD7EE"/>
            </w:tcBorders>
          </w:tcPr>
          <w:p w14:paraId="57D7488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MJUDDM (koordinator) + </w:t>
            </w:r>
            <w:r>
              <w:rPr>
                <w:rFonts w:ascii="Sitka Text" w:eastAsia="Sitka Text" w:hAnsi="Sitka Text" w:cs="Sitka Text"/>
                <w:color w:val="1F4E79"/>
              </w:rPr>
              <w:br/>
              <w:t xml:space="preserve">drugi državni organi koji su dio internog koordinaciog tijela + PKCG +NVO + eksterni ekspert (komunikolog) </w:t>
            </w:r>
          </w:p>
        </w:tc>
        <w:tc>
          <w:tcPr>
            <w:tcW w:w="1384" w:type="dxa"/>
            <w:gridSpan w:val="2"/>
            <w:tcBorders>
              <w:top w:val="single" w:sz="4" w:space="0" w:color="BDD7EE"/>
              <w:left w:val="single" w:sz="4" w:space="0" w:color="BDD7EE"/>
              <w:bottom w:val="single" w:sz="4" w:space="0" w:color="BDD7EE"/>
              <w:right w:val="single" w:sz="4" w:space="0" w:color="BDD7EE"/>
            </w:tcBorders>
          </w:tcPr>
          <w:p w14:paraId="7905DD6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443" w:type="dxa"/>
            <w:tcBorders>
              <w:top w:val="single" w:sz="4" w:space="0" w:color="BDD7EE"/>
              <w:left w:val="single" w:sz="4" w:space="0" w:color="BDD7EE"/>
              <w:bottom w:val="single" w:sz="4" w:space="0" w:color="BDD7EE"/>
              <w:right w:val="single" w:sz="4" w:space="0" w:color="BDD7EE"/>
            </w:tcBorders>
          </w:tcPr>
          <w:p w14:paraId="710C608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02E03B9E"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6F5BD9C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31BE04FB"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61D1D46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10.000 €</w:t>
            </w:r>
          </w:p>
        </w:tc>
        <w:tc>
          <w:tcPr>
            <w:tcW w:w="1565" w:type="dxa"/>
            <w:tcBorders>
              <w:top w:val="single" w:sz="4" w:space="0" w:color="BDD7EE"/>
              <w:left w:val="single" w:sz="4" w:space="0" w:color="BDD7EE"/>
              <w:bottom w:val="single" w:sz="4" w:space="0" w:color="BDD7EE"/>
              <w:right w:val="single" w:sz="4" w:space="0" w:color="BDD7EE"/>
            </w:tcBorders>
          </w:tcPr>
          <w:p w14:paraId="49CDFDE8"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7E92979A"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58CEE57B"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1446875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030B5B00" w14:textId="77777777">
        <w:tc>
          <w:tcPr>
            <w:tcW w:w="895" w:type="dxa"/>
            <w:tcBorders>
              <w:top w:val="single" w:sz="4" w:space="0" w:color="BDD7EE"/>
              <w:left w:val="single" w:sz="4" w:space="0" w:color="BDD7EE"/>
              <w:bottom w:val="single" w:sz="4" w:space="0" w:color="BDD7EE"/>
              <w:right w:val="single" w:sz="4" w:space="0" w:color="BDD7EE"/>
            </w:tcBorders>
          </w:tcPr>
          <w:p w14:paraId="547800F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2.1.4</w:t>
            </w:r>
          </w:p>
        </w:tc>
        <w:tc>
          <w:tcPr>
            <w:tcW w:w="2145" w:type="dxa"/>
            <w:tcBorders>
              <w:top w:val="single" w:sz="4" w:space="0" w:color="BDD7EE"/>
              <w:left w:val="single" w:sz="4" w:space="0" w:color="BDD7EE"/>
              <w:bottom w:val="single" w:sz="4" w:space="0" w:color="BDD7EE"/>
              <w:right w:val="single" w:sz="4" w:space="0" w:color="BDD7EE"/>
            </w:tcBorders>
          </w:tcPr>
          <w:p w14:paraId="1AC9F09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Sprovođenje aktivnosti iz komunikacione kampanje </w:t>
            </w:r>
          </w:p>
        </w:tc>
        <w:tc>
          <w:tcPr>
            <w:tcW w:w="2387" w:type="dxa"/>
            <w:tcBorders>
              <w:top w:val="single" w:sz="4" w:space="0" w:color="BDD7EE"/>
              <w:left w:val="single" w:sz="4" w:space="0" w:color="BDD7EE"/>
              <w:bottom w:val="single" w:sz="4" w:space="0" w:color="BDD7EE"/>
              <w:right w:val="single" w:sz="4" w:space="0" w:color="BDD7EE"/>
            </w:tcBorders>
          </w:tcPr>
          <w:p w14:paraId="50201AD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sprovedenih promotivnih aktivnosti</w:t>
            </w:r>
          </w:p>
        </w:tc>
        <w:tc>
          <w:tcPr>
            <w:tcW w:w="1741" w:type="dxa"/>
            <w:gridSpan w:val="2"/>
            <w:tcBorders>
              <w:top w:val="single" w:sz="4" w:space="0" w:color="BDD7EE"/>
              <w:left w:val="single" w:sz="4" w:space="0" w:color="BDD7EE"/>
              <w:bottom w:val="single" w:sz="4" w:space="0" w:color="BDD7EE"/>
              <w:right w:val="single" w:sz="4" w:space="0" w:color="BDD7EE"/>
            </w:tcBorders>
          </w:tcPr>
          <w:p w14:paraId="7AB35EB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MJUDDM </w:t>
            </w:r>
          </w:p>
        </w:tc>
        <w:tc>
          <w:tcPr>
            <w:tcW w:w="1384" w:type="dxa"/>
            <w:gridSpan w:val="2"/>
            <w:tcBorders>
              <w:top w:val="single" w:sz="4" w:space="0" w:color="BDD7EE"/>
              <w:left w:val="single" w:sz="4" w:space="0" w:color="BDD7EE"/>
              <w:bottom w:val="single" w:sz="4" w:space="0" w:color="BDD7EE"/>
              <w:right w:val="single" w:sz="4" w:space="0" w:color="BDD7EE"/>
            </w:tcBorders>
          </w:tcPr>
          <w:p w14:paraId="4E4632F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443" w:type="dxa"/>
            <w:tcBorders>
              <w:top w:val="single" w:sz="4" w:space="0" w:color="BDD7EE"/>
              <w:left w:val="single" w:sz="4" w:space="0" w:color="BDD7EE"/>
              <w:bottom w:val="single" w:sz="4" w:space="0" w:color="BDD7EE"/>
              <w:right w:val="single" w:sz="4" w:space="0" w:color="BDD7EE"/>
            </w:tcBorders>
          </w:tcPr>
          <w:p w14:paraId="761DA0C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69AD6F2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100.000 €</w:t>
            </w:r>
          </w:p>
        </w:tc>
        <w:tc>
          <w:tcPr>
            <w:tcW w:w="1565" w:type="dxa"/>
            <w:tcBorders>
              <w:top w:val="single" w:sz="4" w:space="0" w:color="BDD7EE"/>
              <w:left w:val="single" w:sz="4" w:space="0" w:color="BDD7EE"/>
              <w:bottom w:val="single" w:sz="4" w:space="0" w:color="BDD7EE"/>
              <w:right w:val="single" w:sz="4" w:space="0" w:color="BDD7EE"/>
            </w:tcBorders>
          </w:tcPr>
          <w:p w14:paraId="3D8DC6A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4BCE5754" w14:textId="77777777">
        <w:tc>
          <w:tcPr>
            <w:tcW w:w="3040" w:type="dxa"/>
            <w:gridSpan w:val="2"/>
            <w:tcBorders>
              <w:top w:val="single" w:sz="4" w:space="0" w:color="BDD7EE"/>
              <w:bottom w:val="single" w:sz="4" w:space="0" w:color="BDD7EE"/>
            </w:tcBorders>
            <w:shd w:val="clear" w:color="auto" w:fill="B4C6E7"/>
          </w:tcPr>
          <w:p w14:paraId="65AED069"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10074" w:type="dxa"/>
            <w:gridSpan w:val="9"/>
            <w:tcBorders>
              <w:top w:val="single" w:sz="4" w:space="0" w:color="BDD7EE"/>
              <w:bottom w:val="single" w:sz="4" w:space="0" w:color="BDD7EE"/>
            </w:tcBorders>
            <w:shd w:val="clear" w:color="auto" w:fill="B4C6E7"/>
          </w:tcPr>
          <w:p w14:paraId="7E7E3BF0"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 xml:space="preserve">Informisanost građana/ki i privrede o značaju i benefitima digitalne transformacije </w:t>
            </w:r>
          </w:p>
        </w:tc>
      </w:tr>
      <w:tr w:rsidR="005B3072" w14:paraId="751D9D5E" w14:textId="77777777">
        <w:tc>
          <w:tcPr>
            <w:tcW w:w="3040"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45F91625"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87"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FD3611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741"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6B41369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8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3FD7A9A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44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4F94361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3EB388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65"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1E4E47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54ED77F5" w14:textId="77777777">
        <w:tc>
          <w:tcPr>
            <w:tcW w:w="895" w:type="dxa"/>
            <w:tcBorders>
              <w:top w:val="single" w:sz="4" w:space="0" w:color="BDD7EE"/>
              <w:left w:val="single" w:sz="4" w:space="0" w:color="BDD7EE"/>
              <w:bottom w:val="single" w:sz="4" w:space="0" w:color="BDD7EE"/>
              <w:right w:val="single" w:sz="4" w:space="0" w:color="BDD7EE"/>
            </w:tcBorders>
          </w:tcPr>
          <w:p w14:paraId="0C2B0DF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2.1.5</w:t>
            </w:r>
          </w:p>
        </w:tc>
        <w:tc>
          <w:tcPr>
            <w:tcW w:w="2145" w:type="dxa"/>
            <w:tcBorders>
              <w:top w:val="single" w:sz="4" w:space="0" w:color="BDD7EE"/>
              <w:left w:val="single" w:sz="4" w:space="0" w:color="BDD7EE"/>
              <w:bottom w:val="single" w:sz="4" w:space="0" w:color="BDD7EE"/>
              <w:right w:val="single" w:sz="4" w:space="0" w:color="BDD7EE"/>
            </w:tcBorders>
            <w:vAlign w:val="center"/>
          </w:tcPr>
          <w:p w14:paraId="6AC3AF7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Sprovođenje Istraživanja o zadovoljstvu građana i građanki i biznis zajednice o elektronskim uslugama u Crnoj Gori </w:t>
            </w:r>
          </w:p>
        </w:tc>
        <w:tc>
          <w:tcPr>
            <w:tcW w:w="2387" w:type="dxa"/>
            <w:tcBorders>
              <w:top w:val="single" w:sz="4" w:space="0" w:color="BDD7EE"/>
              <w:left w:val="single" w:sz="4" w:space="0" w:color="BDD7EE"/>
              <w:bottom w:val="single" w:sz="4" w:space="0" w:color="BDD7EE"/>
              <w:right w:val="single" w:sz="4" w:space="0" w:color="BDD7EE"/>
            </w:tcBorders>
            <w:vAlign w:val="center"/>
          </w:tcPr>
          <w:p w14:paraId="702E85C6" w14:textId="77777777" w:rsidR="005B3072" w:rsidRDefault="00A46913">
            <w:pPr>
              <w:pBdr>
                <w:top w:val="nil"/>
                <w:left w:val="nil"/>
                <w:bottom w:val="nil"/>
                <w:right w:val="nil"/>
                <w:between w:val="nil"/>
              </w:pBdr>
              <w:spacing w:before="20"/>
              <w:rPr>
                <w:rFonts w:ascii="Sitka Text" w:eastAsia="Sitka Text" w:hAnsi="Sitka Text" w:cs="Sitka Text"/>
                <w:color w:val="1F4E79"/>
                <w:sz w:val="18"/>
                <w:szCs w:val="18"/>
                <w:highlight w:val="yellow"/>
              </w:rPr>
            </w:pPr>
            <w:r>
              <w:rPr>
                <w:rFonts w:ascii="Sitka Text" w:eastAsia="Sitka Text" w:hAnsi="Sitka Text" w:cs="Sitka Text"/>
                <w:color w:val="1F4E79"/>
              </w:rPr>
              <w:t>Broj sprovedenih istraživanja</w:t>
            </w:r>
          </w:p>
          <w:p w14:paraId="43CEE335" w14:textId="77777777" w:rsidR="005B3072" w:rsidRDefault="005B3072">
            <w:pPr>
              <w:pBdr>
                <w:top w:val="nil"/>
                <w:left w:val="nil"/>
                <w:bottom w:val="nil"/>
                <w:right w:val="nil"/>
                <w:between w:val="nil"/>
              </w:pBdr>
              <w:spacing w:before="20"/>
              <w:rPr>
                <w:rFonts w:ascii="Sitka Text" w:eastAsia="Sitka Text" w:hAnsi="Sitka Text" w:cs="Sitka Text"/>
                <w:color w:val="1F4E79"/>
                <w:sz w:val="18"/>
                <w:szCs w:val="18"/>
                <w:highlight w:val="yellow"/>
              </w:rPr>
            </w:pPr>
          </w:p>
        </w:tc>
        <w:tc>
          <w:tcPr>
            <w:tcW w:w="1741" w:type="dxa"/>
            <w:gridSpan w:val="2"/>
            <w:tcBorders>
              <w:top w:val="single" w:sz="4" w:space="0" w:color="BDD7EE"/>
              <w:left w:val="single" w:sz="4" w:space="0" w:color="BDD7EE"/>
              <w:bottom w:val="single" w:sz="4" w:space="0" w:color="BDD7EE"/>
              <w:right w:val="single" w:sz="4" w:space="0" w:color="BDD7EE"/>
            </w:tcBorders>
            <w:vAlign w:val="center"/>
          </w:tcPr>
          <w:p w14:paraId="72EF3FD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5F71284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UNDP</w:t>
            </w:r>
          </w:p>
        </w:tc>
        <w:tc>
          <w:tcPr>
            <w:tcW w:w="1384" w:type="dxa"/>
            <w:gridSpan w:val="2"/>
            <w:tcBorders>
              <w:top w:val="single" w:sz="4" w:space="0" w:color="BDD7EE"/>
              <w:left w:val="single" w:sz="4" w:space="0" w:color="BDD7EE"/>
              <w:bottom w:val="single" w:sz="4" w:space="0" w:color="BDD7EE"/>
              <w:right w:val="single" w:sz="4" w:space="0" w:color="BDD7EE"/>
            </w:tcBorders>
            <w:vAlign w:val="center"/>
          </w:tcPr>
          <w:p w14:paraId="1322C10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43" w:type="dxa"/>
            <w:tcBorders>
              <w:top w:val="single" w:sz="4" w:space="0" w:color="BDD7EE"/>
              <w:left w:val="single" w:sz="4" w:space="0" w:color="BDD7EE"/>
              <w:bottom w:val="single" w:sz="4" w:space="0" w:color="BDD7EE"/>
              <w:right w:val="single" w:sz="4" w:space="0" w:color="BDD7EE"/>
            </w:tcBorders>
            <w:vAlign w:val="center"/>
          </w:tcPr>
          <w:p w14:paraId="3752DFF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0167AF3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70.000 €</w:t>
            </w:r>
          </w:p>
        </w:tc>
        <w:tc>
          <w:tcPr>
            <w:tcW w:w="1565" w:type="dxa"/>
            <w:tcBorders>
              <w:top w:val="single" w:sz="4" w:space="0" w:color="BDD7EE"/>
              <w:left w:val="single" w:sz="4" w:space="0" w:color="BDD7EE"/>
              <w:bottom w:val="single" w:sz="4" w:space="0" w:color="BDD7EE"/>
              <w:right w:val="single" w:sz="4" w:space="0" w:color="BDD7EE"/>
            </w:tcBorders>
          </w:tcPr>
          <w:p w14:paraId="01B9EE0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tc>
      </w:tr>
      <w:tr w:rsidR="005B3072" w14:paraId="57C1213B" w14:textId="77777777">
        <w:tc>
          <w:tcPr>
            <w:tcW w:w="895" w:type="dxa"/>
            <w:tcBorders>
              <w:top w:val="single" w:sz="4" w:space="0" w:color="BDD7EE"/>
              <w:left w:val="single" w:sz="4" w:space="0" w:color="BDD7EE"/>
              <w:bottom w:val="single" w:sz="4" w:space="0" w:color="BDD7EE"/>
              <w:right w:val="single" w:sz="4" w:space="0" w:color="BDD7EE"/>
            </w:tcBorders>
          </w:tcPr>
          <w:p w14:paraId="351FC92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2.1.6</w:t>
            </w:r>
          </w:p>
        </w:tc>
        <w:tc>
          <w:tcPr>
            <w:tcW w:w="2145" w:type="dxa"/>
            <w:tcBorders>
              <w:top w:val="single" w:sz="4" w:space="0" w:color="BDD7EE"/>
              <w:left w:val="single" w:sz="4" w:space="0" w:color="BDD7EE"/>
              <w:bottom w:val="single" w:sz="4" w:space="0" w:color="BDD7EE"/>
              <w:right w:val="single" w:sz="4" w:space="0" w:color="BDD7EE"/>
            </w:tcBorders>
          </w:tcPr>
          <w:p w14:paraId="1F75CCC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Organizacija karavana digitalne edukacije za građane i biznis zajednicu </w:t>
            </w:r>
          </w:p>
        </w:tc>
        <w:tc>
          <w:tcPr>
            <w:tcW w:w="2387" w:type="dxa"/>
            <w:tcBorders>
              <w:top w:val="single" w:sz="4" w:space="0" w:color="BDD7EE"/>
              <w:left w:val="single" w:sz="4" w:space="0" w:color="BDD7EE"/>
              <w:bottom w:val="single" w:sz="4" w:space="0" w:color="BDD7EE"/>
              <w:right w:val="single" w:sz="4" w:space="0" w:color="BDD7EE"/>
            </w:tcBorders>
          </w:tcPr>
          <w:p w14:paraId="053D59F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realizovanih karavana (po regijama)</w:t>
            </w:r>
          </w:p>
          <w:p w14:paraId="1DB2102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741" w:type="dxa"/>
            <w:gridSpan w:val="2"/>
            <w:tcBorders>
              <w:top w:val="single" w:sz="4" w:space="0" w:color="BDD7EE"/>
              <w:left w:val="single" w:sz="4" w:space="0" w:color="BDD7EE"/>
              <w:bottom w:val="single" w:sz="4" w:space="0" w:color="BDD7EE"/>
              <w:right w:val="single" w:sz="4" w:space="0" w:color="BDD7EE"/>
            </w:tcBorders>
          </w:tcPr>
          <w:p w14:paraId="5321BE4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 ZO, NVO</w:t>
            </w:r>
          </w:p>
        </w:tc>
        <w:tc>
          <w:tcPr>
            <w:tcW w:w="1384" w:type="dxa"/>
            <w:gridSpan w:val="2"/>
            <w:tcBorders>
              <w:top w:val="single" w:sz="4" w:space="0" w:color="BDD7EE"/>
              <w:left w:val="single" w:sz="4" w:space="0" w:color="BDD7EE"/>
              <w:bottom w:val="single" w:sz="4" w:space="0" w:color="BDD7EE"/>
              <w:right w:val="single" w:sz="4" w:space="0" w:color="BDD7EE"/>
            </w:tcBorders>
          </w:tcPr>
          <w:p w14:paraId="508E2A3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443" w:type="dxa"/>
            <w:tcBorders>
              <w:top w:val="single" w:sz="4" w:space="0" w:color="BDD7EE"/>
              <w:left w:val="single" w:sz="4" w:space="0" w:color="BDD7EE"/>
              <w:bottom w:val="single" w:sz="4" w:space="0" w:color="BDD7EE"/>
              <w:right w:val="single" w:sz="4" w:space="0" w:color="BDD7EE"/>
            </w:tcBorders>
          </w:tcPr>
          <w:p w14:paraId="78F5B00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046F040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10.000 €</w:t>
            </w:r>
          </w:p>
        </w:tc>
        <w:tc>
          <w:tcPr>
            <w:tcW w:w="1565" w:type="dxa"/>
            <w:tcBorders>
              <w:top w:val="single" w:sz="4" w:space="0" w:color="BDD7EE"/>
              <w:left w:val="single" w:sz="4" w:space="0" w:color="BDD7EE"/>
              <w:bottom w:val="single" w:sz="4" w:space="0" w:color="BDD7EE"/>
              <w:right w:val="single" w:sz="4" w:space="0" w:color="BDD7EE"/>
            </w:tcBorders>
          </w:tcPr>
          <w:p w14:paraId="31F9D08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19F96943" w14:textId="77777777">
        <w:tc>
          <w:tcPr>
            <w:tcW w:w="895" w:type="dxa"/>
            <w:tcBorders>
              <w:top w:val="single" w:sz="4" w:space="0" w:color="BDD7EE"/>
              <w:left w:val="single" w:sz="4" w:space="0" w:color="BDD7EE"/>
              <w:bottom w:val="single" w:sz="4" w:space="0" w:color="BDD7EE"/>
              <w:right w:val="single" w:sz="4" w:space="0" w:color="BDD7EE"/>
            </w:tcBorders>
          </w:tcPr>
          <w:p w14:paraId="2724C70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2.1.7</w:t>
            </w:r>
          </w:p>
        </w:tc>
        <w:tc>
          <w:tcPr>
            <w:tcW w:w="2145" w:type="dxa"/>
            <w:tcBorders>
              <w:top w:val="single" w:sz="4" w:space="0" w:color="BDD7EE"/>
              <w:left w:val="single" w:sz="4" w:space="0" w:color="BDD7EE"/>
              <w:bottom w:val="single" w:sz="4" w:space="0" w:color="BDD7EE"/>
              <w:right w:val="single" w:sz="4" w:space="0" w:color="BDD7EE"/>
            </w:tcBorders>
            <w:vAlign w:val="center"/>
          </w:tcPr>
          <w:p w14:paraId="48F31A6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Razvoj promotivnih kampanja baziranih na rezultatima dobijenim sprovođenjem istraživanja o zadovoljstvu građana i biznis zajednice (smanjenje digitalnog rodnog jaza, benefiti upotrebe targetiranih e-usluga za građane i biznis zajednicu) </w:t>
            </w:r>
            <w:r>
              <w:rPr>
                <w:rFonts w:ascii="Sitka Text" w:eastAsia="Sitka Text" w:hAnsi="Sitka Text" w:cs="Sitka Text"/>
                <w:color w:val="1F4E79"/>
                <w:highlight w:val="yellow"/>
              </w:rPr>
              <w:t xml:space="preserve"> </w:t>
            </w:r>
          </w:p>
        </w:tc>
        <w:tc>
          <w:tcPr>
            <w:tcW w:w="2387" w:type="dxa"/>
            <w:tcBorders>
              <w:top w:val="single" w:sz="4" w:space="0" w:color="BDD7EE"/>
              <w:left w:val="single" w:sz="4" w:space="0" w:color="BDD7EE"/>
              <w:bottom w:val="single" w:sz="4" w:space="0" w:color="BDD7EE"/>
              <w:right w:val="single" w:sz="4" w:space="0" w:color="BDD7EE"/>
            </w:tcBorders>
          </w:tcPr>
          <w:p w14:paraId="31498FC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video materijala /infografika za targetirane e-usluge</w:t>
            </w:r>
          </w:p>
          <w:p w14:paraId="6E1CB5E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kampanja za smanjenje digitalnog rodnog jaza</w:t>
            </w:r>
          </w:p>
        </w:tc>
        <w:tc>
          <w:tcPr>
            <w:tcW w:w="1741" w:type="dxa"/>
            <w:gridSpan w:val="2"/>
            <w:tcBorders>
              <w:top w:val="single" w:sz="4" w:space="0" w:color="BDD7EE"/>
              <w:left w:val="single" w:sz="4" w:space="0" w:color="BDD7EE"/>
              <w:bottom w:val="single" w:sz="4" w:space="0" w:color="BDD7EE"/>
              <w:right w:val="single" w:sz="4" w:space="0" w:color="BDD7EE"/>
            </w:tcBorders>
          </w:tcPr>
          <w:p w14:paraId="5E7A5F9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MJUDDM-a, ključni organi državne uprave targetiranih e-usluga, UNDP</w:t>
            </w:r>
          </w:p>
        </w:tc>
        <w:tc>
          <w:tcPr>
            <w:tcW w:w="1384" w:type="dxa"/>
            <w:gridSpan w:val="2"/>
            <w:tcBorders>
              <w:top w:val="single" w:sz="4" w:space="0" w:color="BDD7EE"/>
              <w:left w:val="single" w:sz="4" w:space="0" w:color="BDD7EE"/>
              <w:bottom w:val="single" w:sz="4" w:space="0" w:color="BDD7EE"/>
              <w:right w:val="single" w:sz="4" w:space="0" w:color="BDD7EE"/>
            </w:tcBorders>
          </w:tcPr>
          <w:p w14:paraId="17B2F30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43" w:type="dxa"/>
            <w:tcBorders>
              <w:top w:val="single" w:sz="4" w:space="0" w:color="BDD7EE"/>
              <w:left w:val="single" w:sz="4" w:space="0" w:color="BDD7EE"/>
              <w:bottom w:val="single" w:sz="4" w:space="0" w:color="BDD7EE"/>
              <w:right w:val="single" w:sz="4" w:space="0" w:color="BDD7EE"/>
            </w:tcBorders>
          </w:tcPr>
          <w:p w14:paraId="47217FE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6B3565A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65.000 €</w:t>
            </w:r>
          </w:p>
        </w:tc>
        <w:tc>
          <w:tcPr>
            <w:tcW w:w="1565" w:type="dxa"/>
            <w:tcBorders>
              <w:top w:val="single" w:sz="4" w:space="0" w:color="BDD7EE"/>
              <w:left w:val="single" w:sz="4" w:space="0" w:color="BDD7EE"/>
              <w:bottom w:val="single" w:sz="4" w:space="0" w:color="BDD7EE"/>
              <w:right w:val="single" w:sz="4" w:space="0" w:color="BDD7EE"/>
            </w:tcBorders>
          </w:tcPr>
          <w:p w14:paraId="7A89F7E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tc>
      </w:tr>
      <w:tr w:rsidR="005B3072" w14:paraId="735100D0" w14:textId="77777777">
        <w:tc>
          <w:tcPr>
            <w:tcW w:w="895" w:type="dxa"/>
            <w:tcBorders>
              <w:top w:val="single" w:sz="4" w:space="0" w:color="BDD7EE"/>
              <w:left w:val="single" w:sz="4" w:space="0" w:color="BDD7EE"/>
              <w:bottom w:val="single" w:sz="4" w:space="0" w:color="BDD7EE"/>
              <w:right w:val="single" w:sz="4" w:space="0" w:color="BDD7EE"/>
            </w:tcBorders>
          </w:tcPr>
          <w:p w14:paraId="1047F64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2.1.8</w:t>
            </w:r>
          </w:p>
        </w:tc>
        <w:tc>
          <w:tcPr>
            <w:tcW w:w="2145" w:type="dxa"/>
            <w:tcBorders>
              <w:top w:val="single" w:sz="4" w:space="0" w:color="BDD7EE"/>
              <w:left w:val="single" w:sz="4" w:space="0" w:color="BDD7EE"/>
              <w:bottom w:val="single" w:sz="4" w:space="0" w:color="BDD7EE"/>
              <w:right w:val="single" w:sz="4" w:space="0" w:color="BDD7EE"/>
            </w:tcBorders>
          </w:tcPr>
          <w:p w14:paraId="33C09BF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Organizovanje događaja peer to peer misije: Privreda digitalnog doba</w:t>
            </w:r>
          </w:p>
        </w:tc>
        <w:tc>
          <w:tcPr>
            <w:tcW w:w="2387" w:type="dxa"/>
            <w:tcBorders>
              <w:top w:val="single" w:sz="4" w:space="0" w:color="BDD7EE"/>
              <w:left w:val="single" w:sz="4" w:space="0" w:color="BDD7EE"/>
              <w:bottom w:val="single" w:sz="4" w:space="0" w:color="BDD7EE"/>
              <w:right w:val="single" w:sz="4" w:space="0" w:color="BDD7EE"/>
            </w:tcBorders>
          </w:tcPr>
          <w:p w14:paraId="7F2C7B8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Održana jedna peer to peer misija </w:t>
            </w:r>
          </w:p>
        </w:tc>
        <w:tc>
          <w:tcPr>
            <w:tcW w:w="1741" w:type="dxa"/>
            <w:gridSpan w:val="2"/>
            <w:tcBorders>
              <w:top w:val="single" w:sz="4" w:space="0" w:color="BDD7EE"/>
              <w:left w:val="single" w:sz="4" w:space="0" w:color="BDD7EE"/>
              <w:bottom w:val="single" w:sz="4" w:space="0" w:color="BDD7EE"/>
              <w:right w:val="single" w:sz="4" w:space="0" w:color="BDD7EE"/>
            </w:tcBorders>
          </w:tcPr>
          <w:p w14:paraId="688C666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PKCG,</w:t>
            </w:r>
          </w:p>
          <w:p w14:paraId="6D414E4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MJUDDM, </w:t>
            </w:r>
          </w:p>
          <w:p w14:paraId="7D64602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MEK, </w:t>
            </w:r>
          </w:p>
          <w:p w14:paraId="0ECA26F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ZO, </w:t>
            </w:r>
          </w:p>
          <w:p w14:paraId="7C45A75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NVO</w:t>
            </w:r>
          </w:p>
        </w:tc>
        <w:tc>
          <w:tcPr>
            <w:tcW w:w="1384" w:type="dxa"/>
            <w:gridSpan w:val="2"/>
            <w:tcBorders>
              <w:top w:val="single" w:sz="4" w:space="0" w:color="BDD7EE"/>
              <w:left w:val="single" w:sz="4" w:space="0" w:color="BDD7EE"/>
              <w:bottom w:val="single" w:sz="4" w:space="0" w:color="BDD7EE"/>
              <w:right w:val="single" w:sz="4" w:space="0" w:color="BDD7EE"/>
            </w:tcBorders>
          </w:tcPr>
          <w:p w14:paraId="1732D8F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443" w:type="dxa"/>
            <w:tcBorders>
              <w:top w:val="single" w:sz="4" w:space="0" w:color="BDD7EE"/>
              <w:left w:val="single" w:sz="4" w:space="0" w:color="BDD7EE"/>
              <w:bottom w:val="single" w:sz="4" w:space="0" w:color="BDD7EE"/>
              <w:right w:val="single" w:sz="4" w:space="0" w:color="BDD7EE"/>
            </w:tcBorders>
          </w:tcPr>
          <w:p w14:paraId="14B9E2C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3A3DD9D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2.500 €</w:t>
            </w:r>
          </w:p>
        </w:tc>
        <w:tc>
          <w:tcPr>
            <w:tcW w:w="1565" w:type="dxa"/>
            <w:tcBorders>
              <w:top w:val="single" w:sz="4" w:space="0" w:color="BDD7EE"/>
              <w:left w:val="single" w:sz="4" w:space="0" w:color="BDD7EE"/>
              <w:bottom w:val="single" w:sz="4" w:space="0" w:color="BDD7EE"/>
              <w:right w:val="single" w:sz="4" w:space="0" w:color="BDD7EE"/>
            </w:tcBorders>
          </w:tcPr>
          <w:p w14:paraId="71DAD60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PKCG</w:t>
            </w:r>
          </w:p>
        </w:tc>
      </w:tr>
      <w:tr w:rsidR="005B3072" w14:paraId="4DF85007" w14:textId="77777777">
        <w:tc>
          <w:tcPr>
            <w:tcW w:w="895" w:type="dxa"/>
            <w:tcBorders>
              <w:top w:val="single" w:sz="4" w:space="0" w:color="BDD7EE"/>
              <w:left w:val="single" w:sz="4" w:space="0" w:color="BDD7EE"/>
              <w:bottom w:val="single" w:sz="4" w:space="0" w:color="BDD7EE"/>
              <w:right w:val="single" w:sz="4" w:space="0" w:color="BDD7EE"/>
            </w:tcBorders>
          </w:tcPr>
          <w:p w14:paraId="05990F9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2.1.9</w:t>
            </w:r>
          </w:p>
        </w:tc>
        <w:tc>
          <w:tcPr>
            <w:tcW w:w="2145" w:type="dxa"/>
            <w:tcBorders>
              <w:top w:val="single" w:sz="4" w:space="0" w:color="BDD7EE"/>
              <w:left w:val="single" w:sz="4" w:space="0" w:color="BDD7EE"/>
              <w:bottom w:val="single" w:sz="4" w:space="0" w:color="BDD7EE"/>
              <w:right w:val="single" w:sz="4" w:space="0" w:color="BDD7EE"/>
            </w:tcBorders>
          </w:tcPr>
          <w:p w14:paraId="5BF8009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kampanje za promociju značaja digitalizacije i upotrebe novih LK za građane i biznis zajednicu</w:t>
            </w:r>
          </w:p>
        </w:tc>
        <w:tc>
          <w:tcPr>
            <w:tcW w:w="2387" w:type="dxa"/>
            <w:tcBorders>
              <w:top w:val="single" w:sz="4" w:space="0" w:color="BDD7EE"/>
              <w:left w:val="single" w:sz="4" w:space="0" w:color="BDD7EE"/>
              <w:bottom w:val="single" w:sz="4" w:space="0" w:color="BDD7EE"/>
              <w:right w:val="single" w:sz="4" w:space="0" w:color="BDD7EE"/>
            </w:tcBorders>
          </w:tcPr>
          <w:p w14:paraId="543AF6B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Izrađena i sprovedena kampanja</w:t>
            </w:r>
          </w:p>
        </w:tc>
        <w:tc>
          <w:tcPr>
            <w:tcW w:w="1741" w:type="dxa"/>
            <w:gridSpan w:val="2"/>
            <w:tcBorders>
              <w:top w:val="single" w:sz="4" w:space="0" w:color="BDD7EE"/>
              <w:left w:val="single" w:sz="4" w:space="0" w:color="BDD7EE"/>
              <w:bottom w:val="single" w:sz="4" w:space="0" w:color="BDD7EE"/>
              <w:right w:val="single" w:sz="4" w:space="0" w:color="BDD7EE"/>
            </w:tcBorders>
          </w:tcPr>
          <w:p w14:paraId="7518D41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548CE32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p w14:paraId="3BF3FC0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UNDP</w:t>
            </w:r>
          </w:p>
          <w:p w14:paraId="1A179738"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84" w:type="dxa"/>
            <w:gridSpan w:val="2"/>
            <w:tcBorders>
              <w:top w:val="single" w:sz="4" w:space="0" w:color="BDD7EE"/>
              <w:left w:val="single" w:sz="4" w:space="0" w:color="BDD7EE"/>
              <w:bottom w:val="single" w:sz="4" w:space="0" w:color="BDD7EE"/>
              <w:right w:val="single" w:sz="4" w:space="0" w:color="BDD7EE"/>
            </w:tcBorders>
          </w:tcPr>
          <w:p w14:paraId="1611058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43" w:type="dxa"/>
            <w:tcBorders>
              <w:top w:val="single" w:sz="4" w:space="0" w:color="BDD7EE"/>
              <w:left w:val="single" w:sz="4" w:space="0" w:color="BDD7EE"/>
              <w:bottom w:val="single" w:sz="4" w:space="0" w:color="BDD7EE"/>
              <w:right w:val="single" w:sz="4" w:space="0" w:color="BDD7EE"/>
            </w:tcBorders>
          </w:tcPr>
          <w:p w14:paraId="260ED3A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21D9A66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n/p</w:t>
            </w:r>
          </w:p>
        </w:tc>
        <w:tc>
          <w:tcPr>
            <w:tcW w:w="1565" w:type="dxa"/>
            <w:tcBorders>
              <w:top w:val="single" w:sz="4" w:space="0" w:color="BDD7EE"/>
              <w:left w:val="single" w:sz="4" w:space="0" w:color="BDD7EE"/>
              <w:bottom w:val="single" w:sz="4" w:space="0" w:color="BDD7EE"/>
              <w:right w:val="single" w:sz="4" w:space="0" w:color="BDD7EE"/>
            </w:tcBorders>
          </w:tcPr>
          <w:p w14:paraId="35D25C6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Ambasada Ujedinjenog Kraljevstva</w:t>
            </w:r>
          </w:p>
          <w:p w14:paraId="622F5C64"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58E8919C" w14:textId="77777777">
        <w:tc>
          <w:tcPr>
            <w:tcW w:w="895" w:type="dxa"/>
            <w:tcBorders>
              <w:top w:val="single" w:sz="4" w:space="0" w:color="BDD7EE"/>
              <w:left w:val="single" w:sz="4" w:space="0" w:color="BDD7EE"/>
              <w:bottom w:val="single" w:sz="4" w:space="0" w:color="BDD7EE"/>
              <w:right w:val="single" w:sz="4" w:space="0" w:color="BDD7EE"/>
            </w:tcBorders>
          </w:tcPr>
          <w:p w14:paraId="4A23055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2.1.10</w:t>
            </w:r>
          </w:p>
        </w:tc>
        <w:tc>
          <w:tcPr>
            <w:tcW w:w="2145" w:type="dxa"/>
            <w:tcBorders>
              <w:top w:val="single" w:sz="4" w:space="0" w:color="BDD7EE"/>
              <w:left w:val="single" w:sz="4" w:space="0" w:color="BDD7EE"/>
              <w:bottom w:val="single" w:sz="4" w:space="0" w:color="BDD7EE"/>
              <w:right w:val="single" w:sz="4" w:space="0" w:color="BDD7EE"/>
            </w:tcBorders>
          </w:tcPr>
          <w:p w14:paraId="3C91C56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Organizovanje promotivnog predavanja u školama - Djevojčice iz ICT-ja za djevojčice u ICT-ju </w:t>
            </w:r>
          </w:p>
        </w:tc>
        <w:tc>
          <w:tcPr>
            <w:tcW w:w="2387" w:type="dxa"/>
            <w:tcBorders>
              <w:top w:val="single" w:sz="4" w:space="0" w:color="BDD7EE"/>
              <w:left w:val="single" w:sz="4" w:space="0" w:color="BDD7EE"/>
              <w:bottom w:val="single" w:sz="4" w:space="0" w:color="BDD7EE"/>
              <w:right w:val="single" w:sz="4" w:space="0" w:color="BDD7EE"/>
            </w:tcBorders>
          </w:tcPr>
          <w:p w14:paraId="3F4F13F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organizovanih predavanja</w:t>
            </w:r>
          </w:p>
        </w:tc>
        <w:tc>
          <w:tcPr>
            <w:tcW w:w="1741" w:type="dxa"/>
            <w:gridSpan w:val="2"/>
            <w:tcBorders>
              <w:top w:val="single" w:sz="4" w:space="0" w:color="BDD7EE"/>
              <w:left w:val="single" w:sz="4" w:space="0" w:color="BDD7EE"/>
              <w:bottom w:val="single" w:sz="4" w:space="0" w:color="BDD7EE"/>
              <w:right w:val="single" w:sz="4" w:space="0" w:color="BDD7EE"/>
            </w:tcBorders>
          </w:tcPr>
          <w:p w14:paraId="57BD441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PKCG</w:t>
            </w:r>
          </w:p>
          <w:p w14:paraId="12E9248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MPNKS</w:t>
            </w:r>
          </w:p>
        </w:tc>
        <w:tc>
          <w:tcPr>
            <w:tcW w:w="1384" w:type="dxa"/>
            <w:gridSpan w:val="2"/>
            <w:tcBorders>
              <w:top w:val="single" w:sz="4" w:space="0" w:color="BDD7EE"/>
              <w:left w:val="single" w:sz="4" w:space="0" w:color="BDD7EE"/>
              <w:bottom w:val="single" w:sz="4" w:space="0" w:color="BDD7EE"/>
              <w:right w:val="single" w:sz="4" w:space="0" w:color="BDD7EE"/>
            </w:tcBorders>
          </w:tcPr>
          <w:p w14:paraId="152A4B0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443" w:type="dxa"/>
            <w:tcBorders>
              <w:top w:val="single" w:sz="4" w:space="0" w:color="BDD7EE"/>
              <w:left w:val="single" w:sz="4" w:space="0" w:color="BDD7EE"/>
              <w:bottom w:val="single" w:sz="4" w:space="0" w:color="BDD7EE"/>
              <w:right w:val="single" w:sz="4" w:space="0" w:color="BDD7EE"/>
            </w:tcBorders>
          </w:tcPr>
          <w:p w14:paraId="128CD6B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4015BA1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565" w:type="dxa"/>
            <w:tcBorders>
              <w:top w:val="single" w:sz="4" w:space="0" w:color="BDD7EE"/>
              <w:left w:val="single" w:sz="4" w:space="0" w:color="BDD7EE"/>
              <w:bottom w:val="single" w:sz="4" w:space="0" w:color="BDD7EE"/>
              <w:right w:val="single" w:sz="4" w:space="0" w:color="BDD7EE"/>
            </w:tcBorders>
          </w:tcPr>
          <w:p w14:paraId="1C8FEFA0"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40AAFBC4" w14:textId="77777777">
        <w:tc>
          <w:tcPr>
            <w:tcW w:w="895" w:type="dxa"/>
            <w:tcBorders>
              <w:top w:val="single" w:sz="4" w:space="0" w:color="BDD7EE"/>
              <w:left w:val="single" w:sz="4" w:space="0" w:color="BDD7EE"/>
              <w:bottom w:val="single" w:sz="4" w:space="0" w:color="BDD7EE"/>
              <w:right w:val="single" w:sz="4" w:space="0" w:color="BDD7EE"/>
            </w:tcBorders>
          </w:tcPr>
          <w:p w14:paraId="6D26E84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2.1.11</w:t>
            </w:r>
          </w:p>
        </w:tc>
        <w:tc>
          <w:tcPr>
            <w:tcW w:w="2145" w:type="dxa"/>
            <w:tcBorders>
              <w:top w:val="single" w:sz="4" w:space="0" w:color="BDD7EE"/>
              <w:left w:val="single" w:sz="4" w:space="0" w:color="BDD7EE"/>
              <w:bottom w:val="single" w:sz="4" w:space="0" w:color="BDD7EE"/>
              <w:right w:val="single" w:sz="4" w:space="0" w:color="BDD7EE"/>
            </w:tcBorders>
          </w:tcPr>
          <w:p w14:paraId="08A91CF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Organizovanje događaja/posjete ICT kompanijama, u kojima posluju većinom osobe ženskog pola, za grupe od 10 djevojčica</w:t>
            </w:r>
          </w:p>
        </w:tc>
        <w:tc>
          <w:tcPr>
            <w:tcW w:w="2387" w:type="dxa"/>
            <w:tcBorders>
              <w:top w:val="single" w:sz="4" w:space="0" w:color="BDD7EE"/>
              <w:left w:val="single" w:sz="4" w:space="0" w:color="BDD7EE"/>
              <w:bottom w:val="single" w:sz="4" w:space="0" w:color="BDD7EE"/>
              <w:right w:val="single" w:sz="4" w:space="0" w:color="BDD7EE"/>
            </w:tcBorders>
          </w:tcPr>
          <w:p w14:paraId="5AC92CA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organizovanih posjeta</w:t>
            </w:r>
          </w:p>
        </w:tc>
        <w:tc>
          <w:tcPr>
            <w:tcW w:w="1741" w:type="dxa"/>
            <w:gridSpan w:val="2"/>
            <w:tcBorders>
              <w:top w:val="single" w:sz="4" w:space="0" w:color="BDD7EE"/>
              <w:left w:val="single" w:sz="4" w:space="0" w:color="BDD7EE"/>
              <w:bottom w:val="single" w:sz="4" w:space="0" w:color="BDD7EE"/>
              <w:right w:val="single" w:sz="4" w:space="0" w:color="BDD7EE"/>
            </w:tcBorders>
          </w:tcPr>
          <w:p w14:paraId="72C23B2F"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PKCG</w:t>
            </w:r>
          </w:p>
          <w:p w14:paraId="20656F5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MPNKS</w:t>
            </w:r>
          </w:p>
        </w:tc>
        <w:tc>
          <w:tcPr>
            <w:tcW w:w="1384" w:type="dxa"/>
            <w:gridSpan w:val="2"/>
            <w:tcBorders>
              <w:top w:val="single" w:sz="4" w:space="0" w:color="BDD7EE"/>
              <w:left w:val="single" w:sz="4" w:space="0" w:color="BDD7EE"/>
              <w:bottom w:val="single" w:sz="4" w:space="0" w:color="BDD7EE"/>
              <w:right w:val="single" w:sz="4" w:space="0" w:color="BDD7EE"/>
            </w:tcBorders>
          </w:tcPr>
          <w:p w14:paraId="6E6D1A6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443" w:type="dxa"/>
            <w:tcBorders>
              <w:top w:val="single" w:sz="4" w:space="0" w:color="BDD7EE"/>
              <w:left w:val="single" w:sz="4" w:space="0" w:color="BDD7EE"/>
              <w:bottom w:val="single" w:sz="4" w:space="0" w:color="BDD7EE"/>
              <w:right w:val="single" w:sz="4" w:space="0" w:color="BDD7EE"/>
            </w:tcBorders>
          </w:tcPr>
          <w:p w14:paraId="6A9B757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68F5C34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500 €</w:t>
            </w:r>
          </w:p>
        </w:tc>
        <w:tc>
          <w:tcPr>
            <w:tcW w:w="1565" w:type="dxa"/>
            <w:tcBorders>
              <w:top w:val="single" w:sz="4" w:space="0" w:color="BDD7EE"/>
              <w:left w:val="single" w:sz="4" w:space="0" w:color="BDD7EE"/>
              <w:bottom w:val="single" w:sz="4" w:space="0" w:color="BDD7EE"/>
              <w:right w:val="single" w:sz="4" w:space="0" w:color="BDD7EE"/>
            </w:tcBorders>
          </w:tcPr>
          <w:p w14:paraId="37512FF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PKCG</w:t>
            </w:r>
          </w:p>
        </w:tc>
      </w:tr>
    </w:tbl>
    <w:p w14:paraId="7A895588" w14:textId="77777777" w:rsidR="005B3072" w:rsidRDefault="005B3072">
      <w:pPr>
        <w:spacing w:before="20" w:after="20" w:line="240" w:lineRule="auto"/>
        <w:rPr>
          <w:rFonts w:ascii="Sitka Text" w:eastAsia="Sitka Text" w:hAnsi="Sitka Text" w:cs="Sitka Text"/>
          <w:color w:val="385623"/>
          <w:sz w:val="24"/>
          <w:szCs w:val="24"/>
        </w:rPr>
      </w:pPr>
    </w:p>
    <w:tbl>
      <w:tblPr>
        <w:tblStyle w:val="af3"/>
        <w:tblW w:w="13114"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920"/>
        <w:gridCol w:w="2014"/>
        <w:gridCol w:w="2383"/>
        <w:gridCol w:w="1841"/>
        <w:gridCol w:w="976"/>
        <w:gridCol w:w="488"/>
        <w:gridCol w:w="1374"/>
        <w:gridCol w:w="515"/>
        <w:gridCol w:w="1039"/>
        <w:gridCol w:w="1564"/>
      </w:tblGrid>
      <w:tr w:rsidR="005B3072" w14:paraId="2A97599B" w14:textId="77777777">
        <w:trPr>
          <w:trHeight w:val="926"/>
        </w:trPr>
        <w:tc>
          <w:tcPr>
            <w:tcW w:w="2934" w:type="dxa"/>
            <w:gridSpan w:val="2"/>
            <w:shd w:val="clear" w:color="auto" w:fill="1F4E79"/>
            <w:vAlign w:val="center"/>
          </w:tcPr>
          <w:p w14:paraId="01A33F9E"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2.2</w:t>
            </w:r>
          </w:p>
        </w:tc>
        <w:tc>
          <w:tcPr>
            <w:tcW w:w="10180" w:type="dxa"/>
            <w:gridSpan w:val="8"/>
            <w:shd w:val="clear" w:color="auto" w:fill="1F4E79"/>
            <w:vAlign w:val="center"/>
          </w:tcPr>
          <w:p w14:paraId="6ECC3197"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 xml:space="preserve">Unapređenje kvaliteta, količine i upotreba e-usluga </w:t>
            </w:r>
          </w:p>
        </w:tc>
      </w:tr>
      <w:tr w:rsidR="005B3072" w14:paraId="65461242" w14:textId="77777777">
        <w:tc>
          <w:tcPr>
            <w:tcW w:w="5317" w:type="dxa"/>
            <w:gridSpan w:val="3"/>
            <w:shd w:val="clear" w:color="auto" w:fill="DAF2F6"/>
          </w:tcPr>
          <w:p w14:paraId="0B5555F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Indikator</w:t>
            </w:r>
          </w:p>
        </w:tc>
        <w:tc>
          <w:tcPr>
            <w:tcW w:w="2817" w:type="dxa"/>
            <w:gridSpan w:val="2"/>
            <w:shd w:val="clear" w:color="auto" w:fill="DAF2F6"/>
            <w:vAlign w:val="center"/>
          </w:tcPr>
          <w:p w14:paraId="63CFC995"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2377" w:type="dxa"/>
            <w:gridSpan w:val="3"/>
            <w:tcBorders>
              <w:bottom w:val="single" w:sz="4" w:space="0" w:color="FFFFFF"/>
            </w:tcBorders>
            <w:shd w:val="clear" w:color="auto" w:fill="DAF2F6"/>
            <w:vAlign w:val="center"/>
          </w:tcPr>
          <w:p w14:paraId="357545B3"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2603" w:type="dxa"/>
            <w:gridSpan w:val="2"/>
            <w:tcBorders>
              <w:bottom w:val="single" w:sz="4" w:space="0" w:color="FFFFFF"/>
            </w:tcBorders>
            <w:shd w:val="clear" w:color="auto" w:fill="DAF2F6"/>
            <w:vAlign w:val="center"/>
          </w:tcPr>
          <w:p w14:paraId="6EFFC56E"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2026.</w:t>
            </w:r>
          </w:p>
        </w:tc>
      </w:tr>
      <w:tr w:rsidR="005B3072" w14:paraId="6F37A565" w14:textId="77777777">
        <w:tc>
          <w:tcPr>
            <w:tcW w:w="5317" w:type="dxa"/>
            <w:gridSpan w:val="3"/>
            <w:tcBorders>
              <w:bottom w:val="single" w:sz="4" w:space="0" w:color="000000"/>
            </w:tcBorders>
            <w:shd w:val="clear" w:color="auto" w:fill="DAF2F6"/>
          </w:tcPr>
          <w:p w14:paraId="4C374D36"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Index on-line usluga (OSI)</w:t>
            </w:r>
          </w:p>
        </w:tc>
        <w:tc>
          <w:tcPr>
            <w:tcW w:w="2817" w:type="dxa"/>
            <w:gridSpan w:val="2"/>
            <w:tcBorders>
              <w:bottom w:val="single" w:sz="4" w:space="0" w:color="000000"/>
            </w:tcBorders>
            <w:shd w:val="clear" w:color="auto" w:fill="DAF2F6"/>
          </w:tcPr>
          <w:p w14:paraId="0099E54A"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0,5412</w:t>
            </w:r>
          </w:p>
        </w:tc>
        <w:tc>
          <w:tcPr>
            <w:tcW w:w="2377" w:type="dxa"/>
            <w:gridSpan w:val="3"/>
            <w:tcBorders>
              <w:bottom w:val="single" w:sz="4" w:space="0" w:color="000000"/>
            </w:tcBorders>
            <w:shd w:val="clear" w:color="auto" w:fill="DAF2F6"/>
          </w:tcPr>
          <w:p w14:paraId="2AFE051A"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10%</w:t>
            </w:r>
          </w:p>
        </w:tc>
        <w:tc>
          <w:tcPr>
            <w:tcW w:w="2603" w:type="dxa"/>
            <w:gridSpan w:val="2"/>
            <w:tcBorders>
              <w:bottom w:val="single" w:sz="4" w:space="0" w:color="000000"/>
            </w:tcBorders>
            <w:shd w:val="clear" w:color="auto" w:fill="DAF2F6"/>
          </w:tcPr>
          <w:p w14:paraId="6E167948"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20%</w:t>
            </w:r>
          </w:p>
        </w:tc>
      </w:tr>
      <w:tr w:rsidR="005B3072" w14:paraId="3FDBB15A" w14:textId="77777777">
        <w:tc>
          <w:tcPr>
            <w:tcW w:w="5317" w:type="dxa"/>
            <w:gridSpan w:val="3"/>
            <w:tcBorders>
              <w:top w:val="single" w:sz="4" w:space="0" w:color="000000"/>
              <w:bottom w:val="single" w:sz="4" w:space="0" w:color="000000"/>
            </w:tcBorders>
            <w:shd w:val="clear" w:color="auto" w:fill="DAF2F6"/>
          </w:tcPr>
          <w:p w14:paraId="44D0FB04" w14:textId="77777777" w:rsidR="005B3072" w:rsidRDefault="00A46913">
            <w:pPr>
              <w:spacing w:after="40"/>
              <w:rPr>
                <w:rFonts w:ascii="Sitka Text" w:eastAsia="Sitka Text" w:hAnsi="Sitka Text" w:cs="Sitka Text"/>
                <w:b/>
                <w:color w:val="1F4E79"/>
              </w:rPr>
            </w:pPr>
            <w:r>
              <w:rPr>
                <w:rFonts w:ascii="Sitka Text" w:eastAsia="Sitka Text" w:hAnsi="Sitka Text" w:cs="Sitka Text"/>
                <w:b/>
                <w:color w:val="1F4E79"/>
              </w:rPr>
              <w:t>Udio jedinstvenih korisnika koji su koristili ličnu kartu za identifikaciju/potpis prilikom korišćenja elektronskih usluga</w:t>
            </w:r>
          </w:p>
        </w:tc>
        <w:tc>
          <w:tcPr>
            <w:tcW w:w="2817" w:type="dxa"/>
            <w:gridSpan w:val="2"/>
            <w:tcBorders>
              <w:top w:val="single" w:sz="4" w:space="0" w:color="000000"/>
              <w:bottom w:val="single" w:sz="4" w:space="0" w:color="000000"/>
            </w:tcBorders>
            <w:shd w:val="clear" w:color="auto" w:fill="DAF2F6"/>
          </w:tcPr>
          <w:p w14:paraId="203AB4E0"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n/a</w:t>
            </w:r>
          </w:p>
        </w:tc>
        <w:tc>
          <w:tcPr>
            <w:tcW w:w="2377" w:type="dxa"/>
            <w:gridSpan w:val="3"/>
            <w:tcBorders>
              <w:top w:val="single" w:sz="4" w:space="0" w:color="000000"/>
              <w:bottom w:val="single" w:sz="4" w:space="0" w:color="000000"/>
            </w:tcBorders>
            <w:shd w:val="clear" w:color="auto" w:fill="DAF2F6"/>
          </w:tcPr>
          <w:p w14:paraId="0739C8D9" w14:textId="77777777" w:rsidR="005B3072" w:rsidRDefault="00A46913">
            <w:pPr>
              <w:spacing w:after="40" w:line="360" w:lineRule="auto"/>
              <w:jc w:val="center"/>
              <w:rPr>
                <w:rFonts w:ascii="Sitka Text" w:eastAsia="Sitka Text" w:hAnsi="Sitka Text" w:cs="Sitka Text"/>
                <w:b/>
                <w:color w:val="1F4E79"/>
              </w:rPr>
            </w:pPr>
            <w:r>
              <w:rPr>
                <w:rFonts w:ascii="Sitka Text" w:eastAsia="Sitka Text" w:hAnsi="Sitka Text" w:cs="Sitka Text"/>
                <w:b/>
                <w:color w:val="1F4E79"/>
              </w:rPr>
              <w:t>20%</w:t>
            </w:r>
          </w:p>
        </w:tc>
        <w:tc>
          <w:tcPr>
            <w:tcW w:w="2603" w:type="dxa"/>
            <w:gridSpan w:val="2"/>
            <w:tcBorders>
              <w:top w:val="single" w:sz="4" w:space="0" w:color="000000"/>
              <w:bottom w:val="single" w:sz="4" w:space="0" w:color="000000"/>
            </w:tcBorders>
            <w:shd w:val="clear" w:color="auto" w:fill="DAF2F6"/>
          </w:tcPr>
          <w:p w14:paraId="4EDAEDA5"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50%</w:t>
            </w:r>
          </w:p>
        </w:tc>
      </w:tr>
      <w:tr w:rsidR="005B3072" w14:paraId="300625FE" w14:textId="77777777">
        <w:tc>
          <w:tcPr>
            <w:tcW w:w="5317" w:type="dxa"/>
            <w:gridSpan w:val="3"/>
            <w:tcBorders>
              <w:top w:val="single" w:sz="4" w:space="0" w:color="000000"/>
              <w:bottom w:val="single" w:sz="4" w:space="0" w:color="000000"/>
            </w:tcBorders>
            <w:shd w:val="clear" w:color="auto" w:fill="DAF2F6"/>
          </w:tcPr>
          <w:p w14:paraId="6A2F9E70" w14:textId="77777777" w:rsidR="005B3072" w:rsidRDefault="00A46913">
            <w:pPr>
              <w:pBdr>
                <w:top w:val="nil"/>
                <w:left w:val="nil"/>
                <w:bottom w:val="nil"/>
                <w:right w:val="nil"/>
                <w:between w:val="nil"/>
              </w:pBdr>
              <w:spacing w:after="40"/>
              <w:ind w:hanging="144"/>
              <w:rPr>
                <w:rFonts w:ascii="Sitka Text" w:eastAsia="Sitka Text" w:hAnsi="Sitka Text" w:cs="Sitka Text"/>
                <w:b/>
                <w:color w:val="1F4E79"/>
              </w:rPr>
            </w:pPr>
            <w:r>
              <w:rPr>
                <w:rFonts w:ascii="Sitka Text" w:eastAsia="Sitka Text" w:hAnsi="Sitka Text" w:cs="Sitka Text"/>
                <w:b/>
                <w:color w:val="1F4E79"/>
              </w:rPr>
              <w:t>Broj korisnika elektronske identifikacije i usluga od povjerenja (izuzev MUP-a)</w:t>
            </w:r>
          </w:p>
        </w:tc>
        <w:tc>
          <w:tcPr>
            <w:tcW w:w="2817" w:type="dxa"/>
            <w:gridSpan w:val="2"/>
            <w:tcBorders>
              <w:top w:val="single" w:sz="4" w:space="0" w:color="000000"/>
              <w:bottom w:val="single" w:sz="4" w:space="0" w:color="000000"/>
            </w:tcBorders>
            <w:shd w:val="clear" w:color="auto" w:fill="DAF2F6"/>
          </w:tcPr>
          <w:p w14:paraId="3FDE193C"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20.519</w:t>
            </w:r>
            <w:r>
              <w:rPr>
                <w:rFonts w:ascii="Sitka Text" w:eastAsia="Sitka Text" w:hAnsi="Sitka Text" w:cs="Sitka Text"/>
                <w:b/>
                <w:color w:val="1F4E79"/>
                <w:vertAlign w:val="superscript"/>
              </w:rPr>
              <w:footnoteReference w:id="79"/>
            </w:r>
          </w:p>
          <w:p w14:paraId="467AF7E0" w14:textId="77777777" w:rsidR="005B3072" w:rsidRDefault="005B3072">
            <w:pPr>
              <w:pBdr>
                <w:top w:val="nil"/>
                <w:left w:val="nil"/>
                <w:bottom w:val="nil"/>
                <w:right w:val="nil"/>
                <w:between w:val="nil"/>
              </w:pBdr>
              <w:spacing w:after="40"/>
              <w:ind w:hanging="144"/>
              <w:jc w:val="center"/>
              <w:rPr>
                <w:rFonts w:ascii="Sitka Text" w:eastAsia="Sitka Text" w:hAnsi="Sitka Text" w:cs="Sitka Text"/>
                <w:b/>
                <w:color w:val="1F4E79"/>
              </w:rPr>
            </w:pPr>
          </w:p>
        </w:tc>
        <w:tc>
          <w:tcPr>
            <w:tcW w:w="2377" w:type="dxa"/>
            <w:gridSpan w:val="3"/>
            <w:tcBorders>
              <w:top w:val="single" w:sz="4" w:space="0" w:color="000000"/>
              <w:bottom w:val="single" w:sz="4" w:space="0" w:color="000000"/>
            </w:tcBorders>
            <w:shd w:val="clear" w:color="auto" w:fill="DAF2F6"/>
          </w:tcPr>
          <w:p w14:paraId="7684277C"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22.570</w:t>
            </w:r>
          </w:p>
        </w:tc>
        <w:tc>
          <w:tcPr>
            <w:tcW w:w="2603" w:type="dxa"/>
            <w:gridSpan w:val="2"/>
            <w:tcBorders>
              <w:top w:val="single" w:sz="4" w:space="0" w:color="000000"/>
              <w:bottom w:val="single" w:sz="4" w:space="0" w:color="000000"/>
            </w:tcBorders>
            <w:shd w:val="clear" w:color="auto" w:fill="DAF2F6"/>
          </w:tcPr>
          <w:p w14:paraId="46EBBB74"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27.084</w:t>
            </w:r>
          </w:p>
          <w:p w14:paraId="5C833146" w14:textId="77777777" w:rsidR="005B3072" w:rsidRDefault="005B3072">
            <w:pPr>
              <w:pBdr>
                <w:top w:val="nil"/>
                <w:left w:val="nil"/>
                <w:bottom w:val="nil"/>
                <w:right w:val="nil"/>
                <w:between w:val="nil"/>
              </w:pBdr>
              <w:spacing w:after="40"/>
              <w:ind w:hanging="144"/>
              <w:jc w:val="center"/>
              <w:rPr>
                <w:rFonts w:ascii="Sitka Text" w:eastAsia="Sitka Text" w:hAnsi="Sitka Text" w:cs="Sitka Text"/>
                <w:b/>
                <w:color w:val="1F4E79"/>
              </w:rPr>
            </w:pPr>
          </w:p>
        </w:tc>
      </w:tr>
      <w:tr w:rsidR="005B3072" w14:paraId="7F5C0D9C" w14:textId="77777777">
        <w:tc>
          <w:tcPr>
            <w:tcW w:w="2934" w:type="dxa"/>
            <w:gridSpan w:val="2"/>
            <w:tcBorders>
              <w:top w:val="single" w:sz="4" w:space="0" w:color="000000"/>
              <w:bottom w:val="single" w:sz="4" w:space="0" w:color="BDD7EE"/>
            </w:tcBorders>
            <w:shd w:val="clear" w:color="auto" w:fill="B4C6E7"/>
          </w:tcPr>
          <w:p w14:paraId="76EC59C3"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10180" w:type="dxa"/>
            <w:gridSpan w:val="8"/>
            <w:tcBorders>
              <w:top w:val="single" w:sz="4" w:space="0" w:color="000000"/>
              <w:bottom w:val="single" w:sz="4" w:space="0" w:color="BDD7EE"/>
            </w:tcBorders>
            <w:shd w:val="clear" w:color="auto" w:fill="B4C6E7"/>
          </w:tcPr>
          <w:p w14:paraId="643C7B88"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Razvoj i optimizacija korisnički orjentisanih elektronskih usluga</w:t>
            </w:r>
          </w:p>
        </w:tc>
      </w:tr>
      <w:tr w:rsidR="005B3072" w14:paraId="69A3E6F0" w14:textId="77777777">
        <w:tc>
          <w:tcPr>
            <w:tcW w:w="293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09830785"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8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02C437E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841"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3CA0A64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46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7A17CF1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74"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E70289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2FD1886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64"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146B0B7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1527DD8B" w14:textId="77777777">
        <w:tc>
          <w:tcPr>
            <w:tcW w:w="920" w:type="dxa"/>
            <w:tcBorders>
              <w:top w:val="single" w:sz="4" w:space="0" w:color="BDD7EE"/>
              <w:left w:val="single" w:sz="4" w:space="0" w:color="BDD7EE"/>
              <w:bottom w:val="single" w:sz="4" w:space="0" w:color="BDD7EE"/>
              <w:right w:val="single" w:sz="4" w:space="0" w:color="BDD7EE"/>
            </w:tcBorders>
          </w:tcPr>
          <w:p w14:paraId="4FDF780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1</w:t>
            </w:r>
          </w:p>
        </w:tc>
        <w:tc>
          <w:tcPr>
            <w:tcW w:w="2014" w:type="dxa"/>
            <w:tcBorders>
              <w:top w:val="single" w:sz="4" w:space="0" w:color="BDD7EE"/>
              <w:left w:val="single" w:sz="4" w:space="0" w:color="BDD7EE"/>
              <w:bottom w:val="single" w:sz="4" w:space="0" w:color="BDD7EE"/>
              <w:right w:val="single" w:sz="4" w:space="0" w:color="BDD7EE"/>
            </w:tcBorders>
            <w:vAlign w:val="center"/>
          </w:tcPr>
          <w:p w14:paraId="4B0D760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Operativnog tima za razvoj e-usluga i interoperabilnost</w:t>
            </w:r>
          </w:p>
        </w:tc>
        <w:tc>
          <w:tcPr>
            <w:tcW w:w="2383" w:type="dxa"/>
            <w:tcBorders>
              <w:top w:val="single" w:sz="4" w:space="0" w:color="BDD7EE"/>
              <w:left w:val="single" w:sz="4" w:space="0" w:color="BDD7EE"/>
              <w:bottom w:val="single" w:sz="4" w:space="0" w:color="BDD7EE"/>
              <w:right w:val="single" w:sz="4" w:space="0" w:color="BDD7EE"/>
            </w:tcBorders>
          </w:tcPr>
          <w:p w14:paraId="5E757BD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Uspostavljen međuresorni operativni tim </w:t>
            </w:r>
          </w:p>
        </w:tc>
        <w:tc>
          <w:tcPr>
            <w:tcW w:w="1841" w:type="dxa"/>
            <w:tcBorders>
              <w:top w:val="single" w:sz="4" w:space="0" w:color="BDD7EE"/>
              <w:left w:val="single" w:sz="4" w:space="0" w:color="BDD7EE"/>
              <w:bottom w:val="single" w:sz="4" w:space="0" w:color="BDD7EE"/>
              <w:right w:val="single" w:sz="4" w:space="0" w:color="BDD7EE"/>
            </w:tcBorders>
          </w:tcPr>
          <w:p w14:paraId="5C1D327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6725B1A8"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p w14:paraId="2C1D5D3D"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464" w:type="dxa"/>
            <w:gridSpan w:val="2"/>
            <w:tcBorders>
              <w:top w:val="single" w:sz="4" w:space="0" w:color="BDD7EE"/>
              <w:left w:val="single" w:sz="4" w:space="0" w:color="BDD7EE"/>
              <w:bottom w:val="single" w:sz="4" w:space="0" w:color="BDD7EE"/>
              <w:right w:val="single" w:sz="4" w:space="0" w:color="BDD7EE"/>
            </w:tcBorders>
          </w:tcPr>
          <w:p w14:paraId="7D8EB38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74" w:type="dxa"/>
            <w:tcBorders>
              <w:top w:val="single" w:sz="4" w:space="0" w:color="BDD7EE"/>
              <w:left w:val="single" w:sz="4" w:space="0" w:color="BDD7EE"/>
              <w:bottom w:val="single" w:sz="4" w:space="0" w:color="BDD7EE"/>
              <w:right w:val="single" w:sz="4" w:space="0" w:color="BDD7EE"/>
            </w:tcBorders>
          </w:tcPr>
          <w:p w14:paraId="6689BE4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4D56407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564" w:type="dxa"/>
            <w:tcBorders>
              <w:top w:val="single" w:sz="4" w:space="0" w:color="BDD7EE"/>
              <w:left w:val="single" w:sz="4" w:space="0" w:color="BDD7EE"/>
              <w:bottom w:val="single" w:sz="4" w:space="0" w:color="BDD7EE"/>
              <w:right w:val="single" w:sz="4" w:space="0" w:color="BDD7EE"/>
            </w:tcBorders>
          </w:tcPr>
          <w:p w14:paraId="00F369A0"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22AD179C" w14:textId="77777777">
        <w:tc>
          <w:tcPr>
            <w:tcW w:w="920" w:type="dxa"/>
            <w:tcBorders>
              <w:top w:val="single" w:sz="4" w:space="0" w:color="BDD7EE"/>
              <w:left w:val="single" w:sz="4" w:space="0" w:color="BDD7EE"/>
              <w:bottom w:val="single" w:sz="4" w:space="0" w:color="BDD7EE"/>
              <w:right w:val="single" w:sz="4" w:space="0" w:color="BDD7EE"/>
            </w:tcBorders>
          </w:tcPr>
          <w:p w14:paraId="356ADCB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2</w:t>
            </w:r>
          </w:p>
        </w:tc>
        <w:tc>
          <w:tcPr>
            <w:tcW w:w="2014" w:type="dxa"/>
            <w:tcBorders>
              <w:top w:val="single" w:sz="4" w:space="0" w:color="BDD7EE"/>
              <w:left w:val="single" w:sz="4" w:space="0" w:color="BDD7EE"/>
              <w:bottom w:val="single" w:sz="4" w:space="0" w:color="BDD7EE"/>
              <w:right w:val="single" w:sz="4" w:space="0" w:color="BDD7EE"/>
            </w:tcBorders>
            <w:vAlign w:val="center"/>
          </w:tcPr>
          <w:p w14:paraId="5FA3095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Izrada metodologije na nivou državne i lokalne uprave za standardizaciju i razvoj korisnički orjenitisanih e-usluga</w:t>
            </w:r>
          </w:p>
        </w:tc>
        <w:tc>
          <w:tcPr>
            <w:tcW w:w="2383" w:type="dxa"/>
            <w:tcBorders>
              <w:top w:val="single" w:sz="4" w:space="0" w:color="BDD7EE"/>
              <w:left w:val="single" w:sz="4" w:space="0" w:color="BDD7EE"/>
              <w:bottom w:val="single" w:sz="4" w:space="0" w:color="BDD7EE"/>
              <w:right w:val="single" w:sz="4" w:space="0" w:color="BDD7EE"/>
            </w:tcBorders>
          </w:tcPr>
          <w:p w14:paraId="0CA9A26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Izrađena Metodologija</w:t>
            </w:r>
          </w:p>
        </w:tc>
        <w:tc>
          <w:tcPr>
            <w:tcW w:w="1841" w:type="dxa"/>
            <w:tcBorders>
              <w:top w:val="single" w:sz="4" w:space="0" w:color="BDD7EE"/>
              <w:left w:val="single" w:sz="4" w:space="0" w:color="BDD7EE"/>
              <w:bottom w:val="single" w:sz="4" w:space="0" w:color="BDD7EE"/>
              <w:right w:val="single" w:sz="4" w:space="0" w:color="BDD7EE"/>
            </w:tcBorders>
          </w:tcPr>
          <w:p w14:paraId="62C7F67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2C4679F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Operativni tim</w:t>
            </w:r>
          </w:p>
          <w:p w14:paraId="26C29B14"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464" w:type="dxa"/>
            <w:gridSpan w:val="2"/>
            <w:tcBorders>
              <w:top w:val="single" w:sz="4" w:space="0" w:color="BDD7EE"/>
              <w:left w:val="single" w:sz="4" w:space="0" w:color="BDD7EE"/>
              <w:bottom w:val="single" w:sz="4" w:space="0" w:color="BDD7EE"/>
              <w:right w:val="single" w:sz="4" w:space="0" w:color="BDD7EE"/>
            </w:tcBorders>
          </w:tcPr>
          <w:p w14:paraId="12C422A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374" w:type="dxa"/>
            <w:tcBorders>
              <w:top w:val="single" w:sz="4" w:space="0" w:color="BDD7EE"/>
              <w:left w:val="single" w:sz="4" w:space="0" w:color="BDD7EE"/>
              <w:bottom w:val="single" w:sz="4" w:space="0" w:color="BDD7EE"/>
              <w:right w:val="single" w:sz="4" w:space="0" w:color="BDD7EE"/>
            </w:tcBorders>
          </w:tcPr>
          <w:p w14:paraId="09718EE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6484C70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30.000 €</w:t>
            </w:r>
          </w:p>
        </w:tc>
        <w:tc>
          <w:tcPr>
            <w:tcW w:w="1564" w:type="dxa"/>
            <w:tcBorders>
              <w:top w:val="single" w:sz="4" w:space="0" w:color="BDD7EE"/>
              <w:left w:val="single" w:sz="4" w:space="0" w:color="BDD7EE"/>
              <w:bottom w:val="single" w:sz="4" w:space="0" w:color="BDD7EE"/>
              <w:right w:val="single" w:sz="4" w:space="0" w:color="BDD7EE"/>
            </w:tcBorders>
          </w:tcPr>
          <w:p w14:paraId="54D53D5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 (10.000,00)</w:t>
            </w:r>
          </w:p>
          <w:p w14:paraId="139E7FC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p w14:paraId="4299D5D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(20.000,00)</w:t>
            </w:r>
          </w:p>
        </w:tc>
      </w:tr>
      <w:tr w:rsidR="005B3072" w14:paraId="34643282" w14:textId="77777777">
        <w:tc>
          <w:tcPr>
            <w:tcW w:w="920" w:type="dxa"/>
            <w:tcBorders>
              <w:top w:val="single" w:sz="4" w:space="0" w:color="BDD7EE"/>
              <w:left w:val="single" w:sz="4" w:space="0" w:color="BDD7EE"/>
              <w:bottom w:val="single" w:sz="4" w:space="0" w:color="BDD7EE"/>
              <w:right w:val="single" w:sz="4" w:space="0" w:color="BDD7EE"/>
            </w:tcBorders>
          </w:tcPr>
          <w:p w14:paraId="656F7D3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3</w:t>
            </w:r>
          </w:p>
        </w:tc>
        <w:tc>
          <w:tcPr>
            <w:tcW w:w="2014" w:type="dxa"/>
            <w:tcBorders>
              <w:top w:val="single" w:sz="4" w:space="0" w:color="BDD7EE"/>
              <w:left w:val="single" w:sz="4" w:space="0" w:color="BDD7EE"/>
              <w:bottom w:val="single" w:sz="4" w:space="0" w:color="BDD7EE"/>
              <w:right w:val="single" w:sz="4" w:space="0" w:color="BDD7EE"/>
            </w:tcBorders>
            <w:vAlign w:val="center"/>
          </w:tcPr>
          <w:p w14:paraId="01243E2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Definisanje smjernica za izvještavanje o elektronskim uslugama javne administracije ka MJUDDM</w:t>
            </w:r>
          </w:p>
        </w:tc>
        <w:tc>
          <w:tcPr>
            <w:tcW w:w="2383" w:type="dxa"/>
            <w:tcBorders>
              <w:top w:val="single" w:sz="4" w:space="0" w:color="BDD7EE"/>
              <w:left w:val="single" w:sz="4" w:space="0" w:color="BDD7EE"/>
              <w:bottom w:val="single" w:sz="4" w:space="0" w:color="BDD7EE"/>
              <w:right w:val="single" w:sz="4" w:space="0" w:color="BDD7EE"/>
            </w:tcBorders>
          </w:tcPr>
          <w:p w14:paraId="6671A32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Definisane i usvojene smjernice</w:t>
            </w:r>
          </w:p>
        </w:tc>
        <w:tc>
          <w:tcPr>
            <w:tcW w:w="1841" w:type="dxa"/>
            <w:tcBorders>
              <w:top w:val="single" w:sz="4" w:space="0" w:color="BDD7EE"/>
              <w:left w:val="single" w:sz="4" w:space="0" w:color="BDD7EE"/>
              <w:bottom w:val="single" w:sz="4" w:space="0" w:color="BDD7EE"/>
              <w:right w:val="single" w:sz="4" w:space="0" w:color="BDD7EE"/>
            </w:tcBorders>
          </w:tcPr>
          <w:p w14:paraId="308CFD7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2BE48B8F"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464" w:type="dxa"/>
            <w:gridSpan w:val="2"/>
            <w:tcBorders>
              <w:top w:val="single" w:sz="4" w:space="0" w:color="BDD7EE"/>
              <w:left w:val="single" w:sz="4" w:space="0" w:color="BDD7EE"/>
              <w:bottom w:val="single" w:sz="4" w:space="0" w:color="BDD7EE"/>
              <w:right w:val="single" w:sz="4" w:space="0" w:color="BDD7EE"/>
            </w:tcBorders>
          </w:tcPr>
          <w:p w14:paraId="79CAB1C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2023</w:t>
            </w:r>
          </w:p>
          <w:p w14:paraId="7014294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74" w:type="dxa"/>
            <w:tcBorders>
              <w:top w:val="single" w:sz="4" w:space="0" w:color="BDD7EE"/>
              <w:left w:val="single" w:sz="4" w:space="0" w:color="BDD7EE"/>
              <w:bottom w:val="single" w:sz="4" w:space="0" w:color="BDD7EE"/>
              <w:right w:val="single" w:sz="4" w:space="0" w:color="BDD7EE"/>
            </w:tcBorders>
          </w:tcPr>
          <w:p w14:paraId="507FF23D"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577CF49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2.500 €</w:t>
            </w:r>
          </w:p>
        </w:tc>
        <w:tc>
          <w:tcPr>
            <w:tcW w:w="1564" w:type="dxa"/>
            <w:tcBorders>
              <w:top w:val="single" w:sz="4" w:space="0" w:color="BDD7EE"/>
              <w:left w:val="single" w:sz="4" w:space="0" w:color="BDD7EE"/>
              <w:bottom w:val="single" w:sz="4" w:space="0" w:color="BDD7EE"/>
              <w:right w:val="single" w:sz="4" w:space="0" w:color="BDD7EE"/>
            </w:tcBorders>
          </w:tcPr>
          <w:p w14:paraId="6FC003F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6A946700" w14:textId="77777777">
        <w:tc>
          <w:tcPr>
            <w:tcW w:w="920" w:type="dxa"/>
            <w:tcBorders>
              <w:top w:val="single" w:sz="4" w:space="0" w:color="BDD7EE"/>
              <w:left w:val="single" w:sz="4" w:space="0" w:color="BDD7EE"/>
              <w:bottom w:val="single" w:sz="4" w:space="0" w:color="BDD7EE"/>
              <w:right w:val="single" w:sz="4" w:space="0" w:color="BDD7EE"/>
            </w:tcBorders>
          </w:tcPr>
          <w:p w14:paraId="02F265B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4</w:t>
            </w:r>
          </w:p>
        </w:tc>
        <w:tc>
          <w:tcPr>
            <w:tcW w:w="2014" w:type="dxa"/>
            <w:tcBorders>
              <w:top w:val="single" w:sz="4" w:space="0" w:color="BDD7EE"/>
              <w:left w:val="single" w:sz="4" w:space="0" w:color="BDD7EE"/>
              <w:bottom w:val="single" w:sz="4" w:space="0" w:color="BDD7EE"/>
              <w:right w:val="single" w:sz="4" w:space="0" w:color="BDD7EE"/>
            </w:tcBorders>
            <w:vAlign w:val="center"/>
          </w:tcPr>
          <w:p w14:paraId="2835EC9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novih elektronskih servisa, visokog nivoa sofisticiranosti, za građane i privredu koji će se bazirati na elektronskoj razmjeni podataka i/ili mogućnošću elektronske naplate putem sistema za elektronsko plaćanje (NSNAT)</w:t>
            </w:r>
          </w:p>
        </w:tc>
        <w:tc>
          <w:tcPr>
            <w:tcW w:w="2383" w:type="dxa"/>
            <w:tcBorders>
              <w:top w:val="single" w:sz="4" w:space="0" w:color="BDD7EE"/>
              <w:left w:val="single" w:sz="4" w:space="0" w:color="BDD7EE"/>
              <w:bottom w:val="single" w:sz="4" w:space="0" w:color="BDD7EE"/>
              <w:right w:val="single" w:sz="4" w:space="0" w:color="BDD7EE"/>
            </w:tcBorders>
          </w:tcPr>
          <w:p w14:paraId="37C10F2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Broj elektronske usluge visokog nivoa sofisticiranosti </w:t>
            </w:r>
          </w:p>
        </w:tc>
        <w:tc>
          <w:tcPr>
            <w:tcW w:w="1841" w:type="dxa"/>
            <w:tcBorders>
              <w:top w:val="single" w:sz="4" w:space="0" w:color="BDD7EE"/>
              <w:left w:val="single" w:sz="4" w:space="0" w:color="BDD7EE"/>
              <w:bottom w:val="single" w:sz="4" w:space="0" w:color="BDD7EE"/>
              <w:right w:val="single" w:sz="4" w:space="0" w:color="BDD7EE"/>
            </w:tcBorders>
          </w:tcPr>
          <w:p w14:paraId="0470316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p w14:paraId="5F24002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UNDP</w:t>
            </w:r>
          </w:p>
        </w:tc>
        <w:tc>
          <w:tcPr>
            <w:tcW w:w="1464" w:type="dxa"/>
            <w:gridSpan w:val="2"/>
            <w:tcBorders>
              <w:top w:val="single" w:sz="4" w:space="0" w:color="BDD7EE"/>
              <w:left w:val="single" w:sz="4" w:space="0" w:color="BDD7EE"/>
              <w:bottom w:val="single" w:sz="4" w:space="0" w:color="BDD7EE"/>
              <w:right w:val="single" w:sz="4" w:space="0" w:color="BDD7EE"/>
            </w:tcBorders>
          </w:tcPr>
          <w:p w14:paraId="0326B9C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74" w:type="dxa"/>
            <w:tcBorders>
              <w:top w:val="single" w:sz="4" w:space="0" w:color="BDD7EE"/>
              <w:left w:val="single" w:sz="4" w:space="0" w:color="BDD7EE"/>
              <w:bottom w:val="single" w:sz="4" w:space="0" w:color="BDD7EE"/>
              <w:right w:val="single" w:sz="4" w:space="0" w:color="BDD7EE"/>
            </w:tcBorders>
          </w:tcPr>
          <w:p w14:paraId="7FB2BAF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06BACF1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280.000 €</w:t>
            </w:r>
          </w:p>
        </w:tc>
        <w:tc>
          <w:tcPr>
            <w:tcW w:w="1564" w:type="dxa"/>
            <w:tcBorders>
              <w:top w:val="single" w:sz="4" w:space="0" w:color="BDD7EE"/>
              <w:left w:val="single" w:sz="4" w:space="0" w:color="BDD7EE"/>
              <w:bottom w:val="single" w:sz="4" w:space="0" w:color="BDD7EE"/>
              <w:right w:val="single" w:sz="4" w:space="0" w:color="BDD7EE"/>
            </w:tcBorders>
          </w:tcPr>
          <w:p w14:paraId="47A6F1B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tc>
      </w:tr>
      <w:tr w:rsidR="005B3072" w14:paraId="51D9505F" w14:textId="77777777">
        <w:tc>
          <w:tcPr>
            <w:tcW w:w="920" w:type="dxa"/>
            <w:tcBorders>
              <w:top w:val="single" w:sz="4" w:space="0" w:color="BDD7EE"/>
              <w:left w:val="single" w:sz="4" w:space="0" w:color="BDD7EE"/>
              <w:bottom w:val="single" w:sz="4" w:space="0" w:color="BDD7EE"/>
              <w:right w:val="single" w:sz="4" w:space="0" w:color="BDD7EE"/>
            </w:tcBorders>
          </w:tcPr>
          <w:p w14:paraId="5A40638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5</w:t>
            </w:r>
          </w:p>
        </w:tc>
        <w:tc>
          <w:tcPr>
            <w:tcW w:w="2014" w:type="dxa"/>
            <w:tcBorders>
              <w:top w:val="single" w:sz="4" w:space="0" w:color="BDD7EE"/>
              <w:left w:val="single" w:sz="4" w:space="0" w:color="BDD7EE"/>
              <w:bottom w:val="single" w:sz="4" w:space="0" w:color="BDD7EE"/>
              <w:right w:val="single" w:sz="4" w:space="0" w:color="BDD7EE"/>
            </w:tcBorders>
            <w:vAlign w:val="center"/>
          </w:tcPr>
          <w:p w14:paraId="733848C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servisa za prijavu rođenja i smrti kojom bi zdravstvene ustanove elektronskim putem podnosile zahtjeve MUP-u</w:t>
            </w:r>
          </w:p>
        </w:tc>
        <w:tc>
          <w:tcPr>
            <w:tcW w:w="2383" w:type="dxa"/>
            <w:tcBorders>
              <w:top w:val="single" w:sz="4" w:space="0" w:color="BDD7EE"/>
              <w:left w:val="single" w:sz="4" w:space="0" w:color="BDD7EE"/>
              <w:bottom w:val="single" w:sz="4" w:space="0" w:color="BDD7EE"/>
              <w:right w:val="single" w:sz="4" w:space="0" w:color="BDD7EE"/>
            </w:tcBorders>
          </w:tcPr>
          <w:p w14:paraId="514BEBD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Razvijen servis</w:t>
            </w:r>
          </w:p>
        </w:tc>
        <w:tc>
          <w:tcPr>
            <w:tcW w:w="1841" w:type="dxa"/>
            <w:tcBorders>
              <w:top w:val="single" w:sz="4" w:space="0" w:color="BDD7EE"/>
              <w:left w:val="single" w:sz="4" w:space="0" w:color="BDD7EE"/>
              <w:bottom w:val="single" w:sz="4" w:space="0" w:color="BDD7EE"/>
              <w:right w:val="single" w:sz="4" w:space="0" w:color="BDD7EE"/>
            </w:tcBorders>
          </w:tcPr>
          <w:p w14:paraId="68A3FF0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p w14:paraId="767AD06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MZD</w:t>
            </w:r>
          </w:p>
          <w:p w14:paraId="6099259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UNDP</w:t>
            </w:r>
          </w:p>
          <w:p w14:paraId="6E4380D8"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464" w:type="dxa"/>
            <w:gridSpan w:val="2"/>
            <w:tcBorders>
              <w:top w:val="single" w:sz="4" w:space="0" w:color="BDD7EE"/>
              <w:left w:val="single" w:sz="4" w:space="0" w:color="BDD7EE"/>
              <w:bottom w:val="single" w:sz="4" w:space="0" w:color="BDD7EE"/>
              <w:right w:val="single" w:sz="4" w:space="0" w:color="BDD7EE"/>
            </w:tcBorders>
          </w:tcPr>
          <w:p w14:paraId="2EB2D5C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p w14:paraId="1DBF2D8C"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74" w:type="dxa"/>
            <w:tcBorders>
              <w:top w:val="single" w:sz="4" w:space="0" w:color="BDD7EE"/>
              <w:left w:val="single" w:sz="4" w:space="0" w:color="BDD7EE"/>
              <w:bottom w:val="single" w:sz="4" w:space="0" w:color="BDD7EE"/>
              <w:right w:val="single" w:sz="4" w:space="0" w:color="BDD7EE"/>
            </w:tcBorders>
          </w:tcPr>
          <w:p w14:paraId="4A4324E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0CECACD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20.000 €</w:t>
            </w:r>
          </w:p>
        </w:tc>
        <w:tc>
          <w:tcPr>
            <w:tcW w:w="1564" w:type="dxa"/>
            <w:tcBorders>
              <w:top w:val="single" w:sz="4" w:space="0" w:color="BDD7EE"/>
              <w:left w:val="single" w:sz="4" w:space="0" w:color="BDD7EE"/>
              <w:bottom w:val="single" w:sz="4" w:space="0" w:color="BDD7EE"/>
              <w:right w:val="single" w:sz="4" w:space="0" w:color="BDD7EE"/>
            </w:tcBorders>
          </w:tcPr>
          <w:p w14:paraId="6EAF303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tc>
      </w:tr>
      <w:tr w:rsidR="005B3072" w14:paraId="114D868C" w14:textId="77777777">
        <w:tc>
          <w:tcPr>
            <w:tcW w:w="2934" w:type="dxa"/>
            <w:gridSpan w:val="2"/>
            <w:tcBorders>
              <w:top w:val="single" w:sz="4" w:space="0" w:color="000000"/>
              <w:bottom w:val="single" w:sz="4" w:space="0" w:color="BDD7EE"/>
            </w:tcBorders>
            <w:shd w:val="clear" w:color="auto" w:fill="B4C6E7"/>
          </w:tcPr>
          <w:p w14:paraId="18ED34BD" w14:textId="77777777" w:rsidR="005B3072" w:rsidRDefault="00A46913">
            <w:pPr>
              <w:spacing w:after="40"/>
              <w:rPr>
                <w:rFonts w:ascii="Sitka Text" w:eastAsia="Sitka Text" w:hAnsi="Sitka Text" w:cs="Sitka Text"/>
                <w:b/>
                <w:color w:val="1F4E79"/>
                <w:sz w:val="24"/>
                <w:szCs w:val="24"/>
              </w:rPr>
            </w:pPr>
            <w:bookmarkStart w:id="76" w:name="_3hv69ve" w:colFirst="0" w:colLast="0"/>
            <w:bookmarkEnd w:id="76"/>
            <w:r>
              <w:rPr>
                <w:rFonts w:ascii="Sitka Text" w:eastAsia="Sitka Text" w:hAnsi="Sitka Text" w:cs="Sitka Text"/>
                <w:b/>
                <w:color w:val="1F4E79"/>
                <w:sz w:val="24"/>
                <w:szCs w:val="24"/>
              </w:rPr>
              <w:t>OBLAST</w:t>
            </w:r>
          </w:p>
        </w:tc>
        <w:tc>
          <w:tcPr>
            <w:tcW w:w="10180" w:type="dxa"/>
            <w:gridSpan w:val="8"/>
            <w:tcBorders>
              <w:top w:val="single" w:sz="4" w:space="0" w:color="000000"/>
              <w:bottom w:val="single" w:sz="4" w:space="0" w:color="BDD7EE"/>
            </w:tcBorders>
            <w:shd w:val="clear" w:color="auto" w:fill="B4C6E7"/>
          </w:tcPr>
          <w:p w14:paraId="5F0D0389"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Primjena eID-a i elektronskih usluga od povjerenja u cilju daljeg razvoja i masovnog korišćenja e-usluga</w:t>
            </w:r>
          </w:p>
        </w:tc>
      </w:tr>
      <w:tr w:rsidR="005B3072" w14:paraId="334514CD" w14:textId="77777777">
        <w:tc>
          <w:tcPr>
            <w:tcW w:w="293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662F724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383"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45405B06"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841"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50F0BC5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46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3E7704B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74"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76FBCA05"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54" w:type="dxa"/>
            <w:gridSpan w:val="2"/>
            <w:tcBorders>
              <w:top w:val="single" w:sz="4" w:space="0" w:color="BDD7EE"/>
              <w:left w:val="single" w:sz="4" w:space="0" w:color="BDD7EE"/>
              <w:bottom w:val="single" w:sz="4" w:space="0" w:color="BDD7EE"/>
              <w:right w:val="single" w:sz="4" w:space="0" w:color="BDD7EE"/>
            </w:tcBorders>
            <w:shd w:val="clear" w:color="auto" w:fill="F7CBAC"/>
            <w:vAlign w:val="center"/>
          </w:tcPr>
          <w:p w14:paraId="34822C36"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564" w:type="dxa"/>
            <w:tcBorders>
              <w:top w:val="single" w:sz="4" w:space="0" w:color="BDD7EE"/>
              <w:left w:val="single" w:sz="4" w:space="0" w:color="BDD7EE"/>
              <w:bottom w:val="single" w:sz="4" w:space="0" w:color="BDD7EE"/>
              <w:right w:val="single" w:sz="4" w:space="0" w:color="BDD7EE"/>
            </w:tcBorders>
            <w:shd w:val="clear" w:color="auto" w:fill="F7CBAC"/>
            <w:vAlign w:val="center"/>
          </w:tcPr>
          <w:p w14:paraId="00E6D9F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3D5751D5" w14:textId="77777777">
        <w:tc>
          <w:tcPr>
            <w:tcW w:w="920" w:type="dxa"/>
            <w:tcBorders>
              <w:top w:val="single" w:sz="4" w:space="0" w:color="BDD7EE"/>
              <w:left w:val="single" w:sz="4" w:space="0" w:color="BDD7EE"/>
              <w:bottom w:val="single" w:sz="4" w:space="0" w:color="BDD7EE"/>
              <w:right w:val="single" w:sz="4" w:space="0" w:color="BDD7EE"/>
            </w:tcBorders>
          </w:tcPr>
          <w:p w14:paraId="7C3BD32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6</w:t>
            </w:r>
          </w:p>
        </w:tc>
        <w:tc>
          <w:tcPr>
            <w:tcW w:w="2014" w:type="dxa"/>
            <w:tcBorders>
              <w:top w:val="single" w:sz="4" w:space="0" w:color="BDD7EE"/>
              <w:left w:val="single" w:sz="4" w:space="0" w:color="BDD7EE"/>
              <w:bottom w:val="single" w:sz="4" w:space="0" w:color="BDD7EE"/>
              <w:right w:val="single" w:sz="4" w:space="0" w:color="BDD7EE"/>
            </w:tcBorders>
            <w:vAlign w:val="center"/>
          </w:tcPr>
          <w:p w14:paraId="1E20DDA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sistema za elektronsku identifikaciju i autentifikaciju NS eID (uspostavljanje Single Sign on mjesta)</w:t>
            </w:r>
            <w:r>
              <w:rPr>
                <w:rFonts w:ascii="Sitka Text" w:eastAsia="Sitka Text" w:hAnsi="Sitka Text" w:cs="Sitka Text"/>
                <w:color w:val="1F4E79"/>
                <w:vertAlign w:val="superscript"/>
              </w:rPr>
              <w:footnoteReference w:id="80"/>
            </w:r>
          </w:p>
        </w:tc>
        <w:tc>
          <w:tcPr>
            <w:tcW w:w="2383" w:type="dxa"/>
            <w:tcBorders>
              <w:top w:val="single" w:sz="4" w:space="0" w:color="BDD7EE"/>
              <w:left w:val="single" w:sz="4" w:space="0" w:color="BDD7EE"/>
              <w:bottom w:val="single" w:sz="4" w:space="0" w:color="BDD7EE"/>
              <w:right w:val="single" w:sz="4" w:space="0" w:color="BDD7EE"/>
            </w:tcBorders>
          </w:tcPr>
          <w:p w14:paraId="6DE4BE7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Uspostavljen sistem NSeID</w:t>
            </w:r>
          </w:p>
        </w:tc>
        <w:tc>
          <w:tcPr>
            <w:tcW w:w="1841" w:type="dxa"/>
            <w:tcBorders>
              <w:top w:val="single" w:sz="4" w:space="0" w:color="BDD7EE"/>
              <w:left w:val="single" w:sz="4" w:space="0" w:color="BDD7EE"/>
              <w:bottom w:val="single" w:sz="4" w:space="0" w:color="BDD7EE"/>
              <w:right w:val="single" w:sz="4" w:space="0" w:color="BDD7EE"/>
            </w:tcBorders>
          </w:tcPr>
          <w:p w14:paraId="7B6BB0C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MJUDDM</w:t>
            </w:r>
          </w:p>
        </w:tc>
        <w:tc>
          <w:tcPr>
            <w:tcW w:w="1464" w:type="dxa"/>
            <w:gridSpan w:val="2"/>
            <w:tcBorders>
              <w:top w:val="single" w:sz="4" w:space="0" w:color="BDD7EE"/>
              <w:left w:val="single" w:sz="4" w:space="0" w:color="BDD7EE"/>
              <w:bottom w:val="single" w:sz="4" w:space="0" w:color="BDD7EE"/>
              <w:right w:val="single" w:sz="4" w:space="0" w:color="BDD7EE"/>
            </w:tcBorders>
          </w:tcPr>
          <w:p w14:paraId="6D6A6CBB"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74" w:type="dxa"/>
            <w:tcBorders>
              <w:top w:val="single" w:sz="4" w:space="0" w:color="BDD7EE"/>
              <w:left w:val="single" w:sz="4" w:space="0" w:color="BDD7EE"/>
              <w:bottom w:val="single" w:sz="4" w:space="0" w:color="BDD7EE"/>
              <w:right w:val="single" w:sz="4" w:space="0" w:color="BDD7EE"/>
            </w:tcBorders>
          </w:tcPr>
          <w:p w14:paraId="26DA2E0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554" w:type="dxa"/>
            <w:gridSpan w:val="2"/>
            <w:tcBorders>
              <w:top w:val="single" w:sz="4" w:space="0" w:color="BDD7EE"/>
              <w:left w:val="single" w:sz="4" w:space="0" w:color="BDD7EE"/>
              <w:bottom w:val="single" w:sz="4" w:space="0" w:color="BDD7EE"/>
              <w:right w:val="single" w:sz="4" w:space="0" w:color="BDD7EE"/>
            </w:tcBorders>
          </w:tcPr>
          <w:p w14:paraId="1B25AD2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564" w:type="dxa"/>
            <w:tcBorders>
              <w:top w:val="single" w:sz="4" w:space="0" w:color="BDD7EE"/>
              <w:left w:val="single" w:sz="4" w:space="0" w:color="BDD7EE"/>
              <w:bottom w:val="single" w:sz="4" w:space="0" w:color="BDD7EE"/>
              <w:right w:val="single" w:sz="4" w:space="0" w:color="BDD7EE"/>
            </w:tcBorders>
          </w:tcPr>
          <w:p w14:paraId="0F6F5688"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r w:rsidR="005B3072" w14:paraId="1A15F5F2" w14:textId="77777777">
        <w:tc>
          <w:tcPr>
            <w:tcW w:w="920" w:type="dxa"/>
            <w:tcBorders>
              <w:top w:val="single" w:sz="4" w:space="0" w:color="BDD7EE"/>
              <w:left w:val="single" w:sz="4" w:space="0" w:color="BDD7EE"/>
              <w:bottom w:val="single" w:sz="4" w:space="0" w:color="BDD7EE"/>
              <w:right w:val="single" w:sz="4" w:space="0" w:color="BDD7EE"/>
            </w:tcBorders>
          </w:tcPr>
          <w:p w14:paraId="59EB3B9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7</w:t>
            </w:r>
          </w:p>
        </w:tc>
        <w:tc>
          <w:tcPr>
            <w:tcW w:w="2014" w:type="dxa"/>
            <w:tcBorders>
              <w:top w:val="single" w:sz="4" w:space="0" w:color="BDD7EE"/>
              <w:left w:val="single" w:sz="4" w:space="0" w:color="BDD7EE"/>
              <w:bottom w:val="single" w:sz="4" w:space="0" w:color="BDD7EE"/>
              <w:right w:val="single" w:sz="4" w:space="0" w:color="BDD7EE"/>
            </w:tcBorders>
            <w:vAlign w:val="center"/>
          </w:tcPr>
          <w:p w14:paraId="3059AFD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Razvijanje novih servisa (servis za podnošenje zahtjeva za LK, pasoš, vozačku...) uz postupak identifikacije sa sertifikatima izdatim na ličnoj karti</w:t>
            </w:r>
          </w:p>
        </w:tc>
        <w:tc>
          <w:tcPr>
            <w:tcW w:w="2383" w:type="dxa"/>
            <w:tcBorders>
              <w:top w:val="single" w:sz="4" w:space="0" w:color="BDD7EE"/>
              <w:left w:val="single" w:sz="4" w:space="0" w:color="BDD7EE"/>
              <w:bottom w:val="single" w:sz="4" w:space="0" w:color="BDD7EE"/>
              <w:right w:val="single" w:sz="4" w:space="0" w:color="BDD7EE"/>
            </w:tcBorders>
          </w:tcPr>
          <w:p w14:paraId="7BBC072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uspostavljenih servisa uz postupak elektronske identifikacije</w:t>
            </w:r>
          </w:p>
        </w:tc>
        <w:tc>
          <w:tcPr>
            <w:tcW w:w="1841" w:type="dxa"/>
            <w:tcBorders>
              <w:top w:val="single" w:sz="4" w:space="0" w:color="BDD7EE"/>
              <w:left w:val="single" w:sz="4" w:space="0" w:color="BDD7EE"/>
              <w:bottom w:val="single" w:sz="4" w:space="0" w:color="BDD7EE"/>
              <w:right w:val="single" w:sz="4" w:space="0" w:color="BDD7EE"/>
            </w:tcBorders>
          </w:tcPr>
          <w:p w14:paraId="776C200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tc>
        <w:tc>
          <w:tcPr>
            <w:tcW w:w="1464" w:type="dxa"/>
            <w:gridSpan w:val="2"/>
            <w:tcBorders>
              <w:top w:val="single" w:sz="4" w:space="0" w:color="BDD7EE"/>
              <w:left w:val="single" w:sz="4" w:space="0" w:color="BDD7EE"/>
              <w:bottom w:val="single" w:sz="4" w:space="0" w:color="BDD7EE"/>
              <w:right w:val="single" w:sz="4" w:space="0" w:color="BDD7EE"/>
            </w:tcBorders>
          </w:tcPr>
          <w:p w14:paraId="0A15FF9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374" w:type="dxa"/>
            <w:tcBorders>
              <w:top w:val="single" w:sz="4" w:space="0" w:color="BDD7EE"/>
              <w:left w:val="single" w:sz="4" w:space="0" w:color="BDD7EE"/>
              <w:bottom w:val="single" w:sz="4" w:space="0" w:color="BDD7EE"/>
              <w:right w:val="single" w:sz="4" w:space="0" w:color="BDD7EE"/>
            </w:tcBorders>
          </w:tcPr>
          <w:p w14:paraId="08FC1E1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4B1B8CC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15.000 €</w:t>
            </w:r>
          </w:p>
        </w:tc>
        <w:tc>
          <w:tcPr>
            <w:tcW w:w="1564" w:type="dxa"/>
            <w:tcBorders>
              <w:top w:val="single" w:sz="4" w:space="0" w:color="BDD7EE"/>
              <w:left w:val="single" w:sz="4" w:space="0" w:color="BDD7EE"/>
              <w:bottom w:val="single" w:sz="4" w:space="0" w:color="BDD7EE"/>
              <w:right w:val="single" w:sz="4" w:space="0" w:color="BDD7EE"/>
            </w:tcBorders>
          </w:tcPr>
          <w:p w14:paraId="7AF4BD7A"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Donacija DEU</w:t>
            </w:r>
          </w:p>
        </w:tc>
      </w:tr>
      <w:tr w:rsidR="005B3072" w14:paraId="0F1E7D74" w14:textId="77777777">
        <w:tc>
          <w:tcPr>
            <w:tcW w:w="920" w:type="dxa"/>
            <w:tcBorders>
              <w:top w:val="single" w:sz="4" w:space="0" w:color="BDD7EE"/>
              <w:left w:val="single" w:sz="4" w:space="0" w:color="BDD7EE"/>
              <w:bottom w:val="single" w:sz="4" w:space="0" w:color="BDD7EE"/>
              <w:right w:val="single" w:sz="4" w:space="0" w:color="BDD7EE"/>
            </w:tcBorders>
          </w:tcPr>
          <w:p w14:paraId="57890BD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8</w:t>
            </w:r>
          </w:p>
        </w:tc>
        <w:tc>
          <w:tcPr>
            <w:tcW w:w="2014" w:type="dxa"/>
            <w:tcBorders>
              <w:top w:val="single" w:sz="4" w:space="0" w:color="BDD7EE"/>
              <w:left w:val="single" w:sz="4" w:space="0" w:color="BDD7EE"/>
              <w:bottom w:val="single" w:sz="4" w:space="0" w:color="BDD7EE"/>
              <w:right w:val="single" w:sz="4" w:space="0" w:color="BDD7EE"/>
            </w:tcBorders>
            <w:vAlign w:val="center"/>
          </w:tcPr>
          <w:p w14:paraId="3F99446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Obezbjeđivanje čitača za nove lične karte besplatne ili po povlašćenim cijenama</w:t>
            </w:r>
          </w:p>
        </w:tc>
        <w:tc>
          <w:tcPr>
            <w:tcW w:w="2383" w:type="dxa"/>
            <w:tcBorders>
              <w:top w:val="single" w:sz="4" w:space="0" w:color="BDD7EE"/>
              <w:left w:val="single" w:sz="4" w:space="0" w:color="BDD7EE"/>
              <w:bottom w:val="single" w:sz="4" w:space="0" w:color="BDD7EE"/>
              <w:right w:val="single" w:sz="4" w:space="0" w:color="BDD7EE"/>
            </w:tcBorders>
          </w:tcPr>
          <w:p w14:paraId="75E0F2F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obezbijeđenih besplatnih čitača za građane</w:t>
            </w:r>
          </w:p>
        </w:tc>
        <w:tc>
          <w:tcPr>
            <w:tcW w:w="1841" w:type="dxa"/>
            <w:tcBorders>
              <w:top w:val="single" w:sz="4" w:space="0" w:color="BDD7EE"/>
              <w:left w:val="single" w:sz="4" w:space="0" w:color="BDD7EE"/>
              <w:bottom w:val="single" w:sz="4" w:space="0" w:color="BDD7EE"/>
              <w:right w:val="single" w:sz="4" w:space="0" w:color="BDD7EE"/>
            </w:tcBorders>
          </w:tcPr>
          <w:p w14:paraId="51D5AA4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MJUDDM</w:t>
            </w:r>
          </w:p>
          <w:p w14:paraId="0CF21048"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MUP</w:t>
            </w:r>
          </w:p>
          <w:p w14:paraId="3D674D4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UNDP</w:t>
            </w:r>
          </w:p>
        </w:tc>
        <w:tc>
          <w:tcPr>
            <w:tcW w:w="1464" w:type="dxa"/>
            <w:gridSpan w:val="2"/>
            <w:tcBorders>
              <w:top w:val="single" w:sz="4" w:space="0" w:color="BDD7EE"/>
              <w:left w:val="single" w:sz="4" w:space="0" w:color="BDD7EE"/>
              <w:bottom w:val="single" w:sz="4" w:space="0" w:color="BDD7EE"/>
              <w:right w:val="single" w:sz="4" w:space="0" w:color="BDD7EE"/>
            </w:tcBorders>
          </w:tcPr>
          <w:p w14:paraId="3F0BB22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74" w:type="dxa"/>
            <w:tcBorders>
              <w:top w:val="single" w:sz="4" w:space="0" w:color="BDD7EE"/>
              <w:left w:val="single" w:sz="4" w:space="0" w:color="BDD7EE"/>
              <w:bottom w:val="single" w:sz="4" w:space="0" w:color="BDD7EE"/>
              <w:right w:val="single" w:sz="4" w:space="0" w:color="BDD7EE"/>
            </w:tcBorders>
          </w:tcPr>
          <w:p w14:paraId="3EBF099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41E0BEC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5.000 €</w:t>
            </w:r>
          </w:p>
        </w:tc>
        <w:tc>
          <w:tcPr>
            <w:tcW w:w="1564" w:type="dxa"/>
            <w:tcBorders>
              <w:top w:val="single" w:sz="4" w:space="0" w:color="BDD7EE"/>
              <w:left w:val="single" w:sz="4" w:space="0" w:color="BDD7EE"/>
              <w:bottom w:val="single" w:sz="4" w:space="0" w:color="BDD7EE"/>
              <w:right w:val="single" w:sz="4" w:space="0" w:color="BDD7EE"/>
            </w:tcBorders>
          </w:tcPr>
          <w:p w14:paraId="6602A91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Donacija DEU </w:t>
            </w:r>
          </w:p>
        </w:tc>
      </w:tr>
      <w:tr w:rsidR="005B3072" w14:paraId="1F793517" w14:textId="77777777">
        <w:tc>
          <w:tcPr>
            <w:tcW w:w="920" w:type="dxa"/>
            <w:tcBorders>
              <w:top w:val="single" w:sz="4" w:space="0" w:color="BDD7EE"/>
              <w:left w:val="single" w:sz="4" w:space="0" w:color="BDD7EE"/>
              <w:bottom w:val="single" w:sz="4" w:space="0" w:color="BDD7EE"/>
              <w:right w:val="single" w:sz="4" w:space="0" w:color="BDD7EE"/>
            </w:tcBorders>
          </w:tcPr>
          <w:p w14:paraId="1FBF7C4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2.2.</w:t>
            </w:r>
            <w:r w:rsidR="00395A0B">
              <w:rPr>
                <w:rFonts w:ascii="Sitka Text" w:eastAsia="Sitka Text" w:hAnsi="Sitka Text" w:cs="Sitka Text"/>
                <w:color w:val="1F4E79"/>
              </w:rPr>
              <w:t>9</w:t>
            </w:r>
          </w:p>
        </w:tc>
        <w:tc>
          <w:tcPr>
            <w:tcW w:w="2014" w:type="dxa"/>
            <w:tcBorders>
              <w:top w:val="single" w:sz="4" w:space="0" w:color="BDD7EE"/>
              <w:left w:val="single" w:sz="4" w:space="0" w:color="BDD7EE"/>
              <w:bottom w:val="single" w:sz="4" w:space="0" w:color="BDD7EE"/>
              <w:right w:val="single" w:sz="4" w:space="0" w:color="BDD7EE"/>
            </w:tcBorders>
            <w:vAlign w:val="center"/>
          </w:tcPr>
          <w:p w14:paraId="1010291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Uspostavljanje elektronskih servisa za uvid u lične podatke iz registara, kao i provjera korisnika koja institucija je koristila njihove lične podatke</w:t>
            </w:r>
          </w:p>
        </w:tc>
        <w:tc>
          <w:tcPr>
            <w:tcW w:w="2383" w:type="dxa"/>
            <w:tcBorders>
              <w:top w:val="single" w:sz="4" w:space="0" w:color="BDD7EE"/>
              <w:left w:val="single" w:sz="4" w:space="0" w:color="BDD7EE"/>
              <w:bottom w:val="single" w:sz="4" w:space="0" w:color="BDD7EE"/>
              <w:right w:val="single" w:sz="4" w:space="0" w:color="BDD7EE"/>
            </w:tcBorders>
          </w:tcPr>
          <w:p w14:paraId="5704CA5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Uspostavljen servis za uvid u lične podatke</w:t>
            </w:r>
          </w:p>
        </w:tc>
        <w:tc>
          <w:tcPr>
            <w:tcW w:w="1841" w:type="dxa"/>
            <w:tcBorders>
              <w:top w:val="single" w:sz="4" w:space="0" w:color="BDD7EE"/>
              <w:left w:val="single" w:sz="4" w:space="0" w:color="BDD7EE"/>
              <w:bottom w:val="single" w:sz="4" w:space="0" w:color="BDD7EE"/>
              <w:right w:val="single" w:sz="4" w:space="0" w:color="BDD7EE"/>
            </w:tcBorders>
          </w:tcPr>
          <w:p w14:paraId="6DD26E66"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p w14:paraId="3CE22B40"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464" w:type="dxa"/>
            <w:gridSpan w:val="2"/>
            <w:tcBorders>
              <w:top w:val="single" w:sz="4" w:space="0" w:color="BDD7EE"/>
              <w:left w:val="single" w:sz="4" w:space="0" w:color="BDD7EE"/>
              <w:bottom w:val="single" w:sz="4" w:space="0" w:color="BDD7EE"/>
              <w:right w:val="single" w:sz="4" w:space="0" w:color="BDD7EE"/>
            </w:tcBorders>
          </w:tcPr>
          <w:p w14:paraId="4BA21B2E"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74" w:type="dxa"/>
            <w:tcBorders>
              <w:top w:val="single" w:sz="4" w:space="0" w:color="BDD7EE"/>
              <w:left w:val="single" w:sz="4" w:space="0" w:color="BDD7EE"/>
              <w:bottom w:val="single" w:sz="4" w:space="0" w:color="BDD7EE"/>
              <w:right w:val="single" w:sz="4" w:space="0" w:color="BDD7EE"/>
            </w:tcBorders>
          </w:tcPr>
          <w:p w14:paraId="24F980E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54" w:type="dxa"/>
            <w:gridSpan w:val="2"/>
            <w:tcBorders>
              <w:top w:val="single" w:sz="4" w:space="0" w:color="BDD7EE"/>
              <w:left w:val="single" w:sz="4" w:space="0" w:color="BDD7EE"/>
              <w:bottom w:val="single" w:sz="4" w:space="0" w:color="BDD7EE"/>
              <w:right w:val="single" w:sz="4" w:space="0" w:color="BDD7EE"/>
            </w:tcBorders>
          </w:tcPr>
          <w:p w14:paraId="12D261C1"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5.000 €</w:t>
            </w:r>
          </w:p>
        </w:tc>
        <w:tc>
          <w:tcPr>
            <w:tcW w:w="1564" w:type="dxa"/>
            <w:tcBorders>
              <w:top w:val="single" w:sz="4" w:space="0" w:color="BDD7EE"/>
              <w:left w:val="single" w:sz="4" w:space="0" w:color="BDD7EE"/>
              <w:bottom w:val="single" w:sz="4" w:space="0" w:color="BDD7EE"/>
              <w:right w:val="single" w:sz="4" w:space="0" w:color="BDD7EE"/>
            </w:tcBorders>
          </w:tcPr>
          <w:p w14:paraId="2BFCE20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Donatorska sredstva</w:t>
            </w:r>
          </w:p>
        </w:tc>
      </w:tr>
    </w:tbl>
    <w:p w14:paraId="07F66C74" w14:textId="77777777" w:rsidR="005B3072" w:rsidRDefault="005B3072">
      <w:pPr>
        <w:spacing w:before="20" w:after="20" w:line="240" w:lineRule="auto"/>
        <w:rPr>
          <w:rFonts w:ascii="Sitka Text" w:eastAsia="Sitka Text" w:hAnsi="Sitka Text" w:cs="Sitka Text"/>
          <w:color w:val="385623"/>
          <w:sz w:val="24"/>
          <w:szCs w:val="24"/>
        </w:rPr>
      </w:pPr>
    </w:p>
    <w:p w14:paraId="13AB615B" w14:textId="77777777" w:rsidR="005B3072" w:rsidRDefault="005B3072">
      <w:pPr>
        <w:spacing w:before="20" w:after="20" w:line="240" w:lineRule="auto"/>
        <w:rPr>
          <w:rFonts w:ascii="Sitka Text" w:eastAsia="Sitka Text" w:hAnsi="Sitka Text" w:cs="Sitka Text"/>
          <w:color w:val="385623"/>
          <w:sz w:val="24"/>
          <w:szCs w:val="24"/>
        </w:rPr>
      </w:pPr>
      <w:bookmarkStart w:id="77" w:name="_1x0gk37" w:colFirst="0" w:colLast="0"/>
      <w:bookmarkEnd w:id="77"/>
    </w:p>
    <w:tbl>
      <w:tblPr>
        <w:tblStyle w:val="af4"/>
        <w:tblW w:w="13114" w:type="dxa"/>
        <w:tblBorders>
          <w:top w:val="single" w:sz="4" w:space="0" w:color="FFFFFF"/>
          <w:left w:val="single" w:sz="4" w:space="0" w:color="FFFFFF"/>
          <w:bottom w:val="single" w:sz="4" w:space="0" w:color="FFFFFF"/>
          <w:right w:val="single" w:sz="4" w:space="0" w:color="FFFFFF"/>
          <w:insideH w:val="single" w:sz="4" w:space="0" w:color="D9D9D9"/>
          <w:insideV w:val="single" w:sz="4" w:space="0" w:color="FFFFFF"/>
        </w:tblBorders>
        <w:tblLayout w:type="fixed"/>
        <w:tblLook w:val="0400" w:firstRow="0" w:lastRow="0" w:firstColumn="0" w:lastColumn="0" w:noHBand="0" w:noVBand="1"/>
      </w:tblPr>
      <w:tblGrid>
        <w:gridCol w:w="968"/>
        <w:gridCol w:w="2207"/>
        <w:gridCol w:w="2267"/>
        <w:gridCol w:w="104"/>
        <w:gridCol w:w="1505"/>
        <w:gridCol w:w="947"/>
        <w:gridCol w:w="414"/>
        <w:gridCol w:w="1355"/>
        <w:gridCol w:w="112"/>
        <w:gridCol w:w="1475"/>
        <w:gridCol w:w="1760"/>
      </w:tblGrid>
      <w:tr w:rsidR="005B3072" w14:paraId="5E2D6EB4" w14:textId="77777777">
        <w:trPr>
          <w:trHeight w:val="881"/>
        </w:trPr>
        <w:tc>
          <w:tcPr>
            <w:tcW w:w="3175" w:type="dxa"/>
            <w:gridSpan w:val="2"/>
            <w:shd w:val="clear" w:color="auto" w:fill="1F4E79"/>
            <w:tcMar>
              <w:left w:w="170" w:type="dxa"/>
            </w:tcMar>
            <w:vAlign w:val="center"/>
          </w:tcPr>
          <w:p w14:paraId="30C290EA"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OPERATIVNI CILJ 2.3</w:t>
            </w:r>
          </w:p>
        </w:tc>
        <w:tc>
          <w:tcPr>
            <w:tcW w:w="9939" w:type="dxa"/>
            <w:gridSpan w:val="9"/>
            <w:shd w:val="clear" w:color="auto" w:fill="1F4E79"/>
            <w:tcMar>
              <w:left w:w="170" w:type="dxa"/>
            </w:tcMar>
            <w:vAlign w:val="center"/>
          </w:tcPr>
          <w:p w14:paraId="333E24F8" w14:textId="77777777" w:rsidR="005B3072" w:rsidRDefault="005B3072">
            <w:pPr>
              <w:spacing w:after="40"/>
              <w:rPr>
                <w:rFonts w:ascii="Sitka Text" w:eastAsia="Sitka Text" w:hAnsi="Sitka Text" w:cs="Sitka Text"/>
                <w:b/>
                <w:color w:val="FFFFFF"/>
                <w:sz w:val="24"/>
                <w:szCs w:val="24"/>
              </w:rPr>
            </w:pPr>
          </w:p>
          <w:p w14:paraId="721D0E44" w14:textId="77777777" w:rsidR="005B3072" w:rsidRDefault="00A46913">
            <w:pPr>
              <w:spacing w:after="40"/>
              <w:jc w:val="center"/>
              <w:rPr>
                <w:rFonts w:ascii="Sitka Text" w:eastAsia="Sitka Text" w:hAnsi="Sitka Text" w:cs="Sitka Text"/>
                <w:b/>
                <w:color w:val="FFFFFF"/>
                <w:sz w:val="24"/>
                <w:szCs w:val="24"/>
              </w:rPr>
            </w:pPr>
            <w:r>
              <w:rPr>
                <w:rFonts w:ascii="Sitka Text" w:eastAsia="Sitka Text" w:hAnsi="Sitka Text" w:cs="Sitka Text"/>
                <w:b/>
                <w:color w:val="FFFFFF"/>
                <w:sz w:val="24"/>
                <w:szCs w:val="24"/>
              </w:rPr>
              <w:t>Unapređenje i razvoj IKT sektora</w:t>
            </w:r>
          </w:p>
          <w:p w14:paraId="5FB92E2D" w14:textId="77777777" w:rsidR="005B3072" w:rsidRDefault="005B3072">
            <w:pPr>
              <w:spacing w:after="40"/>
              <w:jc w:val="center"/>
              <w:rPr>
                <w:rFonts w:ascii="Sitka Text" w:eastAsia="Sitka Text" w:hAnsi="Sitka Text" w:cs="Sitka Text"/>
                <w:b/>
                <w:color w:val="FFFFFF"/>
                <w:sz w:val="24"/>
                <w:szCs w:val="24"/>
              </w:rPr>
            </w:pPr>
          </w:p>
        </w:tc>
      </w:tr>
      <w:tr w:rsidR="005B3072" w14:paraId="64BBC494" w14:textId="77777777">
        <w:tc>
          <w:tcPr>
            <w:tcW w:w="5546" w:type="dxa"/>
            <w:gridSpan w:val="4"/>
            <w:shd w:val="clear" w:color="auto" w:fill="DAF2F6"/>
            <w:tcMar>
              <w:left w:w="170" w:type="dxa"/>
            </w:tcMar>
          </w:tcPr>
          <w:p w14:paraId="0FFCE0FC"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Indikator</w:t>
            </w:r>
          </w:p>
        </w:tc>
        <w:tc>
          <w:tcPr>
            <w:tcW w:w="2452" w:type="dxa"/>
            <w:gridSpan w:val="2"/>
            <w:shd w:val="clear" w:color="auto" w:fill="DAF2F6"/>
            <w:tcMar>
              <w:left w:w="170" w:type="dxa"/>
            </w:tcMar>
            <w:vAlign w:val="center"/>
          </w:tcPr>
          <w:p w14:paraId="734FE51B"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Početna vrijednost</w:t>
            </w:r>
          </w:p>
        </w:tc>
        <w:tc>
          <w:tcPr>
            <w:tcW w:w="1881" w:type="dxa"/>
            <w:gridSpan w:val="3"/>
            <w:tcBorders>
              <w:bottom w:val="single" w:sz="4" w:space="0" w:color="FFFFFF"/>
            </w:tcBorders>
            <w:shd w:val="clear" w:color="auto" w:fill="DAF2F6"/>
            <w:tcMar>
              <w:left w:w="170" w:type="dxa"/>
            </w:tcMar>
            <w:vAlign w:val="center"/>
          </w:tcPr>
          <w:p w14:paraId="5B153A89"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Ciljana vrijednost do 2024.</w:t>
            </w:r>
          </w:p>
        </w:tc>
        <w:tc>
          <w:tcPr>
            <w:tcW w:w="3235" w:type="dxa"/>
            <w:gridSpan w:val="2"/>
            <w:tcBorders>
              <w:bottom w:val="single" w:sz="4" w:space="0" w:color="FFFFFF"/>
            </w:tcBorders>
            <w:shd w:val="clear" w:color="auto" w:fill="DAF2F6"/>
            <w:tcMar>
              <w:left w:w="170" w:type="dxa"/>
            </w:tcMar>
            <w:vAlign w:val="center"/>
          </w:tcPr>
          <w:p w14:paraId="5873922E" w14:textId="77777777" w:rsidR="005B3072" w:rsidRDefault="00A46913">
            <w:pPr>
              <w:spacing w:after="40"/>
              <w:jc w:val="center"/>
              <w:rPr>
                <w:rFonts w:ascii="Sitka Text" w:eastAsia="Sitka Text" w:hAnsi="Sitka Text" w:cs="Sitka Text"/>
                <w:b/>
                <w:color w:val="1F4E79"/>
              </w:rPr>
            </w:pPr>
            <w:r>
              <w:rPr>
                <w:rFonts w:ascii="Sitka Text" w:eastAsia="Sitka Text" w:hAnsi="Sitka Text" w:cs="Sitka Text"/>
                <w:b/>
                <w:color w:val="1F4E79"/>
              </w:rPr>
              <w:t xml:space="preserve"> </w:t>
            </w:r>
          </w:p>
        </w:tc>
      </w:tr>
      <w:tr w:rsidR="005B3072" w14:paraId="26265180" w14:textId="77777777">
        <w:tc>
          <w:tcPr>
            <w:tcW w:w="5546" w:type="dxa"/>
            <w:gridSpan w:val="4"/>
            <w:shd w:val="clear" w:color="auto" w:fill="DAF2F6"/>
            <w:tcMar>
              <w:left w:w="170" w:type="dxa"/>
            </w:tcMar>
          </w:tcPr>
          <w:p w14:paraId="127141C0" w14:textId="77777777" w:rsidR="005B3072" w:rsidRDefault="00A46913">
            <w:pPr>
              <w:pBdr>
                <w:top w:val="nil"/>
                <w:left w:val="nil"/>
                <w:bottom w:val="nil"/>
                <w:right w:val="nil"/>
                <w:between w:val="nil"/>
              </w:pBdr>
              <w:spacing w:after="40"/>
              <w:ind w:hanging="144"/>
              <w:rPr>
                <w:rFonts w:ascii="Sitka Text" w:eastAsia="Sitka Text" w:hAnsi="Sitka Text" w:cs="Sitka Text"/>
                <w:b/>
                <w:color w:val="1F4E79"/>
              </w:rPr>
            </w:pPr>
            <w:r>
              <w:rPr>
                <w:rFonts w:ascii="Sitka Text" w:eastAsia="Sitka Text" w:hAnsi="Sitka Text" w:cs="Sitka Text"/>
                <w:b/>
                <w:color w:val="1F4E79"/>
              </w:rPr>
              <w:t>Broj aktivnih IKT kompanija</w:t>
            </w:r>
          </w:p>
        </w:tc>
        <w:tc>
          <w:tcPr>
            <w:tcW w:w="2452" w:type="dxa"/>
            <w:gridSpan w:val="2"/>
            <w:shd w:val="clear" w:color="auto" w:fill="DAF2F6"/>
            <w:tcMar>
              <w:left w:w="170" w:type="dxa"/>
            </w:tcMar>
          </w:tcPr>
          <w:p w14:paraId="1DF43061"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970</w:t>
            </w:r>
          </w:p>
        </w:tc>
        <w:tc>
          <w:tcPr>
            <w:tcW w:w="1881" w:type="dxa"/>
            <w:gridSpan w:val="3"/>
            <w:shd w:val="clear" w:color="auto" w:fill="DAF2F6"/>
            <w:tcMar>
              <w:left w:w="170" w:type="dxa"/>
            </w:tcMar>
          </w:tcPr>
          <w:p w14:paraId="3BF0B39C"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1.115</w:t>
            </w:r>
          </w:p>
        </w:tc>
        <w:tc>
          <w:tcPr>
            <w:tcW w:w="3235" w:type="dxa"/>
            <w:gridSpan w:val="2"/>
            <w:shd w:val="clear" w:color="auto" w:fill="DAF2F6"/>
            <w:tcMar>
              <w:left w:w="170" w:type="dxa"/>
            </w:tcMar>
          </w:tcPr>
          <w:p w14:paraId="1C272E42"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1,230</w:t>
            </w:r>
          </w:p>
        </w:tc>
      </w:tr>
      <w:tr w:rsidR="005B3072" w14:paraId="2E1CF66B" w14:textId="77777777">
        <w:tc>
          <w:tcPr>
            <w:tcW w:w="5546" w:type="dxa"/>
            <w:gridSpan w:val="4"/>
            <w:shd w:val="clear" w:color="auto" w:fill="DAF2F6"/>
            <w:tcMar>
              <w:left w:w="170" w:type="dxa"/>
            </w:tcMar>
          </w:tcPr>
          <w:p w14:paraId="271165D5" w14:textId="77777777" w:rsidR="005B3072" w:rsidRDefault="00A46913">
            <w:pPr>
              <w:pBdr>
                <w:top w:val="nil"/>
                <w:left w:val="nil"/>
                <w:bottom w:val="nil"/>
                <w:right w:val="nil"/>
                <w:between w:val="nil"/>
              </w:pBdr>
              <w:spacing w:after="40"/>
              <w:ind w:hanging="144"/>
              <w:rPr>
                <w:rFonts w:ascii="Sitka Text" w:eastAsia="Sitka Text" w:hAnsi="Sitka Text" w:cs="Sitka Text"/>
                <w:b/>
                <w:color w:val="1F4E79"/>
              </w:rPr>
            </w:pPr>
            <w:r>
              <w:rPr>
                <w:rFonts w:ascii="Sitka Text" w:eastAsia="Sitka Text" w:hAnsi="Sitka Text" w:cs="Sitka Text"/>
                <w:b/>
                <w:color w:val="1F4E79"/>
              </w:rPr>
              <w:t>Broj zaposlenih u IKT kompanijama</w:t>
            </w:r>
          </w:p>
        </w:tc>
        <w:tc>
          <w:tcPr>
            <w:tcW w:w="2452" w:type="dxa"/>
            <w:gridSpan w:val="2"/>
            <w:shd w:val="clear" w:color="auto" w:fill="DAF2F6"/>
            <w:tcMar>
              <w:left w:w="170" w:type="dxa"/>
            </w:tcMar>
          </w:tcPr>
          <w:p w14:paraId="617C570C"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4.441</w:t>
            </w:r>
          </w:p>
        </w:tc>
        <w:tc>
          <w:tcPr>
            <w:tcW w:w="1881" w:type="dxa"/>
            <w:gridSpan w:val="3"/>
            <w:shd w:val="clear" w:color="auto" w:fill="DAF2F6"/>
            <w:tcMar>
              <w:left w:w="170" w:type="dxa"/>
            </w:tcMar>
          </w:tcPr>
          <w:p w14:paraId="7A2449D0"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4.885</w:t>
            </w:r>
          </w:p>
        </w:tc>
        <w:tc>
          <w:tcPr>
            <w:tcW w:w="3235" w:type="dxa"/>
            <w:gridSpan w:val="2"/>
            <w:shd w:val="clear" w:color="auto" w:fill="DAF2F6"/>
            <w:tcMar>
              <w:left w:w="170" w:type="dxa"/>
            </w:tcMar>
          </w:tcPr>
          <w:p w14:paraId="5D30A453" w14:textId="77777777" w:rsidR="005B3072" w:rsidRDefault="00A46913">
            <w:pPr>
              <w:pBdr>
                <w:top w:val="nil"/>
                <w:left w:val="nil"/>
                <w:bottom w:val="nil"/>
                <w:right w:val="nil"/>
                <w:between w:val="nil"/>
              </w:pBdr>
              <w:spacing w:after="40"/>
              <w:ind w:hanging="144"/>
              <w:jc w:val="center"/>
              <w:rPr>
                <w:rFonts w:ascii="Sitka Text" w:eastAsia="Sitka Text" w:hAnsi="Sitka Text" w:cs="Sitka Text"/>
                <w:b/>
                <w:color w:val="1F4E79"/>
              </w:rPr>
            </w:pPr>
            <w:r>
              <w:rPr>
                <w:rFonts w:ascii="Sitka Text" w:eastAsia="Sitka Text" w:hAnsi="Sitka Text" w:cs="Sitka Text"/>
                <w:b/>
                <w:color w:val="1F4E79"/>
              </w:rPr>
              <w:t>5.500</w:t>
            </w:r>
          </w:p>
        </w:tc>
      </w:tr>
      <w:tr w:rsidR="005B3072" w14:paraId="5DB423A9" w14:textId="77777777">
        <w:tc>
          <w:tcPr>
            <w:tcW w:w="3175" w:type="dxa"/>
            <w:gridSpan w:val="2"/>
            <w:tcBorders>
              <w:top w:val="single" w:sz="4" w:space="0" w:color="000000"/>
              <w:bottom w:val="single" w:sz="4" w:space="0" w:color="BDD7EE"/>
            </w:tcBorders>
            <w:shd w:val="clear" w:color="auto" w:fill="B4C6E7"/>
            <w:tcMar>
              <w:left w:w="170" w:type="dxa"/>
            </w:tcMar>
          </w:tcPr>
          <w:p w14:paraId="282640C9"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9" w:type="dxa"/>
            <w:gridSpan w:val="9"/>
            <w:tcBorders>
              <w:top w:val="single" w:sz="4" w:space="0" w:color="000000"/>
              <w:bottom w:val="single" w:sz="4" w:space="0" w:color="BDD7EE"/>
            </w:tcBorders>
            <w:shd w:val="clear" w:color="auto" w:fill="B4C6E7"/>
            <w:tcMar>
              <w:left w:w="170" w:type="dxa"/>
            </w:tcMar>
          </w:tcPr>
          <w:p w14:paraId="5E9037A8" w14:textId="77777777" w:rsidR="005B3072" w:rsidRDefault="00A46913">
            <w:pPr>
              <w:spacing w:after="40"/>
              <w:rPr>
                <w:rFonts w:ascii="Sitka Text" w:eastAsia="Sitka Text" w:hAnsi="Sitka Text" w:cs="Sitka Text"/>
                <w:b/>
                <w:color w:val="1F4E79"/>
                <w:sz w:val="24"/>
                <w:szCs w:val="24"/>
                <w:highlight w:val="yellow"/>
              </w:rPr>
            </w:pPr>
            <w:r>
              <w:rPr>
                <w:rFonts w:ascii="Sitka Text" w:eastAsia="Sitka Text" w:hAnsi="Sitka Text" w:cs="Sitka Text"/>
                <w:b/>
                <w:color w:val="1F4E79"/>
                <w:sz w:val="24"/>
                <w:szCs w:val="24"/>
              </w:rPr>
              <w:t>Dostupnost IKT opreme u cilju prevazilaženja digitalnog jaza</w:t>
            </w:r>
          </w:p>
        </w:tc>
      </w:tr>
      <w:tr w:rsidR="005B3072" w14:paraId="5103F07E" w14:textId="77777777">
        <w:tc>
          <w:tcPr>
            <w:tcW w:w="317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2C8FF5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26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53F934A7"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09"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1A65C86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61"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DC5FA2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5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F1B534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87"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1655ECB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760"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965CA0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627FBE77"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1F2DE120"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2.3.1</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3E2249D0"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Obezbjeđenje popusta od strane ICT kompanija u cilju realizacije Subvencija za kupovinu računarske opreme od strane socijalno ugroženih kategorija i studenata</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44768B73"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Broj IKT kompanija koje su obezbijedile popuste</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12D0A148"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ICT sektor</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68C80D36"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 kvartal 2021</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5DAFCA73"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3BF684F4"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Budžeti kompanija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7B57630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Donacija ICT kompanija</w:t>
            </w:r>
          </w:p>
        </w:tc>
      </w:tr>
      <w:tr w:rsidR="005B3072" w14:paraId="2034EA1C"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59BAC5DA"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2.3.2</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6D45283D"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Subvencije za kupovinu računarske opreme i periferija za socijalno ugrožene kategorije</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1125A985"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Iznos dodijeljenih subvencija za socijalno ugrožene kategorije</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6CE50272"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MJUDDM </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289BB2E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782BC399"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41FBC9CE"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200.000 €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7379BC2C"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330C2544"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2905ED0B"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2.3.3</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636393A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Subvencije za kupovinu računarske opreme i periferija za učenike i studente</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7E24C45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Iznos dodijeljenih subvencija za učenike i studente</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638D0071"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MJUDDM </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3356C9CA"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238822F3"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38B19294"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 xml:space="preserve"> 200.000 €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0F510A7D"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Budžet CG</w:t>
            </w:r>
          </w:p>
        </w:tc>
      </w:tr>
      <w:tr w:rsidR="005B3072" w14:paraId="52C91F43" w14:textId="77777777">
        <w:tc>
          <w:tcPr>
            <w:tcW w:w="3175" w:type="dxa"/>
            <w:gridSpan w:val="2"/>
            <w:tcBorders>
              <w:top w:val="single" w:sz="4" w:space="0" w:color="BDD7EE"/>
              <w:bottom w:val="single" w:sz="4" w:space="0" w:color="BDD7EE"/>
            </w:tcBorders>
            <w:shd w:val="clear" w:color="auto" w:fill="B4C6E7"/>
            <w:tcMar>
              <w:left w:w="170" w:type="dxa"/>
            </w:tcMar>
          </w:tcPr>
          <w:p w14:paraId="73FE82F5"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9" w:type="dxa"/>
            <w:gridSpan w:val="9"/>
            <w:tcBorders>
              <w:top w:val="single" w:sz="4" w:space="0" w:color="BDD7EE"/>
              <w:bottom w:val="single" w:sz="4" w:space="0" w:color="BDD7EE"/>
            </w:tcBorders>
            <w:shd w:val="clear" w:color="auto" w:fill="B4C6E7"/>
            <w:tcMar>
              <w:left w:w="170" w:type="dxa"/>
            </w:tcMar>
          </w:tcPr>
          <w:p w14:paraId="05F2E85E"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Mehanizmi za podršku rasta i digitalizacije poslovanja kompanija i digitalna transformacija organizacija (privreda, NVO, obrazovanje)</w:t>
            </w:r>
          </w:p>
        </w:tc>
      </w:tr>
      <w:tr w:rsidR="005B3072" w14:paraId="054AE7FF" w14:textId="77777777">
        <w:tc>
          <w:tcPr>
            <w:tcW w:w="317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08C1214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26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425CB99"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09"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690098A0"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61"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56EC2FA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5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DEC16D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87"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53530C4"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760"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049C8FF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34CE1CF8"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25B2D42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2.3.4</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58812CE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 Praćenje i analiza sprovođenja poreske politike uz preporuke izmjena u zakonskom okviru  u cilju posebnog prepoznavanja IT kompanija i IT kadrova  </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6EA3E910"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 Broj inicijativa/predloga ka Vladi CG</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2130FA8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PKCG</w:t>
            </w:r>
          </w:p>
          <w:p w14:paraId="6F0806A6"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21F406F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29BB101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0865E3B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Nisu potrebna sredstva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47DE437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PKCG</w:t>
            </w:r>
          </w:p>
        </w:tc>
      </w:tr>
      <w:tr w:rsidR="005B3072" w14:paraId="357BA4DB"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623A248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2.3.5</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6B98C927" w14:textId="77777777" w:rsidR="005B3072" w:rsidRDefault="00A46913">
            <w:pPr>
              <w:spacing w:before="20" w:after="240"/>
              <w:rPr>
                <w:rFonts w:ascii="Sitka Text" w:eastAsia="Sitka Text" w:hAnsi="Sitka Text" w:cs="Sitka Text"/>
                <w:color w:val="1F4E79"/>
              </w:rPr>
            </w:pPr>
            <w:r>
              <w:rPr>
                <w:rFonts w:ascii="Sitka Text" w:eastAsia="Sitka Text" w:hAnsi="Sitka Text" w:cs="Sitka Text"/>
                <w:color w:val="1F4E79"/>
              </w:rPr>
              <w:t>Izrada Analize neophodnih aktivnosti u cilju pune implementacije eRačuna, sa prepoznavanjem  i identifikovanjem smetnji za institucionalnu implementaciju eRačuna</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5F69C32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Izrađena analiza</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7770448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Ministarstvo finansija i socijalnog staranja, </w:t>
            </w:r>
          </w:p>
          <w:p w14:paraId="2901999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MJUDDM,</w:t>
            </w:r>
          </w:p>
          <w:p w14:paraId="3D6E896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Poslovne asocijacije</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54991F4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1153081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III kvartal 2022</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3969635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Nisu potrebna sredstva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1B15FC4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2BDDE8D6" w14:textId="77777777">
        <w:trPr>
          <w:trHeight w:val="1875"/>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63702B77"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2.3.6</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61406020" w14:textId="77777777" w:rsidR="005B3072" w:rsidRDefault="00A46913">
            <w:pPr>
              <w:spacing w:before="240" w:after="240"/>
              <w:rPr>
                <w:rFonts w:ascii="Sitka Text" w:eastAsia="Sitka Text" w:hAnsi="Sitka Text" w:cs="Sitka Text"/>
                <w:color w:val="1F4E79"/>
              </w:rPr>
            </w:pPr>
            <w:r>
              <w:rPr>
                <w:rFonts w:ascii="Sitka Text" w:eastAsia="Sitka Text" w:hAnsi="Sitka Text" w:cs="Sitka Text"/>
                <w:color w:val="1F4E79"/>
              </w:rPr>
              <w:t>Izmjena legislative  u cilju omogućavanja implementacije eRačuna    na osnovu analize</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7DB49B0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 Izmijenjena legislativa</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14ACD2A9"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Ministarstvo finansija i socijalnog staranja,</w:t>
            </w:r>
          </w:p>
          <w:p w14:paraId="451A52F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MJUDDM</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1DEDC91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464743E7"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3704CDA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Nisu potrebna sredstva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4E519C1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07997F7C" w14:textId="77777777">
        <w:trPr>
          <w:trHeight w:val="2700"/>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7B3A225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2.3.7</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00448A8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Kreiranje ambijenta za privlačenje stranih investicionih fondova u IKT sektor</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6083EB0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Visina direktnih stranih investicija u IKT</w:t>
            </w:r>
          </w:p>
          <w:p w14:paraId="3FDB96E0"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6637EDD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Agencija za privlačenje stranih investicija,</w:t>
            </w:r>
          </w:p>
          <w:p w14:paraId="0AACECA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Ministarstvo finansija i socijalnog staranja</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26FEE948"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 kvartal 2022</w:t>
            </w:r>
          </w:p>
          <w:p w14:paraId="1C482E40" w14:textId="77777777" w:rsidR="005B3072" w:rsidRDefault="005B3072">
            <w:pPr>
              <w:spacing w:before="20"/>
              <w:rPr>
                <w:rFonts w:ascii="Sitka Text" w:eastAsia="Sitka Text" w:hAnsi="Sitka Text" w:cs="Sitka Text"/>
                <w:color w:val="1F4E79"/>
              </w:rPr>
            </w:pP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1822FE7B" w14:textId="77777777" w:rsidR="005B3072" w:rsidRDefault="00A46913">
            <w:pPr>
              <w:spacing w:before="20"/>
              <w:rPr>
                <w:rFonts w:ascii="Sitka Text" w:eastAsia="Sitka Text" w:hAnsi="Sitka Text" w:cs="Sitka Text"/>
                <w:color w:val="1F4E79"/>
              </w:rPr>
            </w:pPr>
            <w:r>
              <w:rPr>
                <w:rFonts w:ascii="Sitka Text" w:eastAsia="Sitka Text" w:hAnsi="Sitka Text" w:cs="Sitka Text"/>
                <w:color w:val="1F4E79"/>
              </w:rPr>
              <w:t>IV kvartal 2023</w:t>
            </w:r>
          </w:p>
          <w:p w14:paraId="11897520" w14:textId="77777777" w:rsidR="005B3072" w:rsidRDefault="005B3072">
            <w:pPr>
              <w:spacing w:before="20"/>
              <w:rPr>
                <w:rFonts w:ascii="Sitka Text" w:eastAsia="Sitka Text" w:hAnsi="Sitka Text" w:cs="Sitka Text"/>
                <w:color w:val="1F4E79"/>
              </w:rPr>
            </w:pP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615F083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Nisu potrebna sredstva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15CA2927"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2260DD25" w14:textId="77777777">
        <w:trPr>
          <w:trHeight w:val="1620"/>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26BC620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2.3.8</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2408B5C7"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Implementacija propisa koji se tiču olakšica za digitalne nomade i privlačenje deficitarnih IKT kadrova iz inostranstva</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7D325EF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Broj digitalnih nomada </w:t>
            </w:r>
          </w:p>
          <w:p w14:paraId="10723B78"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p w14:paraId="09602950"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491D96D0"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MUP</w:t>
            </w:r>
          </w:p>
          <w:p w14:paraId="0F2F7E9C"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2C18E05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p w14:paraId="51644ABE"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0F9437A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 kvartal 2022</w:t>
            </w:r>
          </w:p>
          <w:p w14:paraId="44272F2C"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2E498559"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Nisu potrebna sredstva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558D836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p w14:paraId="30F782C7"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r>
      <w:tr w:rsidR="005B3072" w14:paraId="3B15CA62"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7910878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2.3.9</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0A2CB4B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Zajedničko učešće na projektima iz domena IKT, kroz partnerstvo privrednih društava sa akademskim i naučnim organizacijama </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701CB20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Broj realizovanih projekata iz domena IKT, kroz partnerstvo privrednih društava sa akademskim i naučnim organizacijama </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17E5CA0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Univerziteti, Privreda</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65850799"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3B815F3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2022</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6D2F54C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Nisu potrebna sredstva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4BD4BAF9"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N/A</w:t>
            </w:r>
          </w:p>
        </w:tc>
      </w:tr>
      <w:tr w:rsidR="005B3072" w14:paraId="286B5771" w14:textId="77777777">
        <w:trPr>
          <w:trHeight w:val="1710"/>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4E01E8F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2.3.10</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3A5343F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Grantovi za inovativne projekte podrške saradnji naučnoistraživačke zajednice i privrede</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27642F3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podržanih projekata IT kompanija i NI ustanova</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4973C61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MER</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798439C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60A948B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5957114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600.000 €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7C3DF21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500.000 IPA 2020,</w:t>
            </w:r>
          </w:p>
          <w:p w14:paraId="6F7CF90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100.000 Budžet CG</w:t>
            </w:r>
          </w:p>
        </w:tc>
      </w:tr>
      <w:tr w:rsidR="005B3072" w14:paraId="667FE882" w14:textId="77777777">
        <w:tc>
          <w:tcPr>
            <w:tcW w:w="3175" w:type="dxa"/>
            <w:gridSpan w:val="2"/>
            <w:tcBorders>
              <w:top w:val="single" w:sz="4" w:space="0" w:color="BDD7EE"/>
              <w:bottom w:val="single" w:sz="4" w:space="0" w:color="BDD7EE"/>
            </w:tcBorders>
            <w:shd w:val="clear" w:color="auto" w:fill="B4C6E7"/>
            <w:tcMar>
              <w:left w:w="170" w:type="dxa"/>
            </w:tcMar>
          </w:tcPr>
          <w:p w14:paraId="39065D4C"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9" w:type="dxa"/>
            <w:gridSpan w:val="9"/>
            <w:tcBorders>
              <w:top w:val="single" w:sz="4" w:space="0" w:color="BDD7EE"/>
              <w:bottom w:val="single" w:sz="4" w:space="0" w:color="BDD7EE"/>
            </w:tcBorders>
            <w:shd w:val="clear" w:color="auto" w:fill="B4C6E7"/>
            <w:tcMar>
              <w:left w:w="170" w:type="dxa"/>
            </w:tcMar>
          </w:tcPr>
          <w:p w14:paraId="4435FEE1"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Definicija i implementacija mehanizma za razvoj inovativnog IKT ekosistema</w:t>
            </w:r>
          </w:p>
        </w:tc>
      </w:tr>
      <w:tr w:rsidR="005B3072" w14:paraId="22CD16D0" w14:textId="77777777">
        <w:tc>
          <w:tcPr>
            <w:tcW w:w="317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5407BD35"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26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7F28F5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09"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F72DF5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61"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34EDFBE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5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8E649E1"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87"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5ACF89C"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760"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7CA312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257EBDB4" w14:textId="77777777">
        <w:trPr>
          <w:trHeight w:val="1187"/>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30F0FB7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2.3.11</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27EBA5C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Jačanje kapaciteta Fonda za inovacije </w:t>
            </w:r>
          </w:p>
          <w:p w14:paraId="16446B56"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59D68F1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dodijeljenih grantova od strane Fonda za inovacije</w:t>
            </w:r>
          </w:p>
          <w:p w14:paraId="173D59AD" w14:textId="77777777" w:rsidR="005B3072" w:rsidRDefault="005B3072">
            <w:pPr>
              <w:pBdr>
                <w:top w:val="nil"/>
                <w:left w:val="nil"/>
                <w:bottom w:val="nil"/>
                <w:right w:val="nil"/>
                <w:between w:val="nil"/>
              </w:pBdr>
              <w:spacing w:before="20" w:after="20"/>
              <w:ind w:right="144"/>
              <w:rPr>
                <w:rFonts w:ascii="Sitka Text" w:eastAsia="Sitka Text" w:hAnsi="Sitka Text" w:cs="Sitka Text"/>
                <w:color w:val="1F4E79"/>
              </w:rPr>
            </w:pP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27A60B4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 xml:space="preserve">MER, </w:t>
            </w:r>
          </w:p>
          <w:p w14:paraId="280B7CEF"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Fond za inovacije Crne Gore</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5BC4A40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l 2022</w:t>
            </w:r>
          </w:p>
          <w:p w14:paraId="21D4A9A2"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767C7B9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 kvartal 2023</w:t>
            </w:r>
          </w:p>
          <w:p w14:paraId="209D9A6F"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593A5AA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350.000 €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2EB5B48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p w14:paraId="0BDC824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Donatorska sredstva</w:t>
            </w:r>
          </w:p>
        </w:tc>
      </w:tr>
      <w:tr w:rsidR="005B3072" w14:paraId="49F32C2F"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0A40690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2.3.12</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640AD63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Osnivanje Kancelarije za tehnološki transfer</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0EC8C23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Izrađena Studija pred-izvodljivosti</w:t>
            </w:r>
          </w:p>
          <w:p w14:paraId="46CE8CD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Osnovana kancelarija</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7CFE196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MER, Naučno-tehnološki park Crne Gore</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3B21639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0AF5F29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III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186966A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30.000 €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1E94B512"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Donatorska sredstva</w:t>
            </w:r>
          </w:p>
        </w:tc>
      </w:tr>
      <w:tr w:rsidR="005B3072" w14:paraId="56D65C8F" w14:textId="77777777">
        <w:trPr>
          <w:trHeight w:val="1695"/>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10F2ED3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2.3.13</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5282AD7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Podrška inovativnim programima i projektima u prioritetnom sektoru - IKT</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7A45BCA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podržanih inovativnih programa i projekata</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6063D16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MER, </w:t>
            </w:r>
          </w:p>
          <w:p w14:paraId="70660C40"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Fond za inovacije Crne Gore</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15F0E24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5526389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36555DB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1.000.000 €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03F9B23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p w14:paraId="1D36B54F"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r>
      <w:tr w:rsidR="005B3072" w14:paraId="44B0756D" w14:textId="77777777">
        <w:trPr>
          <w:trHeight w:val="3090"/>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78A9B10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2.3.14</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20F8C2D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Podsticaji za istraživanje i inovacije u IKT prioritetnoj oblasti u domenu novih tehnogija u privredi</w:t>
            </w:r>
          </w:p>
          <w:p w14:paraId="02578A9A"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736CD6E9"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Broj dodijeljenih statusa korisnika podsticajnih mjera u prioritetnoj oblasti IKT</w:t>
            </w:r>
          </w:p>
          <w:p w14:paraId="317DA5DA"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3C507AA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MER</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767F40E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0AEA842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61DCFE6C" w14:textId="77777777" w:rsidR="005B3072" w:rsidRDefault="00A46913">
            <w:pPr>
              <w:pBdr>
                <w:top w:val="nil"/>
                <w:left w:val="nil"/>
                <w:bottom w:val="nil"/>
                <w:right w:val="nil"/>
                <w:between w:val="nil"/>
              </w:pBdr>
              <w:spacing w:before="20"/>
              <w:ind w:hanging="144"/>
              <w:jc w:val="center"/>
              <w:rPr>
                <w:rFonts w:ascii="Sitka Text" w:eastAsia="Sitka Text" w:hAnsi="Sitka Text" w:cs="Sitka Text"/>
                <w:color w:val="1F4E79"/>
              </w:rPr>
            </w:pPr>
            <w:r>
              <w:rPr>
                <w:rFonts w:ascii="Sitka Text" w:eastAsia="Sitka Text" w:hAnsi="Sitka Text" w:cs="Sitka Text"/>
                <w:color w:val="1F4E79"/>
              </w:rPr>
              <w:t>n/p</w:t>
            </w:r>
          </w:p>
        </w:tc>
        <w:tc>
          <w:tcPr>
            <w:tcW w:w="1760" w:type="dxa"/>
            <w:tcBorders>
              <w:top w:val="single" w:sz="4" w:space="0" w:color="BDD7EE"/>
              <w:left w:val="single" w:sz="4" w:space="0" w:color="BDD7EE"/>
              <w:bottom w:val="single" w:sz="4" w:space="0" w:color="BDD7EE"/>
              <w:right w:val="single" w:sz="4" w:space="0" w:color="BDD7EE"/>
            </w:tcBorders>
            <w:tcMar>
              <w:top w:w="100" w:type="dxa"/>
              <w:left w:w="170" w:type="dxa"/>
              <w:bottom w:w="100" w:type="dxa"/>
              <w:right w:w="100" w:type="dxa"/>
            </w:tcMar>
          </w:tcPr>
          <w:p w14:paraId="761953CA" w14:textId="77777777" w:rsidR="005B3072" w:rsidRDefault="00A46913">
            <w:pPr>
              <w:spacing w:before="20" w:after="240"/>
              <w:rPr>
                <w:rFonts w:ascii="Sitka Text" w:eastAsia="Sitka Text" w:hAnsi="Sitka Text" w:cs="Sitka Text"/>
                <w:color w:val="1F4E79"/>
              </w:rPr>
            </w:pPr>
            <w:r>
              <w:rPr>
                <w:rFonts w:ascii="Sitka Text" w:eastAsia="Sitka Text" w:hAnsi="Sitka Text" w:cs="Sitka Text"/>
                <w:color w:val="1F4E79"/>
              </w:rPr>
              <w:t>Mjera podrazumijeva umanjenja, olakšice ili oslobađanje u odnosu na set zakonski utvrđenih fiskalnih podsticaja</w:t>
            </w:r>
          </w:p>
        </w:tc>
      </w:tr>
      <w:tr w:rsidR="005B3072" w14:paraId="7D89EC58" w14:textId="77777777">
        <w:tc>
          <w:tcPr>
            <w:tcW w:w="3175" w:type="dxa"/>
            <w:gridSpan w:val="2"/>
            <w:tcBorders>
              <w:top w:val="single" w:sz="4" w:space="0" w:color="BDD7EE"/>
              <w:bottom w:val="single" w:sz="4" w:space="0" w:color="BDD7EE"/>
            </w:tcBorders>
            <w:shd w:val="clear" w:color="auto" w:fill="B4C6E7"/>
            <w:tcMar>
              <w:left w:w="170" w:type="dxa"/>
            </w:tcMar>
          </w:tcPr>
          <w:p w14:paraId="4095B8FB"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OBLAST</w:t>
            </w:r>
          </w:p>
        </w:tc>
        <w:tc>
          <w:tcPr>
            <w:tcW w:w="9939" w:type="dxa"/>
            <w:gridSpan w:val="9"/>
            <w:tcBorders>
              <w:top w:val="single" w:sz="4" w:space="0" w:color="BDD7EE"/>
              <w:bottom w:val="single" w:sz="4" w:space="0" w:color="BDD7EE"/>
            </w:tcBorders>
            <w:shd w:val="clear" w:color="auto" w:fill="B4C6E7"/>
            <w:tcMar>
              <w:left w:w="170" w:type="dxa"/>
            </w:tcMar>
          </w:tcPr>
          <w:p w14:paraId="4AE63B9E" w14:textId="77777777" w:rsidR="005B3072" w:rsidRDefault="00A46913">
            <w:pPr>
              <w:spacing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Izvoz, internacionalizacija IKT kompanija i povećanje udjela domaćih IKT kompanija u međunarodnim tenderima</w:t>
            </w:r>
          </w:p>
        </w:tc>
      </w:tr>
      <w:tr w:rsidR="005B3072" w14:paraId="2E0CFBA8" w14:textId="77777777">
        <w:tc>
          <w:tcPr>
            <w:tcW w:w="3175"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F3CE4E8"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Aktivnost koja utiče na realizaciju Operativnog cilja</w:t>
            </w:r>
          </w:p>
        </w:tc>
        <w:tc>
          <w:tcPr>
            <w:tcW w:w="2267"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4E26525A"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Indikator rezultata</w:t>
            </w:r>
          </w:p>
        </w:tc>
        <w:tc>
          <w:tcPr>
            <w:tcW w:w="1609"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F3217C5"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Nadležne institucije</w:t>
            </w:r>
          </w:p>
        </w:tc>
        <w:tc>
          <w:tcPr>
            <w:tcW w:w="1361"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FC6A893"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početka aktivnosti</w:t>
            </w:r>
          </w:p>
        </w:tc>
        <w:tc>
          <w:tcPr>
            <w:tcW w:w="1355"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33DD83B"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Datum završetka aktivnosti</w:t>
            </w:r>
          </w:p>
        </w:tc>
        <w:tc>
          <w:tcPr>
            <w:tcW w:w="1587" w:type="dxa"/>
            <w:gridSpan w:val="2"/>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269D3E8E"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Sredstva planirana za sprovođenje aktivnosti</w:t>
            </w:r>
          </w:p>
        </w:tc>
        <w:tc>
          <w:tcPr>
            <w:tcW w:w="1760" w:type="dxa"/>
            <w:tcBorders>
              <w:top w:val="single" w:sz="4" w:space="0" w:color="BDD7EE"/>
              <w:left w:val="single" w:sz="4" w:space="0" w:color="BDD7EE"/>
              <w:bottom w:val="single" w:sz="4" w:space="0" w:color="BDD7EE"/>
              <w:right w:val="single" w:sz="4" w:space="0" w:color="BDD7EE"/>
            </w:tcBorders>
            <w:shd w:val="clear" w:color="auto" w:fill="F7CBAC"/>
            <w:tcMar>
              <w:left w:w="170" w:type="dxa"/>
            </w:tcMar>
            <w:vAlign w:val="center"/>
          </w:tcPr>
          <w:p w14:paraId="79758F72" w14:textId="77777777" w:rsidR="005B3072" w:rsidRDefault="00A46913">
            <w:pPr>
              <w:spacing w:before="20"/>
              <w:jc w:val="center"/>
              <w:rPr>
                <w:rFonts w:ascii="Sitka Text" w:eastAsia="Sitka Text" w:hAnsi="Sitka Text" w:cs="Sitka Text"/>
                <w:b/>
                <w:color w:val="1F4E79"/>
              </w:rPr>
            </w:pPr>
            <w:r>
              <w:rPr>
                <w:rFonts w:ascii="Sitka Text" w:eastAsia="Sitka Text" w:hAnsi="Sitka Text" w:cs="Sitka Text"/>
                <w:b/>
                <w:color w:val="1F4E79"/>
              </w:rPr>
              <w:t>Izvor finansiranja</w:t>
            </w:r>
          </w:p>
        </w:tc>
      </w:tr>
      <w:tr w:rsidR="005B3072" w14:paraId="4F26517B" w14:textId="77777777">
        <w:trPr>
          <w:trHeight w:val="915"/>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431F1D98"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2.3.15</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1BBF2796"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Podsticaji za kompanije koje izvoze IT usluge i proizvode</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0F5E776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dodijeljenih kredita</w:t>
            </w:r>
          </w:p>
          <w:p w14:paraId="3616FF43" w14:textId="77777777" w:rsidR="005B3072" w:rsidRDefault="005B3072">
            <w:pPr>
              <w:pBdr>
                <w:top w:val="nil"/>
                <w:left w:val="nil"/>
                <w:bottom w:val="nil"/>
                <w:right w:val="nil"/>
                <w:between w:val="nil"/>
              </w:pBdr>
              <w:spacing w:before="20"/>
              <w:ind w:hanging="144"/>
              <w:rPr>
                <w:rFonts w:ascii="Sitka Text" w:eastAsia="Sitka Text" w:hAnsi="Sitka Text" w:cs="Sitka Text"/>
                <w:color w:val="1F4E79"/>
              </w:rPr>
            </w:pP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2B4B6F3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Investiciono-razvojni fond Crne Gore</w:t>
            </w:r>
          </w:p>
          <w:p w14:paraId="07F5EAC5"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(u saradnji sa institucijama nadležnim za datu oblast)</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003C48F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23C88E9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2022</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6013F72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Sredstva nije moguće procijeniti jer je u pitanju dodjela kredita po zahtjevu</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78FE4EEA"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Investiciono-razvojnog fonda</w:t>
            </w:r>
          </w:p>
        </w:tc>
      </w:tr>
      <w:tr w:rsidR="005B3072" w14:paraId="40BE50E1" w14:textId="77777777">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0C10B9D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2.3.16</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78B75FD9"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  Subvencije za studijske posjete inostranstvu koje imaju za cilj sklapanja novih poslova na internacionalnom trzištu </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2DE4FEB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subvencija kroz Programsku liniju za podršku internacionalizaciji u okviru Programa za unapređenje konkurentnosti privrede</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450DA30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MER</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3735165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2023</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0AA7FC87"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698F7B7E"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200.000 €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4081704F"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58ADC8E7" w14:textId="77777777">
        <w:trPr>
          <w:trHeight w:val="1990"/>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60319AD5"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2.3.17</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6A0DC813"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 xml:space="preserve">  Subvencije za organizaciju IKT konferencija, festivala, samita i sajmova u Crnoj Gori</w:t>
            </w: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2DC173EB"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Broj organizovanih događaja međunarodnog karaktera i događaja lokalnog karaktera</w:t>
            </w: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7188D13D"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MJUDDM</w:t>
            </w: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28D00D51"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509BB584"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IV kvartal 2023</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008F61A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200.000 €</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17A2B95C" w14:textId="77777777" w:rsidR="005B3072" w:rsidRDefault="00A46913">
            <w:pPr>
              <w:pBdr>
                <w:top w:val="nil"/>
                <w:left w:val="nil"/>
                <w:bottom w:val="nil"/>
                <w:right w:val="nil"/>
                <w:between w:val="nil"/>
              </w:pBdr>
              <w:spacing w:before="20"/>
              <w:ind w:hanging="144"/>
              <w:rPr>
                <w:rFonts w:ascii="Sitka Text" w:eastAsia="Sitka Text" w:hAnsi="Sitka Text" w:cs="Sitka Text"/>
                <w:color w:val="1F4E79"/>
              </w:rPr>
            </w:pPr>
            <w:r>
              <w:rPr>
                <w:rFonts w:ascii="Sitka Text" w:eastAsia="Sitka Text" w:hAnsi="Sitka Text" w:cs="Sitka Text"/>
                <w:color w:val="1F4E79"/>
              </w:rPr>
              <w:t>Budžet CG</w:t>
            </w:r>
          </w:p>
        </w:tc>
      </w:tr>
      <w:tr w:rsidR="005B3072" w14:paraId="53E4109A" w14:textId="77777777">
        <w:trPr>
          <w:trHeight w:val="1198"/>
        </w:trPr>
        <w:tc>
          <w:tcPr>
            <w:tcW w:w="968" w:type="dxa"/>
            <w:tcBorders>
              <w:top w:val="single" w:sz="4" w:space="0" w:color="BDD7EE"/>
              <w:left w:val="single" w:sz="4" w:space="0" w:color="BDD7EE"/>
              <w:bottom w:val="single" w:sz="4" w:space="0" w:color="BDD7EE"/>
              <w:right w:val="single" w:sz="4" w:space="0" w:color="BDD7EE"/>
            </w:tcBorders>
            <w:tcMar>
              <w:left w:w="170" w:type="dxa"/>
            </w:tcMar>
          </w:tcPr>
          <w:p w14:paraId="1E011A07"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2.3.18</w:t>
            </w:r>
          </w:p>
        </w:tc>
        <w:tc>
          <w:tcPr>
            <w:tcW w:w="2207" w:type="dxa"/>
            <w:tcBorders>
              <w:top w:val="single" w:sz="4" w:space="0" w:color="BDD7EE"/>
              <w:left w:val="single" w:sz="4" w:space="0" w:color="BDD7EE"/>
              <w:bottom w:val="single" w:sz="4" w:space="0" w:color="BDD7EE"/>
              <w:right w:val="single" w:sz="4" w:space="0" w:color="BDD7EE"/>
            </w:tcBorders>
            <w:tcMar>
              <w:left w:w="170" w:type="dxa"/>
            </w:tcMar>
          </w:tcPr>
          <w:p w14:paraId="2B504115" w14:textId="77777777" w:rsidR="005B3072" w:rsidRDefault="00A46913">
            <w:pPr>
              <w:spacing w:before="20" w:after="20"/>
              <w:rPr>
                <w:rFonts w:ascii="Sitka Text" w:eastAsia="Sitka Text" w:hAnsi="Sitka Text" w:cs="Sitka Text"/>
                <w:color w:val="1F4E79"/>
                <w:sz w:val="20"/>
                <w:szCs w:val="20"/>
              </w:rPr>
            </w:pPr>
            <w:r>
              <w:rPr>
                <w:rFonts w:ascii="Sitka Text" w:eastAsia="Sitka Text" w:hAnsi="Sitka Text" w:cs="Sitka Text"/>
                <w:color w:val="1F4E79"/>
              </w:rPr>
              <w:t>Uspostavljanje</w:t>
            </w:r>
            <w:r>
              <w:rPr>
                <w:rFonts w:ascii="Sitka Text" w:eastAsia="Sitka Text" w:hAnsi="Sitka Text" w:cs="Sitka Text"/>
                <w:color w:val="1F4E79"/>
                <w:sz w:val="20"/>
                <w:szCs w:val="20"/>
              </w:rPr>
              <w:t xml:space="preserve"> </w:t>
            </w:r>
            <w:r>
              <w:rPr>
                <w:rFonts w:ascii="Sitka Text" w:eastAsia="Sitka Text" w:hAnsi="Sitka Text" w:cs="Sitka Text"/>
                <w:color w:val="1F4E79"/>
              </w:rPr>
              <w:t>uputstava i preporuka u cilju olakšavanja učestvovanja crnogorskih IKT kompanija na međunarodnim tenderima (mogućnost dodatnog plusa za konzorcijume sastavljene od lokalnih firmi)</w:t>
            </w:r>
          </w:p>
          <w:p w14:paraId="40DD817E"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2267" w:type="dxa"/>
            <w:tcBorders>
              <w:top w:val="single" w:sz="4" w:space="0" w:color="BDD7EE"/>
              <w:left w:val="single" w:sz="4" w:space="0" w:color="BDD7EE"/>
              <w:bottom w:val="single" w:sz="4" w:space="0" w:color="BDD7EE"/>
              <w:right w:val="single" w:sz="4" w:space="0" w:color="BDD7EE"/>
            </w:tcBorders>
            <w:tcMar>
              <w:left w:w="170" w:type="dxa"/>
            </w:tcMar>
          </w:tcPr>
          <w:p w14:paraId="0CBDA7D4"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Objavljeno uputstvo</w:t>
            </w:r>
          </w:p>
          <w:p w14:paraId="62DC1674"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609" w:type="dxa"/>
            <w:gridSpan w:val="2"/>
            <w:tcBorders>
              <w:top w:val="single" w:sz="4" w:space="0" w:color="BDD7EE"/>
              <w:left w:val="single" w:sz="4" w:space="0" w:color="BDD7EE"/>
              <w:bottom w:val="single" w:sz="4" w:space="0" w:color="BDD7EE"/>
              <w:right w:val="single" w:sz="4" w:space="0" w:color="BDD7EE"/>
            </w:tcBorders>
            <w:tcMar>
              <w:left w:w="170" w:type="dxa"/>
            </w:tcMar>
          </w:tcPr>
          <w:p w14:paraId="305640F3"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Ministarstvo finansija, rada i socijalnog staranja</w:t>
            </w:r>
          </w:p>
          <w:p w14:paraId="780677D3"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c>
          <w:tcPr>
            <w:tcW w:w="1361" w:type="dxa"/>
            <w:gridSpan w:val="2"/>
            <w:tcBorders>
              <w:top w:val="single" w:sz="4" w:space="0" w:color="BDD7EE"/>
              <w:left w:val="single" w:sz="4" w:space="0" w:color="BDD7EE"/>
              <w:bottom w:val="single" w:sz="4" w:space="0" w:color="BDD7EE"/>
              <w:right w:val="single" w:sz="4" w:space="0" w:color="BDD7EE"/>
            </w:tcBorders>
            <w:tcMar>
              <w:left w:w="170" w:type="dxa"/>
            </w:tcMar>
          </w:tcPr>
          <w:p w14:paraId="2B2FD9C8"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 kvartal 2022</w:t>
            </w:r>
          </w:p>
        </w:tc>
        <w:tc>
          <w:tcPr>
            <w:tcW w:w="1355" w:type="dxa"/>
            <w:tcBorders>
              <w:top w:val="single" w:sz="4" w:space="0" w:color="BDD7EE"/>
              <w:left w:val="single" w:sz="4" w:space="0" w:color="BDD7EE"/>
              <w:bottom w:val="single" w:sz="4" w:space="0" w:color="BDD7EE"/>
              <w:right w:val="single" w:sz="4" w:space="0" w:color="BDD7EE"/>
            </w:tcBorders>
            <w:tcMar>
              <w:left w:w="170" w:type="dxa"/>
            </w:tcMar>
          </w:tcPr>
          <w:p w14:paraId="65C29882"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III kvartal 2022</w:t>
            </w:r>
          </w:p>
        </w:tc>
        <w:tc>
          <w:tcPr>
            <w:tcW w:w="1587" w:type="dxa"/>
            <w:gridSpan w:val="2"/>
            <w:tcBorders>
              <w:top w:val="single" w:sz="4" w:space="0" w:color="BDD7EE"/>
              <w:left w:val="single" w:sz="4" w:space="0" w:color="BDD7EE"/>
              <w:bottom w:val="single" w:sz="4" w:space="0" w:color="BDD7EE"/>
              <w:right w:val="single" w:sz="4" w:space="0" w:color="BDD7EE"/>
            </w:tcBorders>
            <w:tcMar>
              <w:left w:w="170" w:type="dxa"/>
            </w:tcMar>
          </w:tcPr>
          <w:p w14:paraId="75619EAC" w14:textId="77777777" w:rsidR="005B3072" w:rsidRDefault="00A46913">
            <w:pPr>
              <w:pBdr>
                <w:top w:val="nil"/>
                <w:left w:val="nil"/>
                <w:bottom w:val="nil"/>
                <w:right w:val="nil"/>
                <w:between w:val="nil"/>
              </w:pBdr>
              <w:spacing w:before="20"/>
              <w:rPr>
                <w:rFonts w:ascii="Sitka Text" w:eastAsia="Sitka Text" w:hAnsi="Sitka Text" w:cs="Sitka Text"/>
                <w:color w:val="1F4E79"/>
              </w:rPr>
            </w:pPr>
            <w:r>
              <w:rPr>
                <w:rFonts w:ascii="Sitka Text" w:eastAsia="Sitka Text" w:hAnsi="Sitka Text" w:cs="Sitka Text"/>
                <w:color w:val="1F4E79"/>
              </w:rPr>
              <w:t>Nisu potrebna sredstva</w:t>
            </w:r>
          </w:p>
        </w:tc>
        <w:tc>
          <w:tcPr>
            <w:tcW w:w="1760" w:type="dxa"/>
            <w:tcBorders>
              <w:top w:val="single" w:sz="4" w:space="0" w:color="BDD7EE"/>
              <w:left w:val="single" w:sz="4" w:space="0" w:color="BDD7EE"/>
              <w:bottom w:val="single" w:sz="4" w:space="0" w:color="BDD7EE"/>
              <w:right w:val="single" w:sz="4" w:space="0" w:color="BDD7EE"/>
            </w:tcBorders>
            <w:tcMar>
              <w:left w:w="170" w:type="dxa"/>
            </w:tcMar>
          </w:tcPr>
          <w:p w14:paraId="3D111875" w14:textId="77777777" w:rsidR="005B3072" w:rsidRDefault="005B3072">
            <w:pPr>
              <w:pBdr>
                <w:top w:val="nil"/>
                <w:left w:val="nil"/>
                <w:bottom w:val="nil"/>
                <w:right w:val="nil"/>
                <w:between w:val="nil"/>
              </w:pBdr>
              <w:spacing w:before="20"/>
              <w:rPr>
                <w:rFonts w:ascii="Sitka Text" w:eastAsia="Sitka Text" w:hAnsi="Sitka Text" w:cs="Sitka Text"/>
                <w:color w:val="1F4E79"/>
              </w:rPr>
            </w:pPr>
          </w:p>
        </w:tc>
      </w:tr>
    </w:tbl>
    <w:p w14:paraId="6F5DC473" w14:textId="77777777" w:rsidR="005B3072" w:rsidRDefault="005B3072">
      <w:pPr>
        <w:spacing w:before="240" w:after="40"/>
        <w:rPr>
          <w:b/>
          <w:sz w:val="32"/>
          <w:szCs w:val="32"/>
        </w:rPr>
      </w:pPr>
    </w:p>
    <w:p w14:paraId="7B466E2E" w14:textId="77777777" w:rsidR="005B3072" w:rsidRDefault="005B3072">
      <w:pPr>
        <w:spacing w:before="240" w:after="40"/>
        <w:rPr>
          <w:rFonts w:ascii="Sitka Text" w:eastAsia="Sitka Text" w:hAnsi="Sitka Text" w:cs="Sitka Text"/>
          <w:b/>
          <w:color w:val="1F4E79"/>
          <w:sz w:val="24"/>
          <w:szCs w:val="24"/>
        </w:rPr>
      </w:pPr>
    </w:p>
    <w:p w14:paraId="57FDC508" w14:textId="77777777" w:rsidR="005B3072" w:rsidRDefault="005B3072">
      <w:pPr>
        <w:spacing w:before="240" w:after="40"/>
        <w:rPr>
          <w:rFonts w:ascii="Sitka Text" w:eastAsia="Sitka Text" w:hAnsi="Sitka Text" w:cs="Sitka Text"/>
          <w:b/>
          <w:color w:val="1F4E79"/>
          <w:sz w:val="24"/>
          <w:szCs w:val="24"/>
        </w:rPr>
      </w:pPr>
    </w:p>
    <w:p w14:paraId="3D7CBA85" w14:textId="77777777" w:rsidR="00CC14B3" w:rsidRDefault="00CC14B3">
      <w:pPr>
        <w:spacing w:before="240" w:after="40"/>
        <w:rPr>
          <w:rFonts w:ascii="Sitka Text" w:eastAsia="Sitka Text" w:hAnsi="Sitka Text" w:cs="Sitka Text"/>
          <w:b/>
          <w:color w:val="1F4E79"/>
          <w:sz w:val="24"/>
          <w:szCs w:val="24"/>
        </w:rPr>
      </w:pPr>
    </w:p>
    <w:p w14:paraId="750C4865" w14:textId="77777777" w:rsidR="00CC14B3" w:rsidRDefault="00CC14B3">
      <w:pPr>
        <w:spacing w:before="240" w:after="40"/>
        <w:rPr>
          <w:rFonts w:ascii="Sitka Text" w:eastAsia="Sitka Text" w:hAnsi="Sitka Text" w:cs="Sitka Text"/>
          <w:b/>
          <w:color w:val="1F4E79"/>
          <w:sz w:val="24"/>
          <w:szCs w:val="24"/>
        </w:rPr>
      </w:pPr>
    </w:p>
    <w:p w14:paraId="734240DA" w14:textId="77777777" w:rsidR="00CC14B3" w:rsidRDefault="00CC14B3">
      <w:pPr>
        <w:spacing w:before="240" w:after="40"/>
        <w:rPr>
          <w:rFonts w:ascii="Sitka Text" w:eastAsia="Sitka Text" w:hAnsi="Sitka Text" w:cs="Sitka Text"/>
          <w:b/>
          <w:color w:val="1F4E79"/>
          <w:sz w:val="24"/>
          <w:szCs w:val="24"/>
        </w:rPr>
      </w:pPr>
    </w:p>
    <w:p w14:paraId="4FBED644" w14:textId="77777777" w:rsidR="00CC14B3" w:rsidRDefault="00CC14B3">
      <w:pPr>
        <w:spacing w:before="240" w:after="40"/>
        <w:rPr>
          <w:rFonts w:ascii="Sitka Text" w:eastAsia="Sitka Text" w:hAnsi="Sitka Text" w:cs="Sitka Text"/>
          <w:b/>
          <w:color w:val="1F4E79"/>
          <w:sz w:val="24"/>
          <w:szCs w:val="24"/>
        </w:rPr>
      </w:pPr>
    </w:p>
    <w:p w14:paraId="672EDE45" w14:textId="77777777" w:rsidR="005E4CCE" w:rsidRDefault="005E4CCE">
      <w:pPr>
        <w:spacing w:before="240" w:after="40"/>
        <w:rPr>
          <w:rFonts w:ascii="Sitka Text" w:eastAsia="Sitka Text" w:hAnsi="Sitka Text" w:cs="Sitka Text"/>
          <w:b/>
          <w:color w:val="1F4E79"/>
          <w:sz w:val="24"/>
          <w:szCs w:val="24"/>
        </w:rPr>
        <w:sectPr w:rsidR="005E4CCE">
          <w:pgSz w:w="15840" w:h="12240" w:orient="landscape"/>
          <w:pgMar w:top="630" w:right="1440" w:bottom="1140" w:left="1276" w:header="720" w:footer="624" w:gutter="0"/>
          <w:cols w:space="720"/>
          <w:titlePg/>
        </w:sectPr>
      </w:pPr>
    </w:p>
    <w:p w14:paraId="0C11E8AB" w14:textId="77777777" w:rsidR="005B3072" w:rsidRDefault="005B3072">
      <w:pPr>
        <w:widowControl w:val="0"/>
        <w:tabs>
          <w:tab w:val="center" w:pos="4513"/>
          <w:tab w:val="right" w:pos="9026"/>
        </w:tabs>
        <w:spacing w:after="0" w:line="240" w:lineRule="auto"/>
        <w:rPr>
          <w:rFonts w:ascii="Georgia" w:eastAsia="Georgia" w:hAnsi="Georgia" w:cs="Georgia"/>
        </w:rPr>
      </w:pPr>
    </w:p>
    <w:p w14:paraId="2617954E" w14:textId="77777777" w:rsidR="005B3072" w:rsidRDefault="00A46913">
      <w:pPr>
        <w:spacing w:before="120" w:after="120" w:line="240" w:lineRule="auto"/>
        <w:jc w:val="center"/>
        <w:rPr>
          <w:rFonts w:ascii="Times New Roman" w:eastAsia="Times New Roman" w:hAnsi="Times New Roman" w:cs="Times New Roman"/>
          <w:sz w:val="24"/>
          <w:szCs w:val="24"/>
        </w:rPr>
      </w:pPr>
      <w:r>
        <w:rPr>
          <w:rFonts w:ascii="Sitka Text" w:eastAsia="Sitka Text" w:hAnsi="Sitka Text" w:cs="Sitka Text"/>
          <w:b/>
          <w:color w:val="1F4E79"/>
          <w:sz w:val="28"/>
          <w:szCs w:val="28"/>
        </w:rPr>
        <w:t>STRATEŠKI CILJ I</w:t>
      </w:r>
    </w:p>
    <w:p w14:paraId="71C7991D" w14:textId="77777777" w:rsidR="005B3072" w:rsidRDefault="00A46913">
      <w:pPr>
        <w:widowControl w:val="0"/>
        <w:tabs>
          <w:tab w:val="center" w:pos="4513"/>
          <w:tab w:val="right" w:pos="9026"/>
        </w:tabs>
        <w:spacing w:after="0" w:line="240" w:lineRule="auto"/>
        <w:jc w:val="center"/>
        <w:rPr>
          <w:rFonts w:ascii="Georgia" w:eastAsia="Georgia" w:hAnsi="Georgia" w:cs="Georgia"/>
        </w:rPr>
      </w:pPr>
      <w:r>
        <w:rPr>
          <w:rFonts w:ascii="Sitka Text" w:eastAsia="Sitka Text" w:hAnsi="Sitka Text" w:cs="Sitka Text"/>
          <w:b/>
          <w:color w:val="1F4E79"/>
          <w:sz w:val="28"/>
          <w:szCs w:val="28"/>
        </w:rPr>
        <w:t>UNAPREĐENJE KAPACITETA I SPOSOBNOSTI ZA DIGITALNU TRANSFORMACIJU CRNE GORE</w:t>
      </w:r>
    </w:p>
    <w:p w14:paraId="1149EE31" w14:textId="77777777" w:rsidR="005B3072" w:rsidRDefault="005B3072">
      <w:pPr>
        <w:widowControl w:val="0"/>
        <w:spacing w:after="0" w:line="240" w:lineRule="auto"/>
        <w:ind w:right="848"/>
        <w:jc w:val="center"/>
        <w:rPr>
          <w:rFonts w:ascii="Georgia" w:eastAsia="Georgia" w:hAnsi="Georgia" w:cs="Georgia"/>
          <w:color w:val="192F41"/>
          <w:sz w:val="18"/>
          <w:szCs w:val="18"/>
        </w:rPr>
      </w:pPr>
    </w:p>
    <w:tbl>
      <w:tblPr>
        <w:tblStyle w:val="af5"/>
        <w:tblW w:w="5000" w:type="pct"/>
        <w:tblLook w:val="0400" w:firstRow="0" w:lastRow="0" w:firstColumn="0" w:lastColumn="0" w:noHBand="0" w:noVBand="1"/>
      </w:tblPr>
      <w:tblGrid>
        <w:gridCol w:w="2205"/>
        <w:gridCol w:w="8255"/>
      </w:tblGrid>
      <w:tr w:rsidR="005B3072" w14:paraId="3F31D366" w14:textId="77777777" w:rsidTr="005E4CCE">
        <w:trPr>
          <w:trHeight w:val="1052"/>
        </w:trPr>
        <w:tc>
          <w:tcPr>
            <w:tcW w:w="1054"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5C437CA1"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1.1</w:t>
            </w:r>
          </w:p>
        </w:tc>
        <w:tc>
          <w:tcPr>
            <w:tcW w:w="3946"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24111A7C" w14:textId="77777777" w:rsidR="005B3072" w:rsidRDefault="00A46913">
            <w:pPr>
              <w:spacing w:before="40" w:after="40"/>
              <w:ind w:left="144" w:right="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Efikasna i efektivna koordinacija i praćenje digitalne transformacije</w:t>
            </w:r>
          </w:p>
        </w:tc>
      </w:tr>
    </w:tbl>
    <w:p w14:paraId="7587CD6A" w14:textId="77777777" w:rsidR="005B3072" w:rsidRDefault="005B3072">
      <w:pPr>
        <w:widowControl w:val="0"/>
        <w:spacing w:after="0" w:line="276" w:lineRule="auto"/>
        <w:rPr>
          <w:rFonts w:ascii="Times New Roman" w:eastAsia="Times New Roman" w:hAnsi="Times New Roman" w:cs="Times New Roman"/>
          <w:sz w:val="24"/>
          <w:szCs w:val="24"/>
        </w:rPr>
      </w:pPr>
    </w:p>
    <w:tbl>
      <w:tblPr>
        <w:tblStyle w:val="af6"/>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66"/>
        <w:gridCol w:w="958"/>
        <w:gridCol w:w="1929"/>
        <w:gridCol w:w="5607"/>
      </w:tblGrid>
      <w:tr w:rsidR="005B3072" w14:paraId="7653AE8C"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40" w:type="pct"/>
            <w:tcBorders>
              <w:top w:val="single" w:sz="4" w:space="0" w:color="000000"/>
              <w:left w:val="single" w:sz="4" w:space="0" w:color="000000"/>
            </w:tcBorders>
            <w:vAlign w:val="center"/>
          </w:tcPr>
          <w:p w14:paraId="75E041C8" w14:textId="77777777" w:rsidR="005B3072" w:rsidRDefault="00A46913">
            <w:pPr>
              <w:widowControl w:val="0"/>
              <w:jc w:val="center"/>
              <w:rPr>
                <w:sz w:val="18"/>
                <w:szCs w:val="18"/>
              </w:rPr>
            </w:pPr>
            <w:r>
              <w:rPr>
                <w:sz w:val="18"/>
                <w:szCs w:val="18"/>
              </w:rPr>
              <w:t>Kategorija</w:t>
            </w:r>
          </w:p>
        </w:tc>
        <w:tc>
          <w:tcPr>
            <w:tcW w:w="4060" w:type="pct"/>
            <w:gridSpan w:val="3"/>
            <w:tcBorders>
              <w:top w:val="single" w:sz="4" w:space="0" w:color="000000"/>
              <w:right w:val="single" w:sz="4" w:space="0" w:color="000000"/>
            </w:tcBorders>
            <w:vAlign w:val="center"/>
          </w:tcPr>
          <w:p w14:paraId="3748939D"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7CD53E70"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035C19C3" w14:textId="77777777" w:rsidR="005B3072" w:rsidRDefault="00A46913">
            <w:pPr>
              <w:widowControl w:val="0"/>
              <w:rPr>
                <w:sz w:val="18"/>
                <w:szCs w:val="18"/>
              </w:rPr>
            </w:pPr>
            <w:r>
              <w:rPr>
                <w:sz w:val="18"/>
                <w:szCs w:val="18"/>
              </w:rPr>
              <w:t>Naziv indikatora</w:t>
            </w:r>
          </w:p>
        </w:tc>
        <w:tc>
          <w:tcPr>
            <w:tcW w:w="4060" w:type="pct"/>
            <w:gridSpan w:val="3"/>
            <w:tcBorders>
              <w:right w:val="single" w:sz="4" w:space="0" w:color="000000"/>
            </w:tcBorders>
            <w:vAlign w:val="center"/>
          </w:tcPr>
          <w:p w14:paraId="7F550CB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18"/>
                <w:szCs w:val="18"/>
              </w:rPr>
              <w:t>Procenat prihvaćenih predloga od strane nacionalnog koordinacionog tijela, od ukupnog broja predloženih od strane sektorskih koordinacionih tijela</w:t>
            </w:r>
          </w:p>
        </w:tc>
      </w:tr>
      <w:tr w:rsidR="005B3072" w14:paraId="7EF18C90" w14:textId="77777777" w:rsidTr="005E4CCE">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1BC94201" w14:textId="77777777" w:rsidR="005B3072" w:rsidRDefault="00A46913">
            <w:pPr>
              <w:widowControl w:val="0"/>
              <w:rPr>
                <w:sz w:val="18"/>
                <w:szCs w:val="18"/>
              </w:rPr>
            </w:pPr>
            <w:r>
              <w:rPr>
                <w:sz w:val="18"/>
                <w:szCs w:val="18"/>
              </w:rPr>
              <w:t>Cilj na koji se indikator odnosi</w:t>
            </w:r>
          </w:p>
        </w:tc>
        <w:tc>
          <w:tcPr>
            <w:tcW w:w="4060" w:type="pct"/>
            <w:gridSpan w:val="3"/>
            <w:tcBorders>
              <w:right w:val="single" w:sz="4" w:space="0" w:color="000000"/>
            </w:tcBorders>
            <w:vAlign w:val="center"/>
          </w:tcPr>
          <w:p w14:paraId="12F5E8D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Ovim indikatorom želi se prikazati kontinuirano procentualno povećanje prihvaćenih predloga dostavljenih nacionalnom koordinacionom tijelu od strane sektorskih koordinacionih tijela u odnosu na ukupan broj predloženih inicijativa, a u cilju sveukupnog učešća biznis, akademske, civilne i IT zajednice u kreiranju politika u oblasti digitalne transformacije. Indikatorom će se mjeriti kvalitet koordinacije i usklađenosti.</w:t>
            </w:r>
          </w:p>
        </w:tc>
      </w:tr>
      <w:tr w:rsidR="005B3072" w14:paraId="23C48EB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13AA6D12" w14:textId="77777777" w:rsidR="005B3072" w:rsidRDefault="005B3072">
            <w:pPr>
              <w:widowControl w:val="0"/>
              <w:rPr>
                <w:sz w:val="18"/>
                <w:szCs w:val="18"/>
              </w:rPr>
            </w:pPr>
          </w:p>
          <w:p w14:paraId="0C270FA7" w14:textId="77777777" w:rsidR="005B3072" w:rsidRDefault="00A46913">
            <w:pPr>
              <w:widowControl w:val="0"/>
              <w:rPr>
                <w:sz w:val="18"/>
                <w:szCs w:val="18"/>
              </w:rPr>
            </w:pPr>
            <w:r>
              <w:rPr>
                <w:sz w:val="18"/>
                <w:szCs w:val="18"/>
              </w:rPr>
              <w:t>Podaci koje je potrebno prikupiti</w:t>
            </w:r>
          </w:p>
        </w:tc>
        <w:tc>
          <w:tcPr>
            <w:tcW w:w="4060" w:type="pct"/>
            <w:gridSpan w:val="3"/>
            <w:tcBorders>
              <w:right w:val="single" w:sz="4" w:space="0" w:color="000000"/>
            </w:tcBorders>
            <w:vAlign w:val="center"/>
          </w:tcPr>
          <w:p w14:paraId="5190316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Ukupan broj predloga od strane sektorskih koordinacionih tijela koji su upućeni Nacionalnom koordinacionom tijelu, i broj prihvaćenih predloga od strane Nacionalnog koordinacionog tijela</w:t>
            </w:r>
          </w:p>
        </w:tc>
      </w:tr>
      <w:tr w:rsidR="005B3072" w14:paraId="622300F0" w14:textId="77777777" w:rsidTr="005E4CCE">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46A4E3B1" w14:textId="77777777" w:rsidR="005B3072" w:rsidRDefault="00A46913">
            <w:pPr>
              <w:widowControl w:val="0"/>
              <w:rPr>
                <w:sz w:val="18"/>
                <w:szCs w:val="18"/>
              </w:rPr>
            </w:pPr>
            <w:r>
              <w:rPr>
                <w:sz w:val="18"/>
                <w:szCs w:val="18"/>
              </w:rPr>
              <w:t>Izvor podataka</w:t>
            </w:r>
          </w:p>
        </w:tc>
        <w:tc>
          <w:tcPr>
            <w:tcW w:w="4060" w:type="pct"/>
            <w:gridSpan w:val="3"/>
            <w:tcBorders>
              <w:right w:val="single" w:sz="4" w:space="0" w:color="000000"/>
            </w:tcBorders>
            <w:vAlign w:val="center"/>
          </w:tcPr>
          <w:p w14:paraId="3EBFE0E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Godišnji izvještaj Nacionalnog koordinacionog tijela</w:t>
            </w:r>
          </w:p>
        </w:tc>
      </w:tr>
      <w:tr w:rsidR="005B3072" w14:paraId="7E26B29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73E7D1EC" w14:textId="77777777" w:rsidR="005B3072" w:rsidRDefault="00A46913">
            <w:pPr>
              <w:widowControl w:val="0"/>
              <w:rPr>
                <w:sz w:val="18"/>
                <w:szCs w:val="18"/>
              </w:rPr>
            </w:pPr>
            <w:r>
              <w:rPr>
                <w:sz w:val="18"/>
                <w:szCs w:val="18"/>
              </w:rPr>
              <w:t>Informacija o instituciji odgovornoj za prikupljanje podataka</w:t>
            </w:r>
          </w:p>
        </w:tc>
        <w:tc>
          <w:tcPr>
            <w:tcW w:w="4060" w:type="pct"/>
            <w:gridSpan w:val="3"/>
            <w:tcBorders>
              <w:right w:val="single" w:sz="4" w:space="0" w:color="000000"/>
            </w:tcBorders>
            <w:vAlign w:val="center"/>
          </w:tcPr>
          <w:p w14:paraId="1F6D49A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Generalni sekretarijat Vlade CG</w:t>
            </w:r>
          </w:p>
          <w:p w14:paraId="3EAFCD3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p w14:paraId="79604AE9"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0BC766A3" w14:textId="77777777" w:rsidTr="005E4CCE">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2D9F5FD8" w14:textId="77777777" w:rsidR="005B3072" w:rsidRDefault="00A46913">
            <w:pPr>
              <w:widowControl w:val="0"/>
              <w:rPr>
                <w:sz w:val="18"/>
                <w:szCs w:val="18"/>
              </w:rPr>
            </w:pPr>
            <w:r>
              <w:rPr>
                <w:sz w:val="18"/>
                <w:szCs w:val="18"/>
              </w:rPr>
              <w:t>Učestalost prikupljanja podataka</w:t>
            </w:r>
          </w:p>
        </w:tc>
        <w:tc>
          <w:tcPr>
            <w:tcW w:w="4060" w:type="pct"/>
            <w:gridSpan w:val="3"/>
            <w:tcBorders>
              <w:right w:val="single" w:sz="4" w:space="0" w:color="000000"/>
            </w:tcBorders>
            <w:vAlign w:val="center"/>
          </w:tcPr>
          <w:p w14:paraId="562CB277"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 po potrebi i češće</w:t>
            </w:r>
          </w:p>
        </w:tc>
      </w:tr>
      <w:tr w:rsidR="005B3072" w14:paraId="6572BDC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7BB921CD" w14:textId="77777777" w:rsidR="005B3072" w:rsidRDefault="00A46913">
            <w:pPr>
              <w:widowControl w:val="0"/>
              <w:rPr>
                <w:sz w:val="18"/>
                <w:szCs w:val="18"/>
              </w:rPr>
            </w:pPr>
            <w:r>
              <w:rPr>
                <w:sz w:val="18"/>
                <w:szCs w:val="18"/>
              </w:rPr>
              <w:t>Učestalost izvještavanja o vrijednosti indikatora</w:t>
            </w:r>
          </w:p>
        </w:tc>
        <w:tc>
          <w:tcPr>
            <w:tcW w:w="4060" w:type="pct"/>
            <w:gridSpan w:val="3"/>
            <w:tcBorders>
              <w:right w:val="single" w:sz="4" w:space="0" w:color="000000"/>
            </w:tcBorders>
            <w:vAlign w:val="center"/>
          </w:tcPr>
          <w:p w14:paraId="0852A43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7547D770" w14:textId="77777777" w:rsidTr="005E4CCE">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7DE849EB" w14:textId="77777777" w:rsidR="005B3072" w:rsidRDefault="00A46913">
            <w:pPr>
              <w:widowControl w:val="0"/>
              <w:rPr>
                <w:sz w:val="18"/>
                <w:szCs w:val="18"/>
              </w:rPr>
            </w:pPr>
            <w:r>
              <w:rPr>
                <w:sz w:val="18"/>
                <w:szCs w:val="18"/>
              </w:rPr>
              <w:t>Kratak opis metodologije izračunavanja podataka</w:t>
            </w:r>
          </w:p>
        </w:tc>
        <w:tc>
          <w:tcPr>
            <w:tcW w:w="4060" w:type="pct"/>
            <w:gridSpan w:val="3"/>
            <w:tcBorders>
              <w:right w:val="single" w:sz="4" w:space="0" w:color="000000"/>
            </w:tcBorders>
            <w:vAlign w:val="center"/>
          </w:tcPr>
          <w:p w14:paraId="5368C48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Procenat prihvaćenih predloga od strane nacionalnog koordinacionog tijela, od ukupnog broja predloženih od strane sektorskih koordinacionih tijela = Broj prihvaćenih predloga od strane Nacionalnog koordinacionog tijela / Ukupan broj predloženih predloga od strane sektorskih koordinacionih tijela x 100</w:t>
            </w:r>
          </w:p>
        </w:tc>
      </w:tr>
      <w:tr w:rsidR="005B3072" w14:paraId="7FB1088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6020DB92" w14:textId="77777777" w:rsidR="005B3072" w:rsidRDefault="00A46913">
            <w:pPr>
              <w:widowControl w:val="0"/>
              <w:rPr>
                <w:sz w:val="18"/>
                <w:szCs w:val="18"/>
              </w:rPr>
            </w:pPr>
            <w:r>
              <w:rPr>
                <w:sz w:val="18"/>
                <w:szCs w:val="18"/>
              </w:rPr>
              <w:t xml:space="preserve">Kontakt osoba </w:t>
            </w:r>
            <w:r>
              <w:rPr>
                <w:b w:val="0"/>
                <w:sz w:val="18"/>
                <w:szCs w:val="18"/>
              </w:rPr>
              <w:t>ionalno koordinaciono tijelo,</w:t>
            </w:r>
          </w:p>
        </w:tc>
        <w:tc>
          <w:tcPr>
            <w:tcW w:w="4060" w:type="pct"/>
            <w:gridSpan w:val="3"/>
            <w:tcBorders>
              <w:right w:val="single" w:sz="4" w:space="0" w:color="000000"/>
            </w:tcBorders>
            <w:vAlign w:val="center"/>
          </w:tcPr>
          <w:p w14:paraId="679461D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Koordinaciono tijelo na društvenom nivou (Nacionalno koordinaciono tijelo)</w:t>
            </w:r>
          </w:p>
          <w:p w14:paraId="427AE50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medija/Direktorat za digitalizaciju i eServise</w:t>
            </w:r>
          </w:p>
        </w:tc>
      </w:tr>
      <w:tr w:rsidR="005B3072" w14:paraId="7FA7385D" w14:textId="77777777" w:rsidTr="005E4CCE">
        <w:tc>
          <w:tcPr>
            <w:cnfStyle w:val="001000000000" w:firstRow="0" w:lastRow="0" w:firstColumn="1" w:lastColumn="0" w:oddVBand="0" w:evenVBand="0" w:oddHBand="0" w:evenHBand="0" w:firstRowFirstColumn="0" w:firstRowLastColumn="0" w:lastRowFirstColumn="0" w:lastRowLastColumn="0"/>
            <w:tcW w:w="940" w:type="pct"/>
            <w:tcBorders>
              <w:left w:val="single" w:sz="4" w:space="0" w:color="000000"/>
            </w:tcBorders>
            <w:vAlign w:val="center"/>
          </w:tcPr>
          <w:p w14:paraId="45A1B5E1" w14:textId="77777777" w:rsidR="005B3072" w:rsidRDefault="00A46913">
            <w:pPr>
              <w:widowControl w:val="0"/>
              <w:rPr>
                <w:sz w:val="18"/>
                <w:szCs w:val="18"/>
              </w:rPr>
            </w:pPr>
            <w:r>
              <w:rPr>
                <w:sz w:val="18"/>
                <w:szCs w:val="18"/>
              </w:rPr>
              <w:t>e-mail</w:t>
            </w:r>
          </w:p>
        </w:tc>
        <w:tc>
          <w:tcPr>
            <w:tcW w:w="4060" w:type="pct"/>
            <w:gridSpan w:val="3"/>
            <w:tcBorders>
              <w:right w:val="single" w:sz="4" w:space="0" w:color="000000"/>
            </w:tcBorders>
            <w:vAlign w:val="center"/>
          </w:tcPr>
          <w:p w14:paraId="67CB5C77"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Kontak osoba će biti prepoznata nakon uspostavljanja tijela za koordinaciju</w:t>
            </w:r>
          </w:p>
        </w:tc>
      </w:tr>
      <w:tr w:rsidR="005B3072" w14:paraId="52A9BD4A"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vMerge w:val="restart"/>
            <w:tcBorders>
              <w:left w:val="single" w:sz="4" w:space="0" w:color="000000"/>
            </w:tcBorders>
            <w:vAlign w:val="center"/>
          </w:tcPr>
          <w:p w14:paraId="4D2A40A5" w14:textId="77777777" w:rsidR="005B3072" w:rsidRDefault="00A46913">
            <w:pPr>
              <w:widowControl w:val="0"/>
              <w:rPr>
                <w:sz w:val="18"/>
                <w:szCs w:val="18"/>
              </w:rPr>
            </w:pPr>
            <w:r>
              <w:rPr>
                <w:sz w:val="18"/>
                <w:szCs w:val="18"/>
              </w:rPr>
              <w:t>Informacija o trendu i početnoj vrijednosti</w:t>
            </w:r>
          </w:p>
        </w:tc>
        <w:tc>
          <w:tcPr>
            <w:tcW w:w="458" w:type="pct"/>
            <w:vAlign w:val="center"/>
          </w:tcPr>
          <w:p w14:paraId="68FED35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922" w:type="pct"/>
            <w:vAlign w:val="center"/>
          </w:tcPr>
          <w:p w14:paraId="12FE321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(2020.)</w:t>
            </w:r>
          </w:p>
        </w:tc>
        <w:tc>
          <w:tcPr>
            <w:tcW w:w="2680" w:type="pct"/>
            <w:tcBorders>
              <w:right w:val="single" w:sz="4" w:space="0" w:color="000000"/>
            </w:tcBorders>
            <w:vAlign w:val="center"/>
          </w:tcPr>
          <w:p w14:paraId="3CD5019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43D43746" w14:textId="77777777" w:rsidTr="005E4CCE">
        <w:tc>
          <w:tcPr>
            <w:cnfStyle w:val="001000000000" w:firstRow="0" w:lastRow="0" w:firstColumn="1" w:lastColumn="0" w:oddVBand="0" w:evenVBand="0" w:oddHBand="0" w:evenHBand="0" w:firstRowFirstColumn="0" w:firstRowLastColumn="0" w:lastRowFirstColumn="0" w:lastRowLastColumn="0"/>
            <w:tcW w:w="940" w:type="pct"/>
            <w:vMerge/>
            <w:tcBorders>
              <w:left w:val="single" w:sz="4" w:space="0" w:color="000000"/>
            </w:tcBorders>
            <w:vAlign w:val="center"/>
          </w:tcPr>
          <w:p w14:paraId="54CFA0C4" w14:textId="77777777" w:rsidR="005B3072" w:rsidRDefault="005B3072">
            <w:pPr>
              <w:widowControl w:val="0"/>
              <w:pBdr>
                <w:top w:val="nil"/>
                <w:left w:val="nil"/>
                <w:bottom w:val="nil"/>
                <w:right w:val="nil"/>
                <w:between w:val="nil"/>
              </w:pBdr>
              <w:spacing w:line="276" w:lineRule="auto"/>
              <w:rPr>
                <w:sz w:val="18"/>
                <w:szCs w:val="18"/>
              </w:rPr>
            </w:pPr>
          </w:p>
        </w:tc>
        <w:tc>
          <w:tcPr>
            <w:tcW w:w="458" w:type="pct"/>
            <w:vAlign w:val="center"/>
          </w:tcPr>
          <w:p w14:paraId="3C5753B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602" w:type="pct"/>
            <w:gridSpan w:val="2"/>
            <w:tcBorders>
              <w:right w:val="single" w:sz="4" w:space="0" w:color="000000"/>
            </w:tcBorders>
            <w:vAlign w:val="center"/>
          </w:tcPr>
          <w:p w14:paraId="7D33B5D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5B3072" w14:paraId="45FD9981"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 w:type="pct"/>
            <w:vMerge w:val="restart"/>
            <w:tcBorders>
              <w:left w:val="single" w:sz="4" w:space="0" w:color="000000"/>
            </w:tcBorders>
            <w:vAlign w:val="center"/>
          </w:tcPr>
          <w:p w14:paraId="3F595292" w14:textId="77777777" w:rsidR="005B3072" w:rsidRDefault="00A46913">
            <w:pPr>
              <w:widowControl w:val="0"/>
              <w:rPr>
                <w:sz w:val="18"/>
                <w:szCs w:val="18"/>
              </w:rPr>
            </w:pPr>
            <w:r>
              <w:rPr>
                <w:sz w:val="18"/>
                <w:szCs w:val="18"/>
              </w:rPr>
              <w:t>Informacija o ciljnim vrijednostima</w:t>
            </w:r>
          </w:p>
        </w:tc>
        <w:tc>
          <w:tcPr>
            <w:tcW w:w="458" w:type="pct"/>
            <w:vAlign w:val="center"/>
          </w:tcPr>
          <w:p w14:paraId="60C1723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922" w:type="pct"/>
            <w:tcBorders>
              <w:right w:val="single" w:sz="4" w:space="0" w:color="000000"/>
            </w:tcBorders>
            <w:vAlign w:val="center"/>
          </w:tcPr>
          <w:p w14:paraId="7847BD9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680" w:type="pct"/>
            <w:tcBorders>
              <w:left w:val="single" w:sz="4" w:space="0" w:color="000000"/>
              <w:right w:val="single" w:sz="4" w:space="0" w:color="000000"/>
            </w:tcBorders>
            <w:vAlign w:val="center"/>
          </w:tcPr>
          <w:p w14:paraId="7341FFC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555B81A3" w14:textId="77777777" w:rsidTr="005E4CCE">
        <w:tc>
          <w:tcPr>
            <w:cnfStyle w:val="001000000000" w:firstRow="0" w:lastRow="0" w:firstColumn="1" w:lastColumn="0" w:oddVBand="0" w:evenVBand="0" w:oddHBand="0" w:evenHBand="0" w:firstRowFirstColumn="0" w:firstRowLastColumn="0" w:lastRowFirstColumn="0" w:lastRowLastColumn="0"/>
            <w:tcW w:w="940" w:type="pct"/>
            <w:vMerge/>
            <w:tcBorders>
              <w:left w:val="single" w:sz="4" w:space="0" w:color="000000"/>
            </w:tcBorders>
            <w:vAlign w:val="center"/>
          </w:tcPr>
          <w:p w14:paraId="2CF6D696" w14:textId="77777777" w:rsidR="005B3072" w:rsidRDefault="005B3072">
            <w:pPr>
              <w:widowControl w:val="0"/>
              <w:pBdr>
                <w:top w:val="nil"/>
                <w:left w:val="nil"/>
                <w:bottom w:val="nil"/>
                <w:right w:val="nil"/>
                <w:between w:val="nil"/>
              </w:pBdr>
              <w:spacing w:line="276" w:lineRule="auto"/>
              <w:rPr>
                <w:sz w:val="18"/>
                <w:szCs w:val="18"/>
              </w:rPr>
            </w:pPr>
          </w:p>
        </w:tc>
        <w:tc>
          <w:tcPr>
            <w:tcW w:w="458" w:type="pct"/>
            <w:tcBorders>
              <w:bottom w:val="single" w:sz="4" w:space="0" w:color="000000"/>
            </w:tcBorders>
            <w:vAlign w:val="center"/>
          </w:tcPr>
          <w:p w14:paraId="1493017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922" w:type="pct"/>
            <w:tcBorders>
              <w:bottom w:val="single" w:sz="4" w:space="0" w:color="000000"/>
              <w:right w:val="single" w:sz="4" w:space="0" w:color="000000"/>
            </w:tcBorders>
            <w:vAlign w:val="center"/>
          </w:tcPr>
          <w:p w14:paraId="66AC55A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70 %</w:t>
            </w:r>
          </w:p>
        </w:tc>
        <w:tc>
          <w:tcPr>
            <w:tcW w:w="2680" w:type="pct"/>
            <w:tcBorders>
              <w:bottom w:val="single" w:sz="4" w:space="0" w:color="000000"/>
              <w:right w:val="single" w:sz="4" w:space="0" w:color="000000"/>
            </w:tcBorders>
            <w:vAlign w:val="center"/>
          </w:tcPr>
          <w:p w14:paraId="7C5EA136" w14:textId="77777777" w:rsidR="005B3072" w:rsidRDefault="00A46913">
            <w:pPr>
              <w:widowControl w:val="0"/>
              <w:ind w:left="13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r>
    </w:tbl>
    <w:p w14:paraId="32892F25" w14:textId="77777777" w:rsidR="005B3072" w:rsidRDefault="005B3072">
      <w:pPr>
        <w:widowControl w:val="0"/>
        <w:spacing w:after="0" w:line="240" w:lineRule="auto"/>
        <w:ind w:right="848"/>
        <w:jc w:val="both"/>
        <w:rPr>
          <w:rFonts w:ascii="Georgia" w:eastAsia="Georgia" w:hAnsi="Georgia" w:cs="Georgia"/>
          <w:color w:val="192F41"/>
          <w:sz w:val="18"/>
          <w:szCs w:val="18"/>
        </w:rPr>
      </w:pPr>
    </w:p>
    <w:p w14:paraId="53E26B9E" w14:textId="77777777" w:rsidR="005B3072" w:rsidRDefault="005B3072">
      <w:pPr>
        <w:widowControl w:val="0"/>
        <w:spacing w:after="0" w:line="240" w:lineRule="auto"/>
        <w:ind w:right="848"/>
        <w:jc w:val="both"/>
        <w:rPr>
          <w:rFonts w:ascii="Georgia" w:eastAsia="Georgia" w:hAnsi="Georgia" w:cs="Georgia"/>
          <w:color w:val="192F41"/>
          <w:sz w:val="18"/>
          <w:szCs w:val="18"/>
        </w:rPr>
      </w:pPr>
    </w:p>
    <w:p w14:paraId="304769AF" w14:textId="77777777" w:rsidR="005B3072" w:rsidRDefault="005B3072">
      <w:pPr>
        <w:widowControl w:val="0"/>
        <w:spacing w:after="0" w:line="240" w:lineRule="auto"/>
        <w:ind w:right="848"/>
        <w:jc w:val="both"/>
        <w:rPr>
          <w:rFonts w:ascii="Georgia" w:eastAsia="Georgia" w:hAnsi="Georgia" w:cs="Georgia"/>
          <w:color w:val="192F41"/>
          <w:sz w:val="18"/>
          <w:szCs w:val="18"/>
        </w:rPr>
      </w:pPr>
    </w:p>
    <w:tbl>
      <w:tblPr>
        <w:tblStyle w:val="af7"/>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65"/>
        <w:gridCol w:w="1416"/>
        <w:gridCol w:w="1659"/>
        <w:gridCol w:w="5420"/>
      </w:tblGrid>
      <w:tr w:rsidR="005B3072" w14:paraId="476F4C1E"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39" w:type="pct"/>
            <w:tcBorders>
              <w:top w:val="single" w:sz="4" w:space="0" w:color="000000"/>
              <w:left w:val="single" w:sz="4" w:space="0" w:color="000000"/>
            </w:tcBorders>
            <w:vAlign w:val="center"/>
          </w:tcPr>
          <w:p w14:paraId="3EAE3DE2" w14:textId="77777777" w:rsidR="005B3072" w:rsidRDefault="00A46913">
            <w:pPr>
              <w:widowControl w:val="0"/>
              <w:jc w:val="center"/>
              <w:rPr>
                <w:sz w:val="18"/>
                <w:szCs w:val="18"/>
              </w:rPr>
            </w:pPr>
            <w:r>
              <w:rPr>
                <w:sz w:val="18"/>
                <w:szCs w:val="18"/>
              </w:rPr>
              <w:t>Kategorija</w:t>
            </w:r>
          </w:p>
        </w:tc>
        <w:tc>
          <w:tcPr>
            <w:tcW w:w="4061" w:type="pct"/>
            <w:gridSpan w:val="3"/>
            <w:tcBorders>
              <w:top w:val="single" w:sz="4" w:space="0" w:color="000000"/>
              <w:right w:val="single" w:sz="4" w:space="0" w:color="000000"/>
            </w:tcBorders>
            <w:vAlign w:val="center"/>
          </w:tcPr>
          <w:p w14:paraId="3D88E2BD"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3D491B4F"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13C8047A" w14:textId="77777777" w:rsidR="005B3072" w:rsidRDefault="00A46913">
            <w:pPr>
              <w:widowControl w:val="0"/>
              <w:rPr>
                <w:sz w:val="18"/>
                <w:szCs w:val="18"/>
              </w:rPr>
            </w:pPr>
            <w:r>
              <w:rPr>
                <w:sz w:val="18"/>
                <w:szCs w:val="18"/>
              </w:rPr>
              <w:t>Naziv indikatora</w:t>
            </w:r>
          </w:p>
        </w:tc>
        <w:tc>
          <w:tcPr>
            <w:tcW w:w="4061" w:type="pct"/>
            <w:gridSpan w:val="3"/>
            <w:tcBorders>
              <w:right w:val="single" w:sz="4" w:space="0" w:color="000000"/>
            </w:tcBorders>
            <w:vAlign w:val="center"/>
          </w:tcPr>
          <w:p w14:paraId="7B606D2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18"/>
                <w:szCs w:val="18"/>
              </w:rPr>
              <w:t>Procenat usvojenih zaključaka od strane Vlade CG na osnovu preporuka nacionalnog koordinacionog tijela</w:t>
            </w:r>
          </w:p>
        </w:tc>
      </w:tr>
      <w:tr w:rsidR="005B3072" w14:paraId="2CD3A039" w14:textId="77777777" w:rsidTr="005E4CCE">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38A975F3" w14:textId="77777777" w:rsidR="005B3072" w:rsidRDefault="00A46913">
            <w:pPr>
              <w:widowControl w:val="0"/>
              <w:rPr>
                <w:sz w:val="18"/>
                <w:szCs w:val="18"/>
              </w:rPr>
            </w:pPr>
            <w:r>
              <w:rPr>
                <w:sz w:val="18"/>
                <w:szCs w:val="18"/>
              </w:rPr>
              <w:t>Cilj na koji se indikator odnosi</w:t>
            </w:r>
          </w:p>
        </w:tc>
        <w:tc>
          <w:tcPr>
            <w:tcW w:w="4061" w:type="pct"/>
            <w:gridSpan w:val="3"/>
            <w:tcBorders>
              <w:right w:val="single" w:sz="4" w:space="0" w:color="000000"/>
            </w:tcBorders>
            <w:vAlign w:val="center"/>
          </w:tcPr>
          <w:p w14:paraId="581EB35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Ovim indikatorom se želi pratiti procenat predloga i inicijativa Nacionalnog koordinacionog tijela iz oblasti digitalizacije koje je  Vlada Crne Gore usvojila.  Cilj je da se poveća kvalitet kao i procenat predloga koji se dostavljaju Nacionalnom koordinacionom tijelu kako bi se povećala efikasnost koordinacije u ovoj oblasti</w:t>
            </w:r>
          </w:p>
        </w:tc>
      </w:tr>
      <w:tr w:rsidR="005B3072" w14:paraId="1C52891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4DB66F57" w14:textId="77777777" w:rsidR="005B3072" w:rsidRDefault="005B3072">
            <w:pPr>
              <w:widowControl w:val="0"/>
              <w:rPr>
                <w:sz w:val="18"/>
                <w:szCs w:val="18"/>
              </w:rPr>
            </w:pPr>
          </w:p>
          <w:p w14:paraId="6ADA4521" w14:textId="77777777" w:rsidR="005B3072" w:rsidRDefault="00A46913">
            <w:pPr>
              <w:widowControl w:val="0"/>
              <w:rPr>
                <w:sz w:val="18"/>
                <w:szCs w:val="18"/>
              </w:rPr>
            </w:pPr>
            <w:r>
              <w:rPr>
                <w:sz w:val="18"/>
                <w:szCs w:val="18"/>
              </w:rPr>
              <w:t>Podaci koje je potrebno prikupiti</w:t>
            </w:r>
          </w:p>
        </w:tc>
        <w:tc>
          <w:tcPr>
            <w:tcW w:w="4061" w:type="pct"/>
            <w:gridSpan w:val="3"/>
            <w:tcBorders>
              <w:right w:val="single" w:sz="4" w:space="0" w:color="000000"/>
            </w:tcBorders>
            <w:vAlign w:val="center"/>
          </w:tcPr>
          <w:p w14:paraId="529AEBB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Broj upućenih preporuka ka Vladi Crne Gore od strane Nacionalnog koordinacionog tijela</w:t>
            </w:r>
          </w:p>
        </w:tc>
      </w:tr>
      <w:tr w:rsidR="005B3072" w14:paraId="71BBEE9C" w14:textId="77777777" w:rsidTr="005E4CCE">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25628350" w14:textId="77777777" w:rsidR="005B3072" w:rsidRDefault="00A46913">
            <w:pPr>
              <w:widowControl w:val="0"/>
              <w:rPr>
                <w:sz w:val="18"/>
                <w:szCs w:val="18"/>
              </w:rPr>
            </w:pPr>
            <w:r>
              <w:rPr>
                <w:sz w:val="18"/>
                <w:szCs w:val="18"/>
              </w:rPr>
              <w:t>Izvor podataka</w:t>
            </w:r>
          </w:p>
        </w:tc>
        <w:tc>
          <w:tcPr>
            <w:tcW w:w="4061" w:type="pct"/>
            <w:gridSpan w:val="3"/>
            <w:tcBorders>
              <w:right w:val="single" w:sz="4" w:space="0" w:color="000000"/>
            </w:tcBorders>
            <w:vAlign w:val="center"/>
          </w:tcPr>
          <w:p w14:paraId="4F5457D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Godišnji Izvještaj Nacionalnog koordinacionog tijela </w:t>
            </w:r>
          </w:p>
        </w:tc>
      </w:tr>
      <w:tr w:rsidR="005B3072" w14:paraId="7212EB6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51BDC664" w14:textId="77777777" w:rsidR="005B3072" w:rsidRDefault="00A46913">
            <w:pPr>
              <w:widowControl w:val="0"/>
              <w:rPr>
                <w:sz w:val="18"/>
                <w:szCs w:val="18"/>
              </w:rPr>
            </w:pPr>
            <w:r>
              <w:rPr>
                <w:sz w:val="18"/>
                <w:szCs w:val="18"/>
              </w:rPr>
              <w:t>Informacija o instituciji odgovornoj za prikupljanje podataka</w:t>
            </w:r>
          </w:p>
        </w:tc>
        <w:tc>
          <w:tcPr>
            <w:tcW w:w="4061" w:type="pct"/>
            <w:gridSpan w:val="3"/>
            <w:tcBorders>
              <w:right w:val="single" w:sz="4" w:space="0" w:color="000000"/>
            </w:tcBorders>
            <w:vAlign w:val="center"/>
          </w:tcPr>
          <w:p w14:paraId="7870BD9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Nacionalno koordinaciono tijelo</w:t>
            </w:r>
          </w:p>
          <w:p w14:paraId="182582A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tc>
      </w:tr>
      <w:tr w:rsidR="005B3072" w14:paraId="11828532" w14:textId="77777777" w:rsidTr="005E4CCE">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5ADDD656" w14:textId="77777777" w:rsidR="005B3072" w:rsidRDefault="00A46913">
            <w:pPr>
              <w:widowControl w:val="0"/>
              <w:rPr>
                <w:sz w:val="18"/>
                <w:szCs w:val="18"/>
              </w:rPr>
            </w:pPr>
            <w:r>
              <w:rPr>
                <w:sz w:val="18"/>
                <w:szCs w:val="18"/>
              </w:rPr>
              <w:t>Učestalost prikupljanja podataka</w:t>
            </w:r>
          </w:p>
        </w:tc>
        <w:tc>
          <w:tcPr>
            <w:tcW w:w="4061" w:type="pct"/>
            <w:gridSpan w:val="3"/>
            <w:tcBorders>
              <w:right w:val="single" w:sz="4" w:space="0" w:color="000000"/>
            </w:tcBorders>
            <w:vAlign w:val="center"/>
          </w:tcPr>
          <w:p w14:paraId="0B748E4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 po potrebi i češće</w:t>
            </w:r>
          </w:p>
        </w:tc>
      </w:tr>
      <w:tr w:rsidR="005B3072" w14:paraId="5DE99C4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573C955F" w14:textId="77777777" w:rsidR="005B3072" w:rsidRDefault="00A46913">
            <w:pPr>
              <w:widowControl w:val="0"/>
              <w:rPr>
                <w:sz w:val="18"/>
                <w:szCs w:val="18"/>
              </w:rPr>
            </w:pPr>
            <w:r>
              <w:rPr>
                <w:sz w:val="18"/>
                <w:szCs w:val="18"/>
              </w:rPr>
              <w:t>Učestalost izvještavanja o vrijednosti indikatora</w:t>
            </w:r>
          </w:p>
        </w:tc>
        <w:tc>
          <w:tcPr>
            <w:tcW w:w="4061" w:type="pct"/>
            <w:gridSpan w:val="3"/>
            <w:tcBorders>
              <w:right w:val="single" w:sz="4" w:space="0" w:color="000000"/>
            </w:tcBorders>
            <w:vAlign w:val="center"/>
          </w:tcPr>
          <w:p w14:paraId="4A3B3EE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33A6AD72" w14:textId="77777777" w:rsidTr="005E4CCE">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661E3B7E" w14:textId="77777777" w:rsidR="005B3072" w:rsidRDefault="00A46913">
            <w:pPr>
              <w:widowControl w:val="0"/>
              <w:rPr>
                <w:sz w:val="18"/>
                <w:szCs w:val="18"/>
              </w:rPr>
            </w:pPr>
            <w:r>
              <w:rPr>
                <w:sz w:val="18"/>
                <w:szCs w:val="18"/>
              </w:rPr>
              <w:t>Kratak opis metodologije izračunavanja podataka</w:t>
            </w:r>
          </w:p>
        </w:tc>
        <w:tc>
          <w:tcPr>
            <w:tcW w:w="4061" w:type="pct"/>
            <w:gridSpan w:val="3"/>
            <w:tcBorders>
              <w:right w:val="single" w:sz="4" w:space="0" w:color="000000"/>
            </w:tcBorders>
            <w:vAlign w:val="center"/>
          </w:tcPr>
          <w:p w14:paraId="30DD44D7"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Procenat usvojenih zaključaka od strane Vlade CG na osnovu preporuka nacionalnog koordinacionog tijela = Broj usvojenih predloga od strane Vlade Crne Gore / Ukupan broj upućenih preporuka od strane Nacionalnog koordinacionog tijela x 100</w:t>
            </w:r>
          </w:p>
        </w:tc>
      </w:tr>
      <w:tr w:rsidR="005B3072" w14:paraId="54ED2D9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1C58B0E1" w14:textId="77777777" w:rsidR="005B3072" w:rsidRDefault="00A46913">
            <w:pPr>
              <w:widowControl w:val="0"/>
              <w:rPr>
                <w:sz w:val="18"/>
                <w:szCs w:val="18"/>
              </w:rPr>
            </w:pPr>
            <w:r>
              <w:rPr>
                <w:sz w:val="18"/>
                <w:szCs w:val="18"/>
              </w:rPr>
              <w:t xml:space="preserve">Kontakt osoba </w:t>
            </w:r>
          </w:p>
        </w:tc>
        <w:tc>
          <w:tcPr>
            <w:tcW w:w="4061" w:type="pct"/>
            <w:gridSpan w:val="3"/>
            <w:tcBorders>
              <w:right w:val="single" w:sz="4" w:space="0" w:color="000000"/>
            </w:tcBorders>
            <w:vAlign w:val="center"/>
          </w:tcPr>
          <w:p w14:paraId="11865FA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Koordinaciono tijelo na društvenom nivou (Nacionalno koordinaciono tijelo)</w:t>
            </w:r>
          </w:p>
          <w:p w14:paraId="6B0FB70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medija/Direktorat za digitalizaciju i eServise</w:t>
            </w:r>
          </w:p>
        </w:tc>
      </w:tr>
      <w:tr w:rsidR="005B3072" w14:paraId="67AE3667" w14:textId="77777777" w:rsidTr="005E4CCE">
        <w:tc>
          <w:tcPr>
            <w:cnfStyle w:val="001000000000" w:firstRow="0" w:lastRow="0" w:firstColumn="1" w:lastColumn="0" w:oddVBand="0" w:evenVBand="0" w:oddHBand="0" w:evenHBand="0" w:firstRowFirstColumn="0" w:firstRowLastColumn="0" w:lastRowFirstColumn="0" w:lastRowLastColumn="0"/>
            <w:tcW w:w="939" w:type="pct"/>
            <w:tcBorders>
              <w:left w:val="single" w:sz="4" w:space="0" w:color="000000"/>
            </w:tcBorders>
            <w:vAlign w:val="center"/>
          </w:tcPr>
          <w:p w14:paraId="29FB77A4" w14:textId="77777777" w:rsidR="005B3072" w:rsidRDefault="00A46913">
            <w:pPr>
              <w:widowControl w:val="0"/>
              <w:rPr>
                <w:sz w:val="18"/>
                <w:szCs w:val="18"/>
              </w:rPr>
            </w:pPr>
            <w:r>
              <w:rPr>
                <w:sz w:val="18"/>
                <w:szCs w:val="18"/>
              </w:rPr>
              <w:t>e-mail</w:t>
            </w:r>
          </w:p>
        </w:tc>
        <w:tc>
          <w:tcPr>
            <w:tcW w:w="4061" w:type="pct"/>
            <w:gridSpan w:val="3"/>
            <w:tcBorders>
              <w:right w:val="single" w:sz="4" w:space="0" w:color="000000"/>
            </w:tcBorders>
            <w:vAlign w:val="center"/>
          </w:tcPr>
          <w:p w14:paraId="2F298A5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Kontak osoba će biti prepoznata nakon uspostavljanja tijela za koordinaciju</w:t>
            </w:r>
          </w:p>
        </w:tc>
      </w:tr>
      <w:tr w:rsidR="005B3072" w14:paraId="17D72C8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vMerge w:val="restart"/>
            <w:tcBorders>
              <w:left w:val="single" w:sz="4" w:space="0" w:color="000000"/>
            </w:tcBorders>
            <w:vAlign w:val="center"/>
          </w:tcPr>
          <w:p w14:paraId="2169E9BB" w14:textId="77777777" w:rsidR="005B3072" w:rsidRDefault="00A46913">
            <w:pPr>
              <w:widowControl w:val="0"/>
              <w:rPr>
                <w:sz w:val="18"/>
                <w:szCs w:val="18"/>
              </w:rPr>
            </w:pPr>
            <w:r>
              <w:rPr>
                <w:sz w:val="18"/>
                <w:szCs w:val="18"/>
              </w:rPr>
              <w:t>Informacija o trendu i početnoj vrijednosti</w:t>
            </w:r>
          </w:p>
        </w:tc>
        <w:tc>
          <w:tcPr>
            <w:tcW w:w="677" w:type="pct"/>
            <w:vAlign w:val="center"/>
          </w:tcPr>
          <w:p w14:paraId="77387C6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93" w:type="pct"/>
            <w:vAlign w:val="center"/>
          </w:tcPr>
          <w:p w14:paraId="4D08801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(2020.)</w:t>
            </w:r>
          </w:p>
        </w:tc>
        <w:tc>
          <w:tcPr>
            <w:tcW w:w="2591" w:type="pct"/>
            <w:tcBorders>
              <w:right w:val="single" w:sz="4" w:space="0" w:color="000000"/>
            </w:tcBorders>
            <w:vAlign w:val="center"/>
          </w:tcPr>
          <w:p w14:paraId="5A26A6B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657D0A12" w14:textId="77777777" w:rsidTr="005E4CCE">
        <w:tc>
          <w:tcPr>
            <w:cnfStyle w:val="001000000000" w:firstRow="0" w:lastRow="0" w:firstColumn="1" w:lastColumn="0" w:oddVBand="0" w:evenVBand="0" w:oddHBand="0" w:evenHBand="0" w:firstRowFirstColumn="0" w:firstRowLastColumn="0" w:lastRowFirstColumn="0" w:lastRowLastColumn="0"/>
            <w:tcW w:w="939" w:type="pct"/>
            <w:vMerge/>
            <w:tcBorders>
              <w:left w:val="single" w:sz="4" w:space="0" w:color="000000"/>
            </w:tcBorders>
            <w:vAlign w:val="center"/>
          </w:tcPr>
          <w:p w14:paraId="34D2F8CD" w14:textId="77777777" w:rsidR="005B3072" w:rsidRDefault="005B3072">
            <w:pPr>
              <w:widowControl w:val="0"/>
              <w:pBdr>
                <w:top w:val="nil"/>
                <w:left w:val="nil"/>
                <w:bottom w:val="nil"/>
                <w:right w:val="nil"/>
                <w:between w:val="nil"/>
              </w:pBdr>
              <w:spacing w:line="276" w:lineRule="auto"/>
              <w:rPr>
                <w:sz w:val="18"/>
                <w:szCs w:val="18"/>
              </w:rPr>
            </w:pPr>
          </w:p>
        </w:tc>
        <w:tc>
          <w:tcPr>
            <w:tcW w:w="677" w:type="pct"/>
            <w:vAlign w:val="center"/>
          </w:tcPr>
          <w:p w14:paraId="1C9FA33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384" w:type="pct"/>
            <w:gridSpan w:val="2"/>
            <w:tcBorders>
              <w:right w:val="single" w:sz="4" w:space="0" w:color="000000"/>
            </w:tcBorders>
            <w:vAlign w:val="center"/>
          </w:tcPr>
          <w:p w14:paraId="33447D0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5B3072" w14:paraId="15C6AA47"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vMerge w:val="restart"/>
            <w:tcBorders>
              <w:left w:val="single" w:sz="4" w:space="0" w:color="000000"/>
            </w:tcBorders>
            <w:vAlign w:val="center"/>
          </w:tcPr>
          <w:p w14:paraId="08F84BE7" w14:textId="77777777" w:rsidR="005B3072" w:rsidRDefault="00A46913">
            <w:pPr>
              <w:widowControl w:val="0"/>
              <w:rPr>
                <w:sz w:val="18"/>
                <w:szCs w:val="18"/>
              </w:rPr>
            </w:pPr>
            <w:r>
              <w:rPr>
                <w:sz w:val="18"/>
                <w:szCs w:val="18"/>
              </w:rPr>
              <w:t>Informacija o ciljnim vrijednostima</w:t>
            </w:r>
          </w:p>
        </w:tc>
        <w:tc>
          <w:tcPr>
            <w:tcW w:w="677" w:type="pct"/>
            <w:vAlign w:val="center"/>
          </w:tcPr>
          <w:p w14:paraId="38849DF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93" w:type="pct"/>
            <w:tcBorders>
              <w:right w:val="single" w:sz="4" w:space="0" w:color="000000"/>
            </w:tcBorders>
            <w:vAlign w:val="center"/>
          </w:tcPr>
          <w:p w14:paraId="52AC8CF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591" w:type="pct"/>
            <w:tcBorders>
              <w:left w:val="single" w:sz="4" w:space="0" w:color="000000"/>
              <w:right w:val="single" w:sz="4" w:space="0" w:color="000000"/>
            </w:tcBorders>
            <w:vAlign w:val="center"/>
          </w:tcPr>
          <w:p w14:paraId="40A85B6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7CC3539A" w14:textId="77777777" w:rsidTr="005E4CCE">
        <w:tc>
          <w:tcPr>
            <w:cnfStyle w:val="001000000000" w:firstRow="0" w:lastRow="0" w:firstColumn="1" w:lastColumn="0" w:oddVBand="0" w:evenVBand="0" w:oddHBand="0" w:evenHBand="0" w:firstRowFirstColumn="0" w:firstRowLastColumn="0" w:lastRowFirstColumn="0" w:lastRowLastColumn="0"/>
            <w:tcW w:w="939" w:type="pct"/>
            <w:vMerge/>
            <w:tcBorders>
              <w:left w:val="single" w:sz="4" w:space="0" w:color="000000"/>
            </w:tcBorders>
            <w:vAlign w:val="center"/>
          </w:tcPr>
          <w:p w14:paraId="017F19F2" w14:textId="77777777" w:rsidR="005B3072" w:rsidRDefault="005B3072">
            <w:pPr>
              <w:widowControl w:val="0"/>
              <w:pBdr>
                <w:top w:val="nil"/>
                <w:left w:val="nil"/>
                <w:bottom w:val="nil"/>
                <w:right w:val="nil"/>
                <w:between w:val="nil"/>
              </w:pBdr>
              <w:spacing w:line="276" w:lineRule="auto"/>
              <w:rPr>
                <w:sz w:val="18"/>
                <w:szCs w:val="18"/>
              </w:rPr>
            </w:pPr>
          </w:p>
        </w:tc>
        <w:tc>
          <w:tcPr>
            <w:tcW w:w="677" w:type="pct"/>
            <w:tcBorders>
              <w:bottom w:val="single" w:sz="4" w:space="0" w:color="000000"/>
            </w:tcBorders>
            <w:vAlign w:val="center"/>
          </w:tcPr>
          <w:p w14:paraId="04131C9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793" w:type="pct"/>
            <w:tcBorders>
              <w:bottom w:val="single" w:sz="4" w:space="0" w:color="000000"/>
              <w:right w:val="single" w:sz="4" w:space="0" w:color="000000"/>
            </w:tcBorders>
            <w:vAlign w:val="center"/>
          </w:tcPr>
          <w:p w14:paraId="6C3C0E1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p>
        </w:tc>
        <w:tc>
          <w:tcPr>
            <w:tcW w:w="2591" w:type="pct"/>
            <w:tcBorders>
              <w:bottom w:val="single" w:sz="4" w:space="0" w:color="000000"/>
              <w:right w:val="single" w:sz="4" w:space="0" w:color="000000"/>
            </w:tcBorders>
            <w:vAlign w:val="center"/>
          </w:tcPr>
          <w:p w14:paraId="56F47F45" w14:textId="77777777" w:rsidR="005B3072" w:rsidRDefault="00A46913">
            <w:pPr>
              <w:widowControl w:val="0"/>
              <w:ind w:left="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100%</w:t>
            </w:r>
          </w:p>
        </w:tc>
      </w:tr>
    </w:tbl>
    <w:p w14:paraId="6C6B3D78" w14:textId="77777777" w:rsidR="005B3072" w:rsidRDefault="005B3072">
      <w:pPr>
        <w:widowControl w:val="0"/>
        <w:spacing w:after="0" w:line="240" w:lineRule="auto"/>
        <w:ind w:right="848"/>
        <w:jc w:val="both"/>
        <w:rPr>
          <w:rFonts w:ascii="Georgia" w:eastAsia="Georgia" w:hAnsi="Georgia" w:cs="Georgia"/>
          <w:color w:val="192F41"/>
          <w:sz w:val="18"/>
          <w:szCs w:val="18"/>
        </w:rPr>
      </w:pPr>
    </w:p>
    <w:p w14:paraId="69220E9D" w14:textId="77777777" w:rsidR="005B3072" w:rsidRDefault="005B3072">
      <w:pPr>
        <w:widowControl w:val="0"/>
        <w:spacing w:after="0" w:line="240" w:lineRule="auto"/>
        <w:ind w:right="848"/>
        <w:jc w:val="both"/>
        <w:rPr>
          <w:rFonts w:ascii="Georgia" w:eastAsia="Georgia" w:hAnsi="Georgia" w:cs="Georgia"/>
          <w:color w:val="192F41"/>
          <w:sz w:val="18"/>
          <w:szCs w:val="18"/>
        </w:rPr>
      </w:pPr>
      <w:bookmarkStart w:id="78" w:name="_4h042r0" w:colFirst="0" w:colLast="0"/>
      <w:bookmarkEnd w:id="78"/>
    </w:p>
    <w:p w14:paraId="5A979E23" w14:textId="77777777" w:rsidR="005B3072" w:rsidRDefault="005B3072">
      <w:pPr>
        <w:widowControl w:val="0"/>
        <w:spacing w:after="0" w:line="240" w:lineRule="auto"/>
        <w:ind w:right="848"/>
        <w:jc w:val="both"/>
        <w:rPr>
          <w:rFonts w:ascii="Georgia" w:eastAsia="Georgia" w:hAnsi="Georgia" w:cs="Georgia"/>
          <w:color w:val="192F41"/>
          <w:sz w:val="18"/>
          <w:szCs w:val="18"/>
        </w:rPr>
      </w:pPr>
    </w:p>
    <w:tbl>
      <w:tblPr>
        <w:tblStyle w:val="af8"/>
        <w:tblW w:w="5000" w:type="pct"/>
        <w:tblLook w:val="0400" w:firstRow="0" w:lastRow="0" w:firstColumn="0" w:lastColumn="0" w:noHBand="0" w:noVBand="1"/>
      </w:tblPr>
      <w:tblGrid>
        <w:gridCol w:w="2245"/>
        <w:gridCol w:w="8215"/>
      </w:tblGrid>
      <w:tr w:rsidR="005B3072" w14:paraId="2AD5B83A" w14:textId="77777777" w:rsidTr="005E4CCE">
        <w:trPr>
          <w:trHeight w:val="1007"/>
        </w:trPr>
        <w:tc>
          <w:tcPr>
            <w:tcW w:w="1073"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059A7D49"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1.2</w:t>
            </w:r>
          </w:p>
        </w:tc>
        <w:tc>
          <w:tcPr>
            <w:tcW w:w="3927"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12C50176" w14:textId="77777777" w:rsidR="005B3072" w:rsidRDefault="00A46913">
            <w:pPr>
              <w:spacing w:before="40" w:after="40"/>
              <w:ind w:left="144" w:right="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Poboljšanje dostupnosti podataka,  interoperabilnosti i upravljanje podacima</w:t>
            </w:r>
          </w:p>
        </w:tc>
      </w:tr>
    </w:tbl>
    <w:p w14:paraId="640950ED" w14:textId="77777777" w:rsidR="005B3072" w:rsidRDefault="005B3072">
      <w:pPr>
        <w:widowControl w:val="0"/>
        <w:spacing w:after="0" w:line="240" w:lineRule="auto"/>
        <w:ind w:right="848"/>
        <w:jc w:val="both"/>
        <w:rPr>
          <w:rFonts w:ascii="Georgia" w:eastAsia="Georgia" w:hAnsi="Georgia" w:cs="Georgia"/>
          <w:color w:val="192F41"/>
          <w:sz w:val="18"/>
          <w:szCs w:val="18"/>
        </w:rPr>
      </w:pPr>
    </w:p>
    <w:tbl>
      <w:tblPr>
        <w:tblStyle w:val="af9"/>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41"/>
        <w:gridCol w:w="1151"/>
        <w:gridCol w:w="1322"/>
        <w:gridCol w:w="6046"/>
      </w:tblGrid>
      <w:tr w:rsidR="005B3072" w14:paraId="7A22017C"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28" w:type="pct"/>
            <w:tcBorders>
              <w:top w:val="single" w:sz="4" w:space="0" w:color="000000"/>
              <w:left w:val="single" w:sz="4" w:space="0" w:color="000000"/>
            </w:tcBorders>
            <w:vAlign w:val="center"/>
          </w:tcPr>
          <w:p w14:paraId="5472755B" w14:textId="77777777" w:rsidR="005B3072" w:rsidRDefault="00A46913">
            <w:pPr>
              <w:widowControl w:val="0"/>
              <w:jc w:val="center"/>
              <w:rPr>
                <w:sz w:val="18"/>
                <w:szCs w:val="18"/>
              </w:rPr>
            </w:pPr>
            <w:r>
              <w:rPr>
                <w:sz w:val="18"/>
                <w:szCs w:val="18"/>
              </w:rPr>
              <w:t>Kategorija</w:t>
            </w:r>
          </w:p>
        </w:tc>
        <w:tc>
          <w:tcPr>
            <w:tcW w:w="4072" w:type="pct"/>
            <w:gridSpan w:val="3"/>
            <w:tcBorders>
              <w:top w:val="single" w:sz="4" w:space="0" w:color="000000"/>
              <w:right w:val="single" w:sz="4" w:space="0" w:color="000000"/>
            </w:tcBorders>
            <w:vAlign w:val="center"/>
          </w:tcPr>
          <w:p w14:paraId="460CF50E"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3CB6BBCD"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059FE55E" w14:textId="77777777" w:rsidR="005B3072" w:rsidRDefault="00A46913">
            <w:pPr>
              <w:widowControl w:val="0"/>
              <w:rPr>
                <w:sz w:val="18"/>
                <w:szCs w:val="18"/>
              </w:rPr>
            </w:pPr>
            <w:r>
              <w:rPr>
                <w:sz w:val="18"/>
                <w:szCs w:val="18"/>
              </w:rPr>
              <w:t>Naziv indikatora</w:t>
            </w:r>
          </w:p>
        </w:tc>
        <w:tc>
          <w:tcPr>
            <w:tcW w:w="4072" w:type="pct"/>
            <w:gridSpan w:val="3"/>
            <w:tcBorders>
              <w:right w:val="single" w:sz="4" w:space="0" w:color="000000"/>
            </w:tcBorders>
            <w:vAlign w:val="center"/>
          </w:tcPr>
          <w:p w14:paraId="622EE93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Broj institucija koje objavljuju podatke na Portalu otvorenih podataka</w:t>
            </w:r>
          </w:p>
        </w:tc>
      </w:tr>
      <w:tr w:rsidR="005B3072" w14:paraId="51C21DB7" w14:textId="77777777" w:rsidTr="005E4CCE">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494F7DDD" w14:textId="77777777" w:rsidR="005B3072" w:rsidRDefault="00A46913">
            <w:pPr>
              <w:widowControl w:val="0"/>
              <w:rPr>
                <w:sz w:val="18"/>
                <w:szCs w:val="18"/>
              </w:rPr>
            </w:pPr>
            <w:r>
              <w:rPr>
                <w:sz w:val="18"/>
                <w:szCs w:val="18"/>
              </w:rPr>
              <w:t>Cilj na koji se indikator odnosi</w:t>
            </w:r>
          </w:p>
        </w:tc>
        <w:tc>
          <w:tcPr>
            <w:tcW w:w="4072" w:type="pct"/>
            <w:gridSpan w:val="3"/>
            <w:tcBorders>
              <w:right w:val="single" w:sz="4" w:space="0" w:color="000000"/>
            </w:tcBorders>
            <w:vAlign w:val="center"/>
          </w:tcPr>
          <w:p w14:paraId="099C71B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 cilju promovisanja mogućnosti upotrebe otvorenih podataka i novih rješenja koja koriste otvorene podatke povećaće se broj institucija koje objavljuju podatke na Portalu otvorenih podataka (data.gov.me).</w:t>
            </w:r>
          </w:p>
        </w:tc>
      </w:tr>
      <w:tr w:rsidR="005B3072" w14:paraId="3E7D21F4"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1EFAD8D6" w14:textId="77777777" w:rsidR="005B3072" w:rsidRDefault="005B3072">
            <w:pPr>
              <w:widowControl w:val="0"/>
              <w:rPr>
                <w:sz w:val="18"/>
                <w:szCs w:val="18"/>
              </w:rPr>
            </w:pPr>
          </w:p>
          <w:p w14:paraId="185D5E0A" w14:textId="77777777" w:rsidR="005B3072" w:rsidRDefault="00A46913">
            <w:pPr>
              <w:widowControl w:val="0"/>
              <w:rPr>
                <w:sz w:val="18"/>
                <w:szCs w:val="18"/>
              </w:rPr>
            </w:pPr>
            <w:r>
              <w:rPr>
                <w:sz w:val="18"/>
                <w:szCs w:val="18"/>
              </w:rPr>
              <w:t>Podaci koje je potrebno prikupiti</w:t>
            </w:r>
          </w:p>
        </w:tc>
        <w:tc>
          <w:tcPr>
            <w:tcW w:w="4072" w:type="pct"/>
            <w:gridSpan w:val="3"/>
            <w:tcBorders>
              <w:right w:val="single" w:sz="4" w:space="0" w:color="000000"/>
            </w:tcBorders>
            <w:vAlign w:val="center"/>
          </w:tcPr>
          <w:p w14:paraId="50ED665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rFonts w:ascii="Georgia" w:eastAsia="Georgia" w:hAnsi="Georgia" w:cs="Georgia"/>
              </w:rPr>
            </w:pPr>
            <w:r>
              <w:rPr>
                <w:sz w:val="18"/>
                <w:szCs w:val="18"/>
              </w:rPr>
              <w:t>Broj institucija koje objavljuju podatke na Portalu otvorenih podataka (data.gov.me)</w:t>
            </w:r>
          </w:p>
        </w:tc>
      </w:tr>
      <w:tr w:rsidR="005B3072" w14:paraId="17A93ADF" w14:textId="77777777" w:rsidTr="005E4CCE">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618C6681" w14:textId="77777777" w:rsidR="005B3072" w:rsidRDefault="00A46913">
            <w:pPr>
              <w:widowControl w:val="0"/>
              <w:rPr>
                <w:sz w:val="18"/>
                <w:szCs w:val="18"/>
              </w:rPr>
            </w:pPr>
            <w:r>
              <w:rPr>
                <w:sz w:val="18"/>
                <w:szCs w:val="18"/>
              </w:rPr>
              <w:t>Izvor podataka</w:t>
            </w:r>
          </w:p>
        </w:tc>
        <w:tc>
          <w:tcPr>
            <w:tcW w:w="4072" w:type="pct"/>
            <w:gridSpan w:val="3"/>
            <w:tcBorders>
              <w:right w:val="single" w:sz="4" w:space="0" w:color="000000"/>
            </w:tcBorders>
            <w:vAlign w:val="center"/>
          </w:tcPr>
          <w:p w14:paraId="62454D0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Portal Otvorenih podataka - www.data.gov.me</w:t>
            </w:r>
          </w:p>
        </w:tc>
      </w:tr>
      <w:tr w:rsidR="005B3072" w14:paraId="60B2F56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5244465E" w14:textId="77777777" w:rsidR="005B3072" w:rsidRDefault="00A46913">
            <w:pPr>
              <w:widowControl w:val="0"/>
              <w:rPr>
                <w:sz w:val="18"/>
                <w:szCs w:val="18"/>
              </w:rPr>
            </w:pPr>
            <w:r>
              <w:rPr>
                <w:sz w:val="18"/>
                <w:szCs w:val="18"/>
              </w:rPr>
              <w:t>Informacija o instituciji odgovornoj za prikupljanje podataka</w:t>
            </w:r>
          </w:p>
        </w:tc>
        <w:tc>
          <w:tcPr>
            <w:tcW w:w="4072" w:type="pct"/>
            <w:gridSpan w:val="3"/>
            <w:tcBorders>
              <w:right w:val="single" w:sz="4" w:space="0" w:color="000000"/>
            </w:tcBorders>
            <w:vAlign w:val="center"/>
          </w:tcPr>
          <w:p w14:paraId="204C575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p w14:paraId="2BBEB01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Direktorat za digitalizaciju i eServise</w:t>
            </w:r>
          </w:p>
          <w:p w14:paraId="4D76514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highlight w:val="white"/>
              </w:rPr>
            </w:pPr>
            <w:r>
              <w:rPr>
                <w:sz w:val="18"/>
                <w:szCs w:val="18"/>
              </w:rPr>
              <w:t>Direktorat za inovacije, inkluzivnost i otvorenost javne uprave</w:t>
            </w:r>
          </w:p>
          <w:p w14:paraId="4F17D77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Tel: (+382) 20 482 131 </w:t>
            </w:r>
          </w:p>
        </w:tc>
      </w:tr>
      <w:tr w:rsidR="005B3072" w14:paraId="7C41D800" w14:textId="77777777" w:rsidTr="005E4CCE">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4C7D818E" w14:textId="77777777" w:rsidR="005B3072" w:rsidRDefault="00A46913">
            <w:pPr>
              <w:widowControl w:val="0"/>
              <w:rPr>
                <w:sz w:val="18"/>
                <w:szCs w:val="18"/>
              </w:rPr>
            </w:pPr>
            <w:r>
              <w:rPr>
                <w:sz w:val="18"/>
                <w:szCs w:val="18"/>
              </w:rPr>
              <w:t>Učestalost prikupljanja podataka</w:t>
            </w:r>
          </w:p>
        </w:tc>
        <w:tc>
          <w:tcPr>
            <w:tcW w:w="4072" w:type="pct"/>
            <w:gridSpan w:val="3"/>
            <w:tcBorders>
              <w:right w:val="single" w:sz="4" w:space="0" w:color="000000"/>
            </w:tcBorders>
            <w:vAlign w:val="center"/>
          </w:tcPr>
          <w:p w14:paraId="05DFF83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 po potrebi i češće</w:t>
            </w:r>
          </w:p>
        </w:tc>
      </w:tr>
      <w:tr w:rsidR="005B3072" w14:paraId="2190CCC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05087489" w14:textId="77777777" w:rsidR="005B3072" w:rsidRDefault="00A46913">
            <w:pPr>
              <w:widowControl w:val="0"/>
              <w:rPr>
                <w:sz w:val="18"/>
                <w:szCs w:val="18"/>
              </w:rPr>
            </w:pPr>
            <w:r>
              <w:rPr>
                <w:sz w:val="18"/>
                <w:szCs w:val="18"/>
              </w:rPr>
              <w:t>Učestalost izvještavanja o vrijednosti indikatora</w:t>
            </w:r>
          </w:p>
        </w:tc>
        <w:tc>
          <w:tcPr>
            <w:tcW w:w="4072" w:type="pct"/>
            <w:gridSpan w:val="3"/>
            <w:tcBorders>
              <w:right w:val="single" w:sz="4" w:space="0" w:color="000000"/>
            </w:tcBorders>
            <w:vAlign w:val="center"/>
          </w:tcPr>
          <w:p w14:paraId="306B5B0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57804D77" w14:textId="77777777" w:rsidTr="005E4CCE">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4B0DAE76" w14:textId="77777777" w:rsidR="005B3072" w:rsidRDefault="00A46913">
            <w:pPr>
              <w:widowControl w:val="0"/>
              <w:rPr>
                <w:sz w:val="18"/>
                <w:szCs w:val="18"/>
              </w:rPr>
            </w:pPr>
            <w:r>
              <w:rPr>
                <w:sz w:val="18"/>
                <w:szCs w:val="18"/>
              </w:rPr>
              <w:t>Kratak opis metodologije izračunavanja podataka</w:t>
            </w:r>
          </w:p>
        </w:tc>
        <w:tc>
          <w:tcPr>
            <w:tcW w:w="4072" w:type="pct"/>
            <w:gridSpan w:val="3"/>
            <w:tcBorders>
              <w:right w:val="single" w:sz="4" w:space="0" w:color="000000"/>
            </w:tcBorders>
            <w:vAlign w:val="center"/>
          </w:tcPr>
          <w:p w14:paraId="66EAC47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institucija koje objavljuju podatke na portalu otvorenih podataka</w:t>
            </w:r>
          </w:p>
        </w:tc>
      </w:tr>
      <w:tr w:rsidR="005B3072" w14:paraId="63866E3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7028C391" w14:textId="77777777" w:rsidR="005B3072" w:rsidRDefault="00A46913">
            <w:pPr>
              <w:widowControl w:val="0"/>
              <w:rPr>
                <w:sz w:val="18"/>
                <w:szCs w:val="18"/>
              </w:rPr>
            </w:pPr>
            <w:r>
              <w:rPr>
                <w:sz w:val="18"/>
                <w:szCs w:val="18"/>
              </w:rPr>
              <w:t xml:space="preserve">Kontakt osoba </w:t>
            </w:r>
          </w:p>
        </w:tc>
        <w:tc>
          <w:tcPr>
            <w:tcW w:w="4072" w:type="pct"/>
            <w:gridSpan w:val="3"/>
            <w:tcBorders>
              <w:right w:val="single" w:sz="4" w:space="0" w:color="000000"/>
            </w:tcBorders>
            <w:vAlign w:val="center"/>
          </w:tcPr>
          <w:p w14:paraId="66E37CB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Daliborka Spaić</w:t>
            </w:r>
          </w:p>
          <w:p w14:paraId="40359AF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Marija Janković</w:t>
            </w:r>
          </w:p>
        </w:tc>
      </w:tr>
      <w:tr w:rsidR="005B3072" w14:paraId="6802AE91" w14:textId="77777777" w:rsidTr="005E4CCE">
        <w:tc>
          <w:tcPr>
            <w:cnfStyle w:val="001000000000" w:firstRow="0" w:lastRow="0" w:firstColumn="1" w:lastColumn="0" w:oddVBand="0" w:evenVBand="0" w:oddHBand="0" w:evenHBand="0" w:firstRowFirstColumn="0" w:firstRowLastColumn="0" w:lastRowFirstColumn="0" w:lastRowLastColumn="0"/>
            <w:tcW w:w="928" w:type="pct"/>
            <w:tcBorders>
              <w:left w:val="single" w:sz="4" w:space="0" w:color="000000"/>
            </w:tcBorders>
            <w:vAlign w:val="center"/>
          </w:tcPr>
          <w:p w14:paraId="373FEDB5" w14:textId="77777777" w:rsidR="005B3072" w:rsidRDefault="00A46913">
            <w:pPr>
              <w:widowControl w:val="0"/>
              <w:rPr>
                <w:sz w:val="18"/>
                <w:szCs w:val="18"/>
              </w:rPr>
            </w:pPr>
            <w:r>
              <w:rPr>
                <w:sz w:val="18"/>
                <w:szCs w:val="18"/>
              </w:rPr>
              <w:t>e-mail</w:t>
            </w:r>
          </w:p>
        </w:tc>
        <w:tc>
          <w:tcPr>
            <w:tcW w:w="4072" w:type="pct"/>
            <w:gridSpan w:val="3"/>
            <w:tcBorders>
              <w:right w:val="single" w:sz="4" w:space="0" w:color="000000"/>
            </w:tcBorders>
            <w:vAlign w:val="center"/>
          </w:tcPr>
          <w:p w14:paraId="2A8F0089"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0">
              <w:r w:rsidR="00A46913">
                <w:rPr>
                  <w:color w:val="0563C1"/>
                  <w:sz w:val="18"/>
                  <w:szCs w:val="18"/>
                  <w:u w:val="single"/>
                </w:rPr>
                <w:t>daliborka.spaic@mju.gov.me</w:t>
              </w:r>
            </w:hyperlink>
          </w:p>
          <w:p w14:paraId="4B14620F"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1">
              <w:r w:rsidR="00A46913">
                <w:rPr>
                  <w:color w:val="0563C1"/>
                  <w:sz w:val="18"/>
                  <w:szCs w:val="18"/>
                  <w:u w:val="single"/>
                </w:rPr>
                <w:t>marija.jankovic@mju.gov.me</w:t>
              </w:r>
            </w:hyperlink>
            <w:r w:rsidR="00A46913">
              <w:rPr>
                <w:sz w:val="18"/>
                <w:szCs w:val="18"/>
              </w:rPr>
              <w:t xml:space="preserve"> </w:t>
            </w:r>
          </w:p>
        </w:tc>
      </w:tr>
      <w:tr w:rsidR="005B3072" w14:paraId="78A7D167"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Merge w:val="restart"/>
            <w:tcBorders>
              <w:left w:val="single" w:sz="4" w:space="0" w:color="000000"/>
            </w:tcBorders>
            <w:vAlign w:val="center"/>
          </w:tcPr>
          <w:p w14:paraId="49EFD7B4" w14:textId="77777777" w:rsidR="005B3072" w:rsidRDefault="00A46913">
            <w:pPr>
              <w:widowControl w:val="0"/>
              <w:rPr>
                <w:sz w:val="18"/>
                <w:szCs w:val="18"/>
              </w:rPr>
            </w:pPr>
            <w:r>
              <w:rPr>
                <w:sz w:val="18"/>
                <w:szCs w:val="18"/>
              </w:rPr>
              <w:t>Informacija o trendu i početnoj vrijednosti</w:t>
            </w:r>
          </w:p>
        </w:tc>
        <w:tc>
          <w:tcPr>
            <w:tcW w:w="550" w:type="pct"/>
            <w:vAlign w:val="center"/>
          </w:tcPr>
          <w:p w14:paraId="1132E4D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32" w:type="pct"/>
            <w:vAlign w:val="center"/>
          </w:tcPr>
          <w:p w14:paraId="6882CF4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2021.</w:t>
            </w:r>
          </w:p>
        </w:tc>
        <w:tc>
          <w:tcPr>
            <w:tcW w:w="2890" w:type="pct"/>
            <w:tcBorders>
              <w:right w:val="single" w:sz="4" w:space="0" w:color="000000"/>
            </w:tcBorders>
            <w:vAlign w:val="center"/>
          </w:tcPr>
          <w:p w14:paraId="7D5673D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560D37F3" w14:textId="77777777" w:rsidTr="005E4CCE">
        <w:tc>
          <w:tcPr>
            <w:cnfStyle w:val="001000000000" w:firstRow="0" w:lastRow="0" w:firstColumn="1" w:lastColumn="0" w:oddVBand="0" w:evenVBand="0" w:oddHBand="0" w:evenHBand="0" w:firstRowFirstColumn="0" w:firstRowLastColumn="0" w:lastRowFirstColumn="0" w:lastRowLastColumn="0"/>
            <w:tcW w:w="928" w:type="pct"/>
            <w:vMerge/>
            <w:tcBorders>
              <w:left w:val="single" w:sz="4" w:space="0" w:color="000000"/>
            </w:tcBorders>
            <w:vAlign w:val="center"/>
          </w:tcPr>
          <w:p w14:paraId="591960D1" w14:textId="77777777" w:rsidR="005B3072" w:rsidRDefault="005B3072">
            <w:pPr>
              <w:widowControl w:val="0"/>
              <w:pBdr>
                <w:top w:val="nil"/>
                <w:left w:val="nil"/>
                <w:bottom w:val="nil"/>
                <w:right w:val="nil"/>
                <w:between w:val="nil"/>
              </w:pBdr>
              <w:spacing w:line="276" w:lineRule="auto"/>
              <w:rPr>
                <w:sz w:val="18"/>
                <w:szCs w:val="18"/>
              </w:rPr>
            </w:pPr>
          </w:p>
        </w:tc>
        <w:tc>
          <w:tcPr>
            <w:tcW w:w="550" w:type="pct"/>
            <w:vAlign w:val="center"/>
          </w:tcPr>
          <w:p w14:paraId="3DA40A4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22" w:type="pct"/>
            <w:gridSpan w:val="2"/>
            <w:tcBorders>
              <w:right w:val="single" w:sz="4" w:space="0" w:color="000000"/>
            </w:tcBorders>
            <w:vAlign w:val="center"/>
          </w:tcPr>
          <w:p w14:paraId="592AB27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r>
      <w:tr w:rsidR="005B3072" w14:paraId="70CD1E0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pct"/>
            <w:vMerge w:val="restart"/>
            <w:tcBorders>
              <w:left w:val="single" w:sz="4" w:space="0" w:color="000000"/>
            </w:tcBorders>
            <w:vAlign w:val="center"/>
          </w:tcPr>
          <w:p w14:paraId="5428525F" w14:textId="77777777" w:rsidR="005B3072" w:rsidRDefault="00A46913">
            <w:pPr>
              <w:widowControl w:val="0"/>
              <w:rPr>
                <w:sz w:val="18"/>
                <w:szCs w:val="18"/>
              </w:rPr>
            </w:pPr>
            <w:r>
              <w:rPr>
                <w:sz w:val="18"/>
                <w:szCs w:val="18"/>
              </w:rPr>
              <w:t>Informacija o ciljnim vrijednostima</w:t>
            </w:r>
          </w:p>
        </w:tc>
        <w:tc>
          <w:tcPr>
            <w:tcW w:w="550" w:type="pct"/>
            <w:vAlign w:val="center"/>
          </w:tcPr>
          <w:p w14:paraId="29ECF25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32" w:type="pct"/>
            <w:tcBorders>
              <w:right w:val="single" w:sz="4" w:space="0" w:color="000000"/>
            </w:tcBorders>
            <w:vAlign w:val="center"/>
          </w:tcPr>
          <w:p w14:paraId="02198F5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890" w:type="pct"/>
            <w:tcBorders>
              <w:left w:val="single" w:sz="4" w:space="0" w:color="000000"/>
              <w:right w:val="single" w:sz="4" w:space="0" w:color="000000"/>
            </w:tcBorders>
            <w:vAlign w:val="center"/>
          </w:tcPr>
          <w:p w14:paraId="299C6B4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5F2C2331" w14:textId="77777777" w:rsidTr="005E4CCE">
        <w:tc>
          <w:tcPr>
            <w:cnfStyle w:val="001000000000" w:firstRow="0" w:lastRow="0" w:firstColumn="1" w:lastColumn="0" w:oddVBand="0" w:evenVBand="0" w:oddHBand="0" w:evenHBand="0" w:firstRowFirstColumn="0" w:firstRowLastColumn="0" w:lastRowFirstColumn="0" w:lastRowLastColumn="0"/>
            <w:tcW w:w="928" w:type="pct"/>
            <w:vMerge/>
            <w:tcBorders>
              <w:left w:val="single" w:sz="4" w:space="0" w:color="000000"/>
            </w:tcBorders>
            <w:vAlign w:val="center"/>
          </w:tcPr>
          <w:p w14:paraId="0805ADBD" w14:textId="77777777" w:rsidR="005B3072" w:rsidRDefault="005B3072">
            <w:pPr>
              <w:widowControl w:val="0"/>
              <w:pBdr>
                <w:top w:val="nil"/>
                <w:left w:val="nil"/>
                <w:bottom w:val="nil"/>
                <w:right w:val="nil"/>
                <w:between w:val="nil"/>
              </w:pBdr>
              <w:spacing w:line="276" w:lineRule="auto"/>
              <w:rPr>
                <w:sz w:val="18"/>
                <w:szCs w:val="18"/>
              </w:rPr>
            </w:pPr>
          </w:p>
        </w:tc>
        <w:tc>
          <w:tcPr>
            <w:tcW w:w="550" w:type="pct"/>
            <w:tcBorders>
              <w:bottom w:val="single" w:sz="4" w:space="0" w:color="000000"/>
            </w:tcBorders>
            <w:vAlign w:val="center"/>
          </w:tcPr>
          <w:p w14:paraId="5CE6F25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632" w:type="pct"/>
            <w:tcBorders>
              <w:bottom w:val="single" w:sz="4" w:space="0" w:color="000000"/>
              <w:right w:val="single" w:sz="4" w:space="0" w:color="000000"/>
            </w:tcBorders>
            <w:vAlign w:val="center"/>
          </w:tcPr>
          <w:p w14:paraId="22EAF24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100                    </w:t>
            </w:r>
          </w:p>
        </w:tc>
        <w:tc>
          <w:tcPr>
            <w:tcW w:w="2890" w:type="pct"/>
            <w:tcBorders>
              <w:bottom w:val="single" w:sz="4" w:space="0" w:color="000000"/>
              <w:right w:val="single" w:sz="4" w:space="0" w:color="000000"/>
            </w:tcBorders>
            <w:vAlign w:val="center"/>
          </w:tcPr>
          <w:p w14:paraId="2A5D7A5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200</w:t>
            </w:r>
          </w:p>
        </w:tc>
      </w:tr>
    </w:tbl>
    <w:p w14:paraId="3B4EEDBC" w14:textId="77777777" w:rsidR="005B3072" w:rsidRDefault="005B3072">
      <w:pPr>
        <w:widowControl w:val="0"/>
        <w:spacing w:after="0" w:line="240" w:lineRule="auto"/>
        <w:ind w:right="848"/>
        <w:jc w:val="both"/>
        <w:rPr>
          <w:rFonts w:ascii="Georgia" w:eastAsia="Georgia" w:hAnsi="Georgia" w:cs="Georgia"/>
          <w:color w:val="192F41"/>
          <w:sz w:val="18"/>
          <w:szCs w:val="18"/>
        </w:rPr>
      </w:pPr>
    </w:p>
    <w:tbl>
      <w:tblPr>
        <w:tblStyle w:val="afa"/>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851"/>
        <w:gridCol w:w="1176"/>
        <w:gridCol w:w="1414"/>
        <w:gridCol w:w="6019"/>
      </w:tblGrid>
      <w:tr w:rsidR="005B3072" w14:paraId="73E93497"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5" w:type="pct"/>
            <w:tcBorders>
              <w:top w:val="single" w:sz="4" w:space="0" w:color="000000"/>
              <w:left w:val="single" w:sz="4" w:space="0" w:color="000000"/>
            </w:tcBorders>
            <w:vAlign w:val="center"/>
          </w:tcPr>
          <w:p w14:paraId="5E032474" w14:textId="77777777" w:rsidR="005B3072" w:rsidRDefault="00A46913">
            <w:pPr>
              <w:widowControl w:val="0"/>
              <w:jc w:val="center"/>
              <w:rPr>
                <w:sz w:val="18"/>
                <w:szCs w:val="18"/>
              </w:rPr>
            </w:pPr>
            <w:r>
              <w:rPr>
                <w:sz w:val="18"/>
                <w:szCs w:val="18"/>
              </w:rPr>
              <w:t>Kategorija</w:t>
            </w:r>
          </w:p>
        </w:tc>
        <w:tc>
          <w:tcPr>
            <w:tcW w:w="4115" w:type="pct"/>
            <w:gridSpan w:val="3"/>
            <w:tcBorders>
              <w:top w:val="single" w:sz="4" w:space="0" w:color="000000"/>
              <w:right w:val="single" w:sz="4" w:space="0" w:color="000000"/>
            </w:tcBorders>
            <w:vAlign w:val="center"/>
          </w:tcPr>
          <w:p w14:paraId="399A6A35"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5246EAA2"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54936DAE" w14:textId="77777777" w:rsidR="005B3072" w:rsidRDefault="00A46913">
            <w:pPr>
              <w:widowControl w:val="0"/>
              <w:rPr>
                <w:sz w:val="18"/>
                <w:szCs w:val="18"/>
              </w:rPr>
            </w:pPr>
            <w:r>
              <w:rPr>
                <w:sz w:val="18"/>
                <w:szCs w:val="18"/>
              </w:rPr>
              <w:t>Naziv indikatora</w:t>
            </w:r>
          </w:p>
        </w:tc>
        <w:tc>
          <w:tcPr>
            <w:tcW w:w="4115" w:type="pct"/>
            <w:gridSpan w:val="3"/>
            <w:tcBorders>
              <w:right w:val="single" w:sz="4" w:space="0" w:color="000000"/>
            </w:tcBorders>
            <w:vAlign w:val="center"/>
          </w:tcPr>
          <w:p w14:paraId="36E38A8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Broj elektronskih registara u metaregistru </w:t>
            </w:r>
          </w:p>
        </w:tc>
      </w:tr>
      <w:tr w:rsidR="005B3072" w14:paraId="08D67474" w14:textId="77777777" w:rsidTr="005E4CCE">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05A43786" w14:textId="77777777" w:rsidR="005B3072" w:rsidRDefault="00A46913">
            <w:pPr>
              <w:widowControl w:val="0"/>
              <w:rPr>
                <w:sz w:val="18"/>
                <w:szCs w:val="18"/>
              </w:rPr>
            </w:pPr>
            <w:r>
              <w:rPr>
                <w:sz w:val="18"/>
                <w:szCs w:val="18"/>
              </w:rPr>
              <w:t>Cilj na koji se indikator odnosi</w:t>
            </w:r>
          </w:p>
        </w:tc>
        <w:tc>
          <w:tcPr>
            <w:tcW w:w="4115" w:type="pct"/>
            <w:gridSpan w:val="3"/>
            <w:tcBorders>
              <w:right w:val="single" w:sz="4" w:space="0" w:color="000000"/>
            </w:tcBorders>
            <w:vAlign w:val="center"/>
          </w:tcPr>
          <w:p w14:paraId="07F2CE0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Osigurati tačnost podataka putem sigurne veze u skladu sa Zakonom o elektronskoj upravi te obaveze digitalizacije svih registara</w:t>
            </w:r>
          </w:p>
        </w:tc>
      </w:tr>
      <w:tr w:rsidR="005B3072" w14:paraId="4F87E67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263E496E" w14:textId="77777777" w:rsidR="005B3072" w:rsidRDefault="005B3072">
            <w:pPr>
              <w:widowControl w:val="0"/>
              <w:rPr>
                <w:sz w:val="18"/>
                <w:szCs w:val="18"/>
              </w:rPr>
            </w:pPr>
          </w:p>
          <w:p w14:paraId="3E93B8C8" w14:textId="77777777" w:rsidR="005B3072" w:rsidRDefault="00A46913">
            <w:pPr>
              <w:widowControl w:val="0"/>
              <w:rPr>
                <w:sz w:val="18"/>
                <w:szCs w:val="18"/>
              </w:rPr>
            </w:pPr>
            <w:r>
              <w:rPr>
                <w:sz w:val="18"/>
                <w:szCs w:val="18"/>
              </w:rPr>
              <w:t>Podaci koje je potrebno prikupiti</w:t>
            </w:r>
          </w:p>
        </w:tc>
        <w:tc>
          <w:tcPr>
            <w:tcW w:w="4115" w:type="pct"/>
            <w:gridSpan w:val="3"/>
            <w:tcBorders>
              <w:right w:val="single" w:sz="4" w:space="0" w:color="000000"/>
            </w:tcBorders>
            <w:vAlign w:val="center"/>
          </w:tcPr>
          <w:p w14:paraId="4424B6D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Broj elektronskih registara prijavljenih u Metaregistru</w:t>
            </w:r>
          </w:p>
        </w:tc>
      </w:tr>
      <w:tr w:rsidR="005B3072" w14:paraId="2BBE3025" w14:textId="77777777" w:rsidTr="005E4CCE">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2BA16D8D" w14:textId="77777777" w:rsidR="005B3072" w:rsidRDefault="00A46913">
            <w:pPr>
              <w:widowControl w:val="0"/>
              <w:rPr>
                <w:sz w:val="18"/>
                <w:szCs w:val="18"/>
              </w:rPr>
            </w:pPr>
            <w:r>
              <w:rPr>
                <w:sz w:val="18"/>
                <w:szCs w:val="18"/>
              </w:rPr>
              <w:t>Izvor podataka</w:t>
            </w:r>
          </w:p>
        </w:tc>
        <w:tc>
          <w:tcPr>
            <w:tcW w:w="4115" w:type="pct"/>
            <w:gridSpan w:val="3"/>
            <w:tcBorders>
              <w:right w:val="single" w:sz="4" w:space="0" w:color="000000"/>
            </w:tcBorders>
            <w:vAlign w:val="center"/>
          </w:tcPr>
          <w:p w14:paraId="6AF4798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Ministarstvo javne uprave, digitalnog društva i medija</w:t>
            </w:r>
          </w:p>
          <w:p w14:paraId="3FE7694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Tel: (+382) 20 482 131 </w:t>
            </w:r>
          </w:p>
        </w:tc>
      </w:tr>
      <w:tr w:rsidR="005B3072" w14:paraId="660423F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3A49B822" w14:textId="77777777" w:rsidR="005B3072" w:rsidRDefault="00A46913">
            <w:pPr>
              <w:widowControl w:val="0"/>
              <w:rPr>
                <w:sz w:val="18"/>
                <w:szCs w:val="18"/>
              </w:rPr>
            </w:pPr>
            <w:r>
              <w:rPr>
                <w:sz w:val="18"/>
                <w:szCs w:val="18"/>
              </w:rPr>
              <w:t>Informacija o instituciji odgovornoj za prikupljanje podataka</w:t>
            </w:r>
          </w:p>
        </w:tc>
        <w:tc>
          <w:tcPr>
            <w:tcW w:w="4115" w:type="pct"/>
            <w:gridSpan w:val="3"/>
            <w:tcBorders>
              <w:right w:val="single" w:sz="4" w:space="0" w:color="000000"/>
            </w:tcBorders>
            <w:vAlign w:val="center"/>
          </w:tcPr>
          <w:p w14:paraId="3929CF2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p w14:paraId="13FC42F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Direktorat za digitalizaciju i eServise</w:t>
            </w:r>
          </w:p>
          <w:p w14:paraId="4FA0C72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 (+382) 20 482 131</w:t>
            </w:r>
          </w:p>
        </w:tc>
      </w:tr>
      <w:tr w:rsidR="005B3072" w14:paraId="07FE213B" w14:textId="77777777" w:rsidTr="005E4CCE">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47E39E0E" w14:textId="77777777" w:rsidR="005B3072" w:rsidRDefault="00A46913">
            <w:pPr>
              <w:widowControl w:val="0"/>
              <w:rPr>
                <w:sz w:val="18"/>
                <w:szCs w:val="18"/>
              </w:rPr>
            </w:pPr>
            <w:r>
              <w:rPr>
                <w:sz w:val="18"/>
                <w:szCs w:val="18"/>
              </w:rPr>
              <w:t>Učestalost prikupljanja podataka</w:t>
            </w:r>
          </w:p>
        </w:tc>
        <w:tc>
          <w:tcPr>
            <w:tcW w:w="4115" w:type="pct"/>
            <w:gridSpan w:val="3"/>
            <w:tcBorders>
              <w:right w:val="single" w:sz="4" w:space="0" w:color="000000"/>
            </w:tcBorders>
            <w:vAlign w:val="center"/>
          </w:tcPr>
          <w:p w14:paraId="0233603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w:t>
            </w:r>
          </w:p>
        </w:tc>
      </w:tr>
      <w:tr w:rsidR="005B3072" w14:paraId="678AFA43"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3B4D775A" w14:textId="77777777" w:rsidR="005B3072" w:rsidRDefault="00A46913">
            <w:pPr>
              <w:widowControl w:val="0"/>
              <w:rPr>
                <w:sz w:val="18"/>
                <w:szCs w:val="18"/>
              </w:rPr>
            </w:pPr>
            <w:r>
              <w:rPr>
                <w:sz w:val="18"/>
                <w:szCs w:val="18"/>
              </w:rPr>
              <w:t>Učestalost izvještavanja o vrijednosti indikatora</w:t>
            </w:r>
          </w:p>
        </w:tc>
        <w:tc>
          <w:tcPr>
            <w:tcW w:w="4115" w:type="pct"/>
            <w:gridSpan w:val="3"/>
            <w:tcBorders>
              <w:right w:val="single" w:sz="4" w:space="0" w:color="000000"/>
            </w:tcBorders>
            <w:vAlign w:val="center"/>
          </w:tcPr>
          <w:p w14:paraId="25E89AE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5DD9AEAC" w14:textId="77777777" w:rsidTr="005E4CCE">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59AFC996" w14:textId="77777777" w:rsidR="005B3072" w:rsidRDefault="00A46913">
            <w:pPr>
              <w:widowControl w:val="0"/>
              <w:rPr>
                <w:sz w:val="18"/>
                <w:szCs w:val="18"/>
              </w:rPr>
            </w:pPr>
            <w:r>
              <w:rPr>
                <w:sz w:val="18"/>
                <w:szCs w:val="18"/>
              </w:rPr>
              <w:t>Kratak opis metodologije izračunavanja podataka</w:t>
            </w:r>
          </w:p>
        </w:tc>
        <w:tc>
          <w:tcPr>
            <w:tcW w:w="4115" w:type="pct"/>
            <w:gridSpan w:val="3"/>
            <w:tcBorders>
              <w:right w:val="single" w:sz="4" w:space="0" w:color="000000"/>
            </w:tcBorders>
            <w:vAlign w:val="center"/>
          </w:tcPr>
          <w:p w14:paraId="47D552E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Broj elektronskih registara u metaregistru</w:t>
            </w:r>
          </w:p>
        </w:tc>
      </w:tr>
      <w:tr w:rsidR="005B3072" w14:paraId="2F8B165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030EDF05" w14:textId="77777777" w:rsidR="005B3072" w:rsidRDefault="00A46913">
            <w:pPr>
              <w:widowControl w:val="0"/>
              <w:rPr>
                <w:sz w:val="18"/>
                <w:szCs w:val="18"/>
              </w:rPr>
            </w:pPr>
            <w:r>
              <w:rPr>
                <w:sz w:val="18"/>
                <w:szCs w:val="18"/>
              </w:rPr>
              <w:t xml:space="preserve">Kontakt osoba </w:t>
            </w:r>
          </w:p>
        </w:tc>
        <w:tc>
          <w:tcPr>
            <w:tcW w:w="4115" w:type="pct"/>
            <w:gridSpan w:val="3"/>
            <w:tcBorders>
              <w:right w:val="single" w:sz="4" w:space="0" w:color="000000"/>
            </w:tcBorders>
            <w:vAlign w:val="center"/>
          </w:tcPr>
          <w:p w14:paraId="6C8E70D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Daliborka Spaić</w:t>
            </w:r>
          </w:p>
        </w:tc>
      </w:tr>
      <w:tr w:rsidR="005B3072" w14:paraId="63AEA16C" w14:textId="77777777" w:rsidTr="005E4CCE">
        <w:tc>
          <w:tcPr>
            <w:cnfStyle w:val="001000000000" w:firstRow="0" w:lastRow="0" w:firstColumn="1" w:lastColumn="0" w:oddVBand="0" w:evenVBand="0" w:oddHBand="0" w:evenHBand="0" w:firstRowFirstColumn="0" w:firstRowLastColumn="0" w:lastRowFirstColumn="0" w:lastRowLastColumn="0"/>
            <w:tcW w:w="885" w:type="pct"/>
            <w:tcBorders>
              <w:left w:val="single" w:sz="4" w:space="0" w:color="000000"/>
            </w:tcBorders>
            <w:vAlign w:val="center"/>
          </w:tcPr>
          <w:p w14:paraId="05E5B1C0" w14:textId="77777777" w:rsidR="005B3072" w:rsidRDefault="00A46913">
            <w:pPr>
              <w:widowControl w:val="0"/>
              <w:rPr>
                <w:sz w:val="18"/>
                <w:szCs w:val="18"/>
              </w:rPr>
            </w:pPr>
            <w:r>
              <w:rPr>
                <w:sz w:val="18"/>
                <w:szCs w:val="18"/>
              </w:rPr>
              <w:t>e-mail</w:t>
            </w:r>
          </w:p>
        </w:tc>
        <w:tc>
          <w:tcPr>
            <w:tcW w:w="4115" w:type="pct"/>
            <w:gridSpan w:val="3"/>
            <w:tcBorders>
              <w:right w:val="single" w:sz="4" w:space="0" w:color="000000"/>
            </w:tcBorders>
            <w:vAlign w:val="center"/>
          </w:tcPr>
          <w:p w14:paraId="57E0BC8F"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2">
              <w:r w:rsidR="00A46913">
                <w:rPr>
                  <w:color w:val="0563C1"/>
                  <w:sz w:val="18"/>
                  <w:szCs w:val="18"/>
                  <w:u w:val="single"/>
                </w:rPr>
                <w:t>daliborka.spaic@mju.gov.me</w:t>
              </w:r>
            </w:hyperlink>
            <w:r w:rsidR="00A46913">
              <w:rPr>
                <w:sz w:val="18"/>
                <w:szCs w:val="18"/>
              </w:rPr>
              <w:t xml:space="preserve"> </w:t>
            </w:r>
          </w:p>
        </w:tc>
      </w:tr>
      <w:tr w:rsidR="005B3072" w14:paraId="1082AFF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Merge w:val="restart"/>
            <w:tcBorders>
              <w:left w:val="single" w:sz="4" w:space="0" w:color="000000"/>
            </w:tcBorders>
            <w:vAlign w:val="center"/>
          </w:tcPr>
          <w:p w14:paraId="3D73A685" w14:textId="77777777" w:rsidR="005B3072" w:rsidRDefault="00A46913">
            <w:pPr>
              <w:widowControl w:val="0"/>
              <w:rPr>
                <w:sz w:val="18"/>
                <w:szCs w:val="18"/>
              </w:rPr>
            </w:pPr>
            <w:r>
              <w:rPr>
                <w:sz w:val="18"/>
                <w:szCs w:val="18"/>
              </w:rPr>
              <w:t>Informacija o trendu i početnoj vrijednosti</w:t>
            </w:r>
          </w:p>
        </w:tc>
        <w:tc>
          <w:tcPr>
            <w:tcW w:w="562" w:type="pct"/>
            <w:vAlign w:val="center"/>
          </w:tcPr>
          <w:p w14:paraId="18C8009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76" w:type="pct"/>
            <w:vAlign w:val="center"/>
          </w:tcPr>
          <w:p w14:paraId="4BCAF37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2021.</w:t>
            </w:r>
          </w:p>
        </w:tc>
        <w:tc>
          <w:tcPr>
            <w:tcW w:w="2877" w:type="pct"/>
            <w:tcBorders>
              <w:right w:val="single" w:sz="4" w:space="0" w:color="000000"/>
            </w:tcBorders>
            <w:vAlign w:val="center"/>
          </w:tcPr>
          <w:p w14:paraId="43EA59C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2B8DD856" w14:textId="77777777" w:rsidTr="005E4CCE">
        <w:tc>
          <w:tcPr>
            <w:cnfStyle w:val="001000000000" w:firstRow="0" w:lastRow="0" w:firstColumn="1" w:lastColumn="0" w:oddVBand="0" w:evenVBand="0" w:oddHBand="0" w:evenHBand="0" w:firstRowFirstColumn="0" w:firstRowLastColumn="0" w:lastRowFirstColumn="0" w:lastRowLastColumn="0"/>
            <w:tcW w:w="885" w:type="pct"/>
            <w:vMerge/>
            <w:tcBorders>
              <w:left w:val="single" w:sz="4" w:space="0" w:color="000000"/>
            </w:tcBorders>
            <w:vAlign w:val="center"/>
          </w:tcPr>
          <w:p w14:paraId="00A63316" w14:textId="77777777" w:rsidR="005B3072" w:rsidRDefault="005B3072">
            <w:pPr>
              <w:widowControl w:val="0"/>
              <w:pBdr>
                <w:top w:val="nil"/>
                <w:left w:val="nil"/>
                <w:bottom w:val="nil"/>
                <w:right w:val="nil"/>
                <w:between w:val="nil"/>
              </w:pBdr>
              <w:spacing w:line="276" w:lineRule="auto"/>
              <w:rPr>
                <w:sz w:val="18"/>
                <w:szCs w:val="18"/>
              </w:rPr>
            </w:pPr>
          </w:p>
        </w:tc>
        <w:tc>
          <w:tcPr>
            <w:tcW w:w="562" w:type="pct"/>
            <w:vAlign w:val="center"/>
          </w:tcPr>
          <w:p w14:paraId="030292F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53" w:type="pct"/>
            <w:gridSpan w:val="2"/>
            <w:tcBorders>
              <w:right w:val="single" w:sz="4" w:space="0" w:color="000000"/>
            </w:tcBorders>
            <w:vAlign w:val="center"/>
          </w:tcPr>
          <w:p w14:paraId="14CD85A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w:t>
            </w:r>
          </w:p>
        </w:tc>
      </w:tr>
      <w:tr w:rsidR="005B3072" w14:paraId="67B6821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pct"/>
            <w:vMerge w:val="restart"/>
            <w:tcBorders>
              <w:left w:val="single" w:sz="4" w:space="0" w:color="000000"/>
            </w:tcBorders>
            <w:vAlign w:val="center"/>
          </w:tcPr>
          <w:p w14:paraId="7BB112F3" w14:textId="77777777" w:rsidR="005B3072" w:rsidRDefault="00A46913">
            <w:pPr>
              <w:widowControl w:val="0"/>
              <w:rPr>
                <w:sz w:val="18"/>
                <w:szCs w:val="18"/>
              </w:rPr>
            </w:pPr>
            <w:r>
              <w:rPr>
                <w:sz w:val="18"/>
                <w:szCs w:val="18"/>
              </w:rPr>
              <w:t>Informacija o ciljnim vrijednostima</w:t>
            </w:r>
          </w:p>
        </w:tc>
        <w:tc>
          <w:tcPr>
            <w:tcW w:w="562" w:type="pct"/>
            <w:vAlign w:val="center"/>
          </w:tcPr>
          <w:p w14:paraId="5330E33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76" w:type="pct"/>
            <w:tcBorders>
              <w:right w:val="single" w:sz="4" w:space="0" w:color="000000"/>
            </w:tcBorders>
            <w:vAlign w:val="center"/>
          </w:tcPr>
          <w:p w14:paraId="1589524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877" w:type="pct"/>
            <w:tcBorders>
              <w:left w:val="single" w:sz="4" w:space="0" w:color="000000"/>
              <w:right w:val="single" w:sz="4" w:space="0" w:color="000000"/>
            </w:tcBorders>
            <w:vAlign w:val="center"/>
          </w:tcPr>
          <w:p w14:paraId="5026487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32D1E8C4" w14:textId="77777777" w:rsidTr="005E4CCE">
        <w:tc>
          <w:tcPr>
            <w:cnfStyle w:val="001000000000" w:firstRow="0" w:lastRow="0" w:firstColumn="1" w:lastColumn="0" w:oddVBand="0" w:evenVBand="0" w:oddHBand="0" w:evenHBand="0" w:firstRowFirstColumn="0" w:firstRowLastColumn="0" w:lastRowFirstColumn="0" w:lastRowLastColumn="0"/>
            <w:tcW w:w="885" w:type="pct"/>
            <w:vMerge/>
            <w:tcBorders>
              <w:left w:val="single" w:sz="4" w:space="0" w:color="000000"/>
            </w:tcBorders>
            <w:vAlign w:val="center"/>
          </w:tcPr>
          <w:p w14:paraId="5FA9F1DD" w14:textId="77777777" w:rsidR="005B3072" w:rsidRDefault="005B3072">
            <w:pPr>
              <w:widowControl w:val="0"/>
              <w:pBdr>
                <w:top w:val="nil"/>
                <w:left w:val="nil"/>
                <w:bottom w:val="nil"/>
                <w:right w:val="nil"/>
                <w:between w:val="nil"/>
              </w:pBdr>
              <w:spacing w:line="276" w:lineRule="auto"/>
              <w:rPr>
                <w:sz w:val="18"/>
                <w:szCs w:val="18"/>
              </w:rPr>
            </w:pPr>
          </w:p>
        </w:tc>
        <w:tc>
          <w:tcPr>
            <w:tcW w:w="562" w:type="pct"/>
            <w:tcBorders>
              <w:bottom w:val="single" w:sz="4" w:space="0" w:color="000000"/>
            </w:tcBorders>
            <w:vAlign w:val="center"/>
          </w:tcPr>
          <w:p w14:paraId="15B0A3F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676" w:type="pct"/>
            <w:tcBorders>
              <w:bottom w:val="single" w:sz="4" w:space="0" w:color="000000"/>
              <w:right w:val="single" w:sz="4" w:space="0" w:color="000000"/>
            </w:tcBorders>
            <w:vAlign w:val="center"/>
          </w:tcPr>
          <w:p w14:paraId="3490390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w:t>
            </w:r>
          </w:p>
        </w:tc>
        <w:tc>
          <w:tcPr>
            <w:tcW w:w="2877" w:type="pct"/>
            <w:tcBorders>
              <w:bottom w:val="single" w:sz="4" w:space="0" w:color="000000"/>
              <w:right w:val="single" w:sz="4" w:space="0" w:color="000000"/>
            </w:tcBorders>
            <w:vAlign w:val="center"/>
          </w:tcPr>
          <w:p w14:paraId="1BE81DF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150</w:t>
            </w:r>
          </w:p>
        </w:tc>
      </w:tr>
    </w:tbl>
    <w:p w14:paraId="39DB79DA" w14:textId="77777777" w:rsidR="005B3072" w:rsidRDefault="005B3072">
      <w:pPr>
        <w:widowControl w:val="0"/>
        <w:spacing w:after="0" w:line="240" w:lineRule="auto"/>
        <w:ind w:right="848"/>
        <w:jc w:val="both"/>
        <w:rPr>
          <w:rFonts w:ascii="Georgia" w:eastAsia="Georgia" w:hAnsi="Georgia" w:cs="Georgia"/>
          <w:color w:val="192F41"/>
          <w:sz w:val="18"/>
          <w:szCs w:val="18"/>
        </w:rPr>
      </w:pPr>
    </w:p>
    <w:tbl>
      <w:tblPr>
        <w:tblStyle w:val="afb"/>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829"/>
        <w:gridCol w:w="1077"/>
        <w:gridCol w:w="1703"/>
        <w:gridCol w:w="5851"/>
      </w:tblGrid>
      <w:tr w:rsidR="005B3072" w14:paraId="17BA455A"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74" w:type="pct"/>
            <w:tcBorders>
              <w:top w:val="single" w:sz="4" w:space="0" w:color="000000"/>
              <w:left w:val="single" w:sz="4" w:space="0" w:color="000000"/>
            </w:tcBorders>
            <w:vAlign w:val="center"/>
          </w:tcPr>
          <w:p w14:paraId="33DE6116" w14:textId="77777777" w:rsidR="005B3072" w:rsidRDefault="00A46913">
            <w:pPr>
              <w:widowControl w:val="0"/>
              <w:jc w:val="center"/>
              <w:rPr>
                <w:sz w:val="18"/>
                <w:szCs w:val="18"/>
              </w:rPr>
            </w:pPr>
            <w:r>
              <w:rPr>
                <w:sz w:val="18"/>
                <w:szCs w:val="18"/>
              </w:rPr>
              <w:t>Kategorija</w:t>
            </w:r>
          </w:p>
        </w:tc>
        <w:tc>
          <w:tcPr>
            <w:tcW w:w="4126" w:type="pct"/>
            <w:gridSpan w:val="3"/>
            <w:tcBorders>
              <w:top w:val="single" w:sz="4" w:space="0" w:color="000000"/>
              <w:right w:val="single" w:sz="4" w:space="0" w:color="000000"/>
            </w:tcBorders>
            <w:vAlign w:val="center"/>
          </w:tcPr>
          <w:p w14:paraId="753F4801"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520A837E"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60035241" w14:textId="77777777" w:rsidR="005B3072" w:rsidRDefault="00A46913">
            <w:pPr>
              <w:widowControl w:val="0"/>
              <w:rPr>
                <w:sz w:val="18"/>
                <w:szCs w:val="18"/>
              </w:rPr>
            </w:pPr>
            <w:r>
              <w:rPr>
                <w:sz w:val="18"/>
                <w:szCs w:val="18"/>
              </w:rPr>
              <w:t>Naziv indikatora</w:t>
            </w:r>
          </w:p>
        </w:tc>
        <w:tc>
          <w:tcPr>
            <w:tcW w:w="4126" w:type="pct"/>
            <w:gridSpan w:val="3"/>
            <w:tcBorders>
              <w:right w:val="single" w:sz="4" w:space="0" w:color="000000"/>
            </w:tcBorders>
            <w:vAlign w:val="center"/>
          </w:tcPr>
          <w:p w14:paraId="7A77692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Procenat eUsluga koje se vode u Katalogu usluga elektronske uprave, a koje po jednom upitu mogu prikupiti podatke više od jednog registra</w:t>
            </w:r>
          </w:p>
        </w:tc>
      </w:tr>
      <w:tr w:rsidR="005B3072" w14:paraId="057D9B4D" w14:textId="77777777" w:rsidTr="005E4CCE">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78634FC3" w14:textId="77777777" w:rsidR="005B3072" w:rsidRDefault="00A46913">
            <w:pPr>
              <w:widowControl w:val="0"/>
              <w:rPr>
                <w:sz w:val="18"/>
                <w:szCs w:val="18"/>
              </w:rPr>
            </w:pPr>
            <w:r>
              <w:rPr>
                <w:sz w:val="18"/>
                <w:szCs w:val="18"/>
              </w:rPr>
              <w:t>Cilj na koji se indikator odnosi</w:t>
            </w:r>
          </w:p>
        </w:tc>
        <w:tc>
          <w:tcPr>
            <w:tcW w:w="4126" w:type="pct"/>
            <w:gridSpan w:val="3"/>
            <w:tcBorders>
              <w:right w:val="single" w:sz="4" w:space="0" w:color="000000"/>
            </w:tcBorders>
            <w:vAlign w:val="center"/>
          </w:tcPr>
          <w:p w14:paraId="14F7E7A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 cilju pružanja pune interoperabilnosti neophodno je implementirati elektronske usluge koje će po jednom upitu prikupljati podatke iz više elektronskih registara. </w:t>
            </w:r>
          </w:p>
        </w:tc>
      </w:tr>
      <w:tr w:rsidR="005B3072" w14:paraId="632223B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3EBB98F6" w14:textId="77777777" w:rsidR="005B3072" w:rsidRDefault="005B3072">
            <w:pPr>
              <w:widowControl w:val="0"/>
              <w:rPr>
                <w:sz w:val="18"/>
                <w:szCs w:val="18"/>
              </w:rPr>
            </w:pPr>
          </w:p>
          <w:p w14:paraId="3DE7F3DA" w14:textId="77777777" w:rsidR="005B3072" w:rsidRDefault="00A46913">
            <w:pPr>
              <w:widowControl w:val="0"/>
              <w:rPr>
                <w:sz w:val="18"/>
                <w:szCs w:val="18"/>
              </w:rPr>
            </w:pPr>
            <w:r>
              <w:rPr>
                <w:sz w:val="18"/>
                <w:szCs w:val="18"/>
              </w:rPr>
              <w:t>Podaci koje je potrebno prikupiti</w:t>
            </w:r>
          </w:p>
        </w:tc>
        <w:tc>
          <w:tcPr>
            <w:tcW w:w="4126" w:type="pct"/>
            <w:gridSpan w:val="3"/>
            <w:tcBorders>
              <w:right w:val="single" w:sz="4" w:space="0" w:color="000000"/>
            </w:tcBorders>
            <w:vAlign w:val="center"/>
          </w:tcPr>
          <w:p w14:paraId="0682CDE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Posmatraće se broj aktivnih e-usluga, iz Kataloga usluga elektronske uprave, za koje je navedeno da mogu po jednom upitu (unos jednog parametra od strane korisnika npr. JMB) prikupljati podatke od više od jednog registra u cilju obrade zahtjeva na jednom mjestu bez dodatnih dokumenata</w:t>
            </w:r>
          </w:p>
        </w:tc>
      </w:tr>
      <w:tr w:rsidR="005B3072" w14:paraId="461408FC" w14:textId="77777777" w:rsidTr="005E4CCE">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2FC0BC35" w14:textId="77777777" w:rsidR="005B3072" w:rsidRDefault="00A46913">
            <w:pPr>
              <w:widowControl w:val="0"/>
              <w:rPr>
                <w:sz w:val="18"/>
                <w:szCs w:val="18"/>
              </w:rPr>
            </w:pPr>
            <w:r>
              <w:rPr>
                <w:sz w:val="18"/>
                <w:szCs w:val="18"/>
              </w:rPr>
              <w:t>Izvor podataka</w:t>
            </w:r>
          </w:p>
        </w:tc>
        <w:tc>
          <w:tcPr>
            <w:tcW w:w="4126" w:type="pct"/>
            <w:gridSpan w:val="3"/>
            <w:tcBorders>
              <w:right w:val="single" w:sz="4" w:space="0" w:color="000000"/>
            </w:tcBorders>
            <w:vAlign w:val="center"/>
          </w:tcPr>
          <w:p w14:paraId="100114D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Ministarstvo javne uprave, digitalnog društva i medija</w:t>
            </w:r>
          </w:p>
          <w:p w14:paraId="1489894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Direktorat za digitalizaciju i eServise</w:t>
            </w:r>
          </w:p>
          <w:p w14:paraId="7B63FDF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Tel: (+382) 20 482 131 </w:t>
            </w:r>
          </w:p>
        </w:tc>
      </w:tr>
      <w:tr w:rsidR="005B3072" w14:paraId="1EE9D717"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09A99460" w14:textId="77777777" w:rsidR="005B3072" w:rsidRDefault="00A46913">
            <w:pPr>
              <w:widowControl w:val="0"/>
              <w:rPr>
                <w:sz w:val="18"/>
                <w:szCs w:val="18"/>
              </w:rPr>
            </w:pPr>
            <w:r>
              <w:rPr>
                <w:sz w:val="18"/>
                <w:szCs w:val="18"/>
              </w:rPr>
              <w:t>Informacija o instituciji odgovornoj za prikupljanje podataka</w:t>
            </w:r>
          </w:p>
        </w:tc>
        <w:tc>
          <w:tcPr>
            <w:tcW w:w="4126" w:type="pct"/>
            <w:gridSpan w:val="3"/>
            <w:tcBorders>
              <w:right w:val="single" w:sz="4" w:space="0" w:color="000000"/>
            </w:tcBorders>
            <w:vAlign w:val="center"/>
          </w:tcPr>
          <w:p w14:paraId="49ADDEC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p w14:paraId="2E4818BD"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32669DCE" w14:textId="77777777" w:rsidTr="005E4CCE">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0BED4B53" w14:textId="77777777" w:rsidR="005B3072" w:rsidRDefault="00A46913">
            <w:pPr>
              <w:widowControl w:val="0"/>
              <w:rPr>
                <w:sz w:val="18"/>
                <w:szCs w:val="18"/>
              </w:rPr>
            </w:pPr>
            <w:r>
              <w:rPr>
                <w:sz w:val="18"/>
                <w:szCs w:val="18"/>
              </w:rPr>
              <w:t>Učestalost prikupljanja podataka</w:t>
            </w:r>
          </w:p>
        </w:tc>
        <w:tc>
          <w:tcPr>
            <w:tcW w:w="4126" w:type="pct"/>
            <w:gridSpan w:val="3"/>
            <w:tcBorders>
              <w:right w:val="single" w:sz="4" w:space="0" w:color="000000"/>
            </w:tcBorders>
            <w:vAlign w:val="center"/>
          </w:tcPr>
          <w:p w14:paraId="296F6AF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w:t>
            </w:r>
          </w:p>
        </w:tc>
      </w:tr>
      <w:tr w:rsidR="005B3072" w14:paraId="614FFD1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25C0C426" w14:textId="77777777" w:rsidR="005B3072" w:rsidRDefault="00A46913">
            <w:pPr>
              <w:widowControl w:val="0"/>
              <w:rPr>
                <w:sz w:val="18"/>
                <w:szCs w:val="18"/>
              </w:rPr>
            </w:pPr>
            <w:r>
              <w:rPr>
                <w:sz w:val="18"/>
                <w:szCs w:val="18"/>
              </w:rPr>
              <w:t>Učestalost izvještavanja o vrijednosti indikatora</w:t>
            </w:r>
          </w:p>
        </w:tc>
        <w:tc>
          <w:tcPr>
            <w:tcW w:w="4126" w:type="pct"/>
            <w:gridSpan w:val="3"/>
            <w:tcBorders>
              <w:right w:val="single" w:sz="4" w:space="0" w:color="000000"/>
            </w:tcBorders>
            <w:vAlign w:val="center"/>
          </w:tcPr>
          <w:p w14:paraId="6F31B74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215BC1DC" w14:textId="77777777" w:rsidTr="005E4CCE">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54AD82D2" w14:textId="77777777" w:rsidR="005B3072" w:rsidRDefault="00A46913">
            <w:pPr>
              <w:widowControl w:val="0"/>
              <w:rPr>
                <w:sz w:val="18"/>
                <w:szCs w:val="18"/>
              </w:rPr>
            </w:pPr>
            <w:r>
              <w:rPr>
                <w:sz w:val="18"/>
                <w:szCs w:val="18"/>
              </w:rPr>
              <w:t>Kratak opis metodologije izračunavanja podataka</w:t>
            </w:r>
          </w:p>
        </w:tc>
        <w:tc>
          <w:tcPr>
            <w:tcW w:w="4126" w:type="pct"/>
            <w:gridSpan w:val="3"/>
            <w:tcBorders>
              <w:right w:val="single" w:sz="4" w:space="0" w:color="000000"/>
            </w:tcBorders>
            <w:vAlign w:val="center"/>
          </w:tcPr>
          <w:p w14:paraId="1F808AD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Procenat e-usluga koje se vode u Katalogu usluga elektronske uprave, a koje po jednom upitu mogu prikupiti podatke više od jednog registra = Broj aktivnih e-usluga, iz Kataloga usluga elektronske uprave, koje po jednom upitu prikupljaju podatke od više od jednog registra / Ukupan broj elektronskih usluga, iz Kataloga usluga elektronske uprave x 100</w:t>
            </w:r>
          </w:p>
        </w:tc>
      </w:tr>
      <w:tr w:rsidR="005B3072" w14:paraId="4C99AF5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5828E7A4" w14:textId="77777777" w:rsidR="005B3072" w:rsidRDefault="00A46913">
            <w:pPr>
              <w:widowControl w:val="0"/>
              <w:rPr>
                <w:sz w:val="18"/>
                <w:szCs w:val="18"/>
              </w:rPr>
            </w:pPr>
            <w:r>
              <w:rPr>
                <w:sz w:val="18"/>
                <w:szCs w:val="18"/>
              </w:rPr>
              <w:t xml:space="preserve">Kontakt osoba </w:t>
            </w:r>
          </w:p>
        </w:tc>
        <w:tc>
          <w:tcPr>
            <w:tcW w:w="4126" w:type="pct"/>
            <w:gridSpan w:val="3"/>
            <w:tcBorders>
              <w:right w:val="single" w:sz="4" w:space="0" w:color="000000"/>
            </w:tcBorders>
            <w:vAlign w:val="center"/>
          </w:tcPr>
          <w:p w14:paraId="344B6CC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Vanja Lazarević</w:t>
            </w:r>
          </w:p>
        </w:tc>
      </w:tr>
      <w:tr w:rsidR="005B3072" w14:paraId="782F5F6B" w14:textId="77777777" w:rsidTr="005E4CCE">
        <w:tc>
          <w:tcPr>
            <w:cnfStyle w:val="001000000000" w:firstRow="0" w:lastRow="0" w:firstColumn="1" w:lastColumn="0" w:oddVBand="0" w:evenVBand="0" w:oddHBand="0" w:evenHBand="0" w:firstRowFirstColumn="0" w:firstRowLastColumn="0" w:lastRowFirstColumn="0" w:lastRowLastColumn="0"/>
            <w:tcW w:w="874" w:type="pct"/>
            <w:tcBorders>
              <w:left w:val="single" w:sz="4" w:space="0" w:color="000000"/>
            </w:tcBorders>
            <w:vAlign w:val="center"/>
          </w:tcPr>
          <w:p w14:paraId="3EE97A25" w14:textId="77777777" w:rsidR="005B3072" w:rsidRDefault="00A46913">
            <w:pPr>
              <w:widowControl w:val="0"/>
              <w:rPr>
                <w:sz w:val="18"/>
                <w:szCs w:val="18"/>
              </w:rPr>
            </w:pPr>
            <w:r>
              <w:rPr>
                <w:sz w:val="18"/>
                <w:szCs w:val="18"/>
              </w:rPr>
              <w:t>e-mail</w:t>
            </w:r>
          </w:p>
        </w:tc>
        <w:tc>
          <w:tcPr>
            <w:tcW w:w="4126" w:type="pct"/>
            <w:gridSpan w:val="3"/>
            <w:tcBorders>
              <w:right w:val="single" w:sz="4" w:space="0" w:color="000000"/>
            </w:tcBorders>
            <w:vAlign w:val="center"/>
          </w:tcPr>
          <w:p w14:paraId="1DFFC4D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rFonts w:ascii="Arial" w:eastAsia="Arial" w:hAnsi="Arial" w:cs="Arial"/>
                <w:sz w:val="18"/>
                <w:szCs w:val="18"/>
                <w:highlight w:val="white"/>
              </w:rPr>
              <w:t> </w:t>
            </w:r>
            <w:hyperlink r:id="rId43">
              <w:r>
                <w:rPr>
                  <w:rFonts w:ascii="Arial" w:eastAsia="Arial" w:hAnsi="Arial" w:cs="Arial"/>
                  <w:color w:val="0563C1"/>
                  <w:sz w:val="18"/>
                  <w:szCs w:val="18"/>
                  <w:highlight w:val="white"/>
                  <w:u w:val="single"/>
                </w:rPr>
                <w:t>vanja.lazarevic@mju.gov.me</w:t>
              </w:r>
            </w:hyperlink>
            <w:r>
              <w:rPr>
                <w:rFonts w:ascii="Arial" w:eastAsia="Arial" w:hAnsi="Arial" w:cs="Arial"/>
                <w:sz w:val="18"/>
                <w:szCs w:val="18"/>
                <w:highlight w:val="white"/>
              </w:rPr>
              <w:t xml:space="preserve"> </w:t>
            </w:r>
          </w:p>
        </w:tc>
      </w:tr>
      <w:tr w:rsidR="005B3072" w14:paraId="0368AA7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vMerge w:val="restart"/>
            <w:tcBorders>
              <w:left w:val="single" w:sz="4" w:space="0" w:color="000000"/>
            </w:tcBorders>
            <w:vAlign w:val="center"/>
          </w:tcPr>
          <w:p w14:paraId="4C6C7A9D" w14:textId="77777777" w:rsidR="005B3072" w:rsidRDefault="00A46913">
            <w:pPr>
              <w:widowControl w:val="0"/>
              <w:rPr>
                <w:sz w:val="18"/>
                <w:szCs w:val="18"/>
              </w:rPr>
            </w:pPr>
            <w:r>
              <w:rPr>
                <w:sz w:val="18"/>
                <w:szCs w:val="18"/>
              </w:rPr>
              <w:t>Informacija o trendu i početnoj vrijednosti</w:t>
            </w:r>
          </w:p>
        </w:tc>
        <w:tc>
          <w:tcPr>
            <w:tcW w:w="515" w:type="pct"/>
            <w:vAlign w:val="center"/>
          </w:tcPr>
          <w:p w14:paraId="78A8C4D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14" w:type="pct"/>
            <w:vAlign w:val="center"/>
          </w:tcPr>
          <w:p w14:paraId="7D94EE0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(2021.)</w:t>
            </w:r>
          </w:p>
        </w:tc>
        <w:tc>
          <w:tcPr>
            <w:tcW w:w="2796" w:type="pct"/>
            <w:tcBorders>
              <w:right w:val="single" w:sz="4" w:space="0" w:color="000000"/>
            </w:tcBorders>
            <w:vAlign w:val="center"/>
          </w:tcPr>
          <w:p w14:paraId="557BA4A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15197483" w14:textId="77777777" w:rsidTr="005E4CCE">
        <w:tc>
          <w:tcPr>
            <w:cnfStyle w:val="001000000000" w:firstRow="0" w:lastRow="0" w:firstColumn="1" w:lastColumn="0" w:oddVBand="0" w:evenVBand="0" w:oddHBand="0" w:evenHBand="0" w:firstRowFirstColumn="0" w:firstRowLastColumn="0" w:lastRowFirstColumn="0" w:lastRowLastColumn="0"/>
            <w:tcW w:w="874" w:type="pct"/>
            <w:vMerge/>
            <w:tcBorders>
              <w:left w:val="single" w:sz="4" w:space="0" w:color="000000"/>
            </w:tcBorders>
            <w:vAlign w:val="center"/>
          </w:tcPr>
          <w:p w14:paraId="616013C8" w14:textId="77777777" w:rsidR="005B3072" w:rsidRDefault="005B3072">
            <w:pPr>
              <w:widowControl w:val="0"/>
              <w:pBdr>
                <w:top w:val="nil"/>
                <w:left w:val="nil"/>
                <w:bottom w:val="nil"/>
                <w:right w:val="nil"/>
                <w:between w:val="nil"/>
              </w:pBdr>
              <w:spacing w:line="276" w:lineRule="auto"/>
              <w:rPr>
                <w:sz w:val="18"/>
                <w:szCs w:val="18"/>
              </w:rPr>
            </w:pPr>
          </w:p>
        </w:tc>
        <w:tc>
          <w:tcPr>
            <w:tcW w:w="515" w:type="pct"/>
            <w:vAlign w:val="center"/>
          </w:tcPr>
          <w:p w14:paraId="3DE3D23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611" w:type="pct"/>
            <w:gridSpan w:val="2"/>
            <w:tcBorders>
              <w:right w:val="single" w:sz="4" w:space="0" w:color="000000"/>
            </w:tcBorders>
            <w:vAlign w:val="center"/>
          </w:tcPr>
          <w:p w14:paraId="6804A42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5B3072" w14:paraId="0C917E74"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 w:type="pct"/>
            <w:vMerge w:val="restart"/>
            <w:tcBorders>
              <w:left w:val="single" w:sz="4" w:space="0" w:color="000000"/>
            </w:tcBorders>
            <w:vAlign w:val="center"/>
          </w:tcPr>
          <w:p w14:paraId="0C9775FF" w14:textId="77777777" w:rsidR="005B3072" w:rsidRDefault="00A46913">
            <w:pPr>
              <w:widowControl w:val="0"/>
              <w:rPr>
                <w:sz w:val="18"/>
                <w:szCs w:val="18"/>
              </w:rPr>
            </w:pPr>
            <w:r>
              <w:rPr>
                <w:sz w:val="18"/>
                <w:szCs w:val="18"/>
              </w:rPr>
              <w:t>Informacija o ciljnim vrijednostima</w:t>
            </w:r>
          </w:p>
        </w:tc>
        <w:tc>
          <w:tcPr>
            <w:tcW w:w="515" w:type="pct"/>
            <w:vAlign w:val="center"/>
          </w:tcPr>
          <w:p w14:paraId="2996782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14" w:type="pct"/>
            <w:tcBorders>
              <w:right w:val="single" w:sz="4" w:space="0" w:color="000000"/>
            </w:tcBorders>
            <w:vAlign w:val="center"/>
          </w:tcPr>
          <w:p w14:paraId="0C8C32B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796" w:type="pct"/>
            <w:tcBorders>
              <w:left w:val="single" w:sz="4" w:space="0" w:color="000000"/>
              <w:right w:val="single" w:sz="4" w:space="0" w:color="000000"/>
            </w:tcBorders>
            <w:vAlign w:val="center"/>
          </w:tcPr>
          <w:p w14:paraId="7982089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5C7F7939" w14:textId="77777777" w:rsidTr="005E4CCE">
        <w:tc>
          <w:tcPr>
            <w:cnfStyle w:val="001000000000" w:firstRow="0" w:lastRow="0" w:firstColumn="1" w:lastColumn="0" w:oddVBand="0" w:evenVBand="0" w:oddHBand="0" w:evenHBand="0" w:firstRowFirstColumn="0" w:firstRowLastColumn="0" w:lastRowFirstColumn="0" w:lastRowLastColumn="0"/>
            <w:tcW w:w="874" w:type="pct"/>
            <w:vMerge/>
            <w:tcBorders>
              <w:left w:val="single" w:sz="4" w:space="0" w:color="000000"/>
            </w:tcBorders>
            <w:vAlign w:val="center"/>
          </w:tcPr>
          <w:p w14:paraId="44ACCEBB" w14:textId="77777777" w:rsidR="005B3072" w:rsidRDefault="005B3072">
            <w:pPr>
              <w:widowControl w:val="0"/>
              <w:pBdr>
                <w:top w:val="nil"/>
                <w:left w:val="nil"/>
                <w:bottom w:val="nil"/>
                <w:right w:val="nil"/>
                <w:between w:val="nil"/>
              </w:pBdr>
              <w:spacing w:line="276" w:lineRule="auto"/>
              <w:rPr>
                <w:sz w:val="18"/>
                <w:szCs w:val="18"/>
              </w:rPr>
            </w:pPr>
          </w:p>
        </w:tc>
        <w:tc>
          <w:tcPr>
            <w:tcW w:w="515" w:type="pct"/>
            <w:tcBorders>
              <w:bottom w:val="single" w:sz="4" w:space="0" w:color="000000"/>
            </w:tcBorders>
            <w:vAlign w:val="center"/>
          </w:tcPr>
          <w:p w14:paraId="3483A45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814" w:type="pct"/>
            <w:tcBorders>
              <w:bottom w:val="single" w:sz="4" w:space="0" w:color="000000"/>
              <w:right w:val="single" w:sz="4" w:space="0" w:color="000000"/>
            </w:tcBorders>
            <w:vAlign w:val="center"/>
          </w:tcPr>
          <w:p w14:paraId="39437CB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10% </w:t>
            </w:r>
          </w:p>
        </w:tc>
        <w:tc>
          <w:tcPr>
            <w:tcW w:w="2796" w:type="pct"/>
            <w:tcBorders>
              <w:bottom w:val="single" w:sz="4" w:space="0" w:color="000000"/>
              <w:right w:val="single" w:sz="4" w:space="0" w:color="000000"/>
            </w:tcBorders>
            <w:vAlign w:val="center"/>
          </w:tcPr>
          <w:p w14:paraId="6D1512C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20% </w:t>
            </w:r>
          </w:p>
        </w:tc>
      </w:tr>
    </w:tbl>
    <w:p w14:paraId="215A5A73" w14:textId="77777777" w:rsidR="005B3072" w:rsidRDefault="005B3072">
      <w:pPr>
        <w:widowControl w:val="0"/>
        <w:spacing w:after="0" w:line="240" w:lineRule="auto"/>
        <w:ind w:right="848"/>
        <w:jc w:val="both"/>
        <w:rPr>
          <w:rFonts w:ascii="Georgia" w:eastAsia="Georgia" w:hAnsi="Georgia" w:cs="Georgia"/>
          <w:color w:val="192F41"/>
          <w:sz w:val="18"/>
          <w:szCs w:val="18"/>
        </w:rPr>
      </w:pPr>
    </w:p>
    <w:p w14:paraId="224C9FFB" w14:textId="77777777" w:rsidR="005B3072" w:rsidRDefault="005B3072">
      <w:pPr>
        <w:rPr>
          <w:rFonts w:ascii="Georgia" w:eastAsia="Georgia" w:hAnsi="Georgia" w:cs="Georgia"/>
          <w:color w:val="192F41"/>
        </w:rPr>
      </w:pPr>
    </w:p>
    <w:tbl>
      <w:tblPr>
        <w:tblStyle w:val="afc"/>
        <w:tblW w:w="5000" w:type="pct"/>
        <w:tblLook w:val="0400" w:firstRow="0" w:lastRow="0" w:firstColumn="0" w:lastColumn="0" w:noHBand="0" w:noVBand="1"/>
      </w:tblPr>
      <w:tblGrid>
        <w:gridCol w:w="2251"/>
        <w:gridCol w:w="8209"/>
      </w:tblGrid>
      <w:tr w:rsidR="005B3072" w14:paraId="65B6CE7D" w14:textId="77777777" w:rsidTr="005E4CCE">
        <w:trPr>
          <w:trHeight w:val="1187"/>
        </w:trPr>
        <w:tc>
          <w:tcPr>
            <w:tcW w:w="1076"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70A22E7B"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1.3</w:t>
            </w:r>
          </w:p>
        </w:tc>
        <w:tc>
          <w:tcPr>
            <w:tcW w:w="3924"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18DE1DC5"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Povećana pokrivenost i modernizacija elektronske komunikacione infrastrukture</w:t>
            </w:r>
          </w:p>
          <w:p w14:paraId="1C28D66D" w14:textId="77777777" w:rsidR="005B3072" w:rsidRDefault="005B3072">
            <w:pPr>
              <w:rPr>
                <w:rFonts w:ascii="Times New Roman" w:eastAsia="Times New Roman" w:hAnsi="Times New Roman" w:cs="Times New Roman"/>
                <w:sz w:val="24"/>
                <w:szCs w:val="24"/>
              </w:rPr>
            </w:pPr>
          </w:p>
        </w:tc>
      </w:tr>
    </w:tbl>
    <w:p w14:paraId="311C88C6" w14:textId="77777777" w:rsidR="005B3072" w:rsidRDefault="005B3072">
      <w:pPr>
        <w:rPr>
          <w:rFonts w:ascii="Georgia" w:eastAsia="Georgia" w:hAnsi="Georgia" w:cs="Georgia"/>
          <w:color w:val="192F41"/>
        </w:rPr>
      </w:pPr>
    </w:p>
    <w:tbl>
      <w:tblPr>
        <w:tblStyle w:val="afd"/>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19"/>
        <w:gridCol w:w="1033"/>
        <w:gridCol w:w="1646"/>
        <w:gridCol w:w="5862"/>
      </w:tblGrid>
      <w:tr w:rsidR="005B3072" w14:paraId="78B8C3BD"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17" w:type="pct"/>
            <w:tcBorders>
              <w:top w:val="single" w:sz="4" w:space="0" w:color="000000"/>
              <w:left w:val="single" w:sz="4" w:space="0" w:color="000000"/>
            </w:tcBorders>
            <w:vAlign w:val="center"/>
          </w:tcPr>
          <w:p w14:paraId="2EB7D4F8" w14:textId="77777777" w:rsidR="005B3072" w:rsidRDefault="00A46913">
            <w:pPr>
              <w:widowControl w:val="0"/>
              <w:rPr>
                <w:sz w:val="18"/>
                <w:szCs w:val="18"/>
              </w:rPr>
            </w:pPr>
            <w:r>
              <w:rPr>
                <w:sz w:val="18"/>
                <w:szCs w:val="18"/>
              </w:rPr>
              <w:t>Kategorija</w:t>
            </w:r>
          </w:p>
        </w:tc>
        <w:tc>
          <w:tcPr>
            <w:tcW w:w="4083" w:type="pct"/>
            <w:gridSpan w:val="3"/>
            <w:tcBorders>
              <w:top w:val="single" w:sz="4" w:space="0" w:color="000000"/>
              <w:right w:val="single" w:sz="4" w:space="0" w:color="000000"/>
            </w:tcBorders>
            <w:vAlign w:val="center"/>
          </w:tcPr>
          <w:p w14:paraId="5D71FB0B"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18"/>
                <w:szCs w:val="18"/>
              </w:rPr>
            </w:pPr>
            <w:r>
              <w:rPr>
                <w:rFonts w:ascii="Georgia" w:eastAsia="Georgia" w:hAnsi="Georgia" w:cs="Georgia"/>
                <w:sz w:val="18"/>
                <w:szCs w:val="18"/>
              </w:rPr>
              <w:t>Opis</w:t>
            </w:r>
          </w:p>
        </w:tc>
      </w:tr>
      <w:tr w:rsidR="005B3072" w14:paraId="7AC4473F"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633A1555" w14:textId="77777777" w:rsidR="005B3072" w:rsidRDefault="00A46913">
            <w:pPr>
              <w:widowControl w:val="0"/>
              <w:rPr>
                <w:sz w:val="18"/>
                <w:szCs w:val="18"/>
              </w:rPr>
            </w:pPr>
            <w:r>
              <w:rPr>
                <w:sz w:val="18"/>
                <w:szCs w:val="18"/>
              </w:rPr>
              <w:t>Naziv indikatora</w:t>
            </w:r>
          </w:p>
        </w:tc>
        <w:tc>
          <w:tcPr>
            <w:tcW w:w="4083" w:type="pct"/>
            <w:gridSpan w:val="3"/>
            <w:tcBorders>
              <w:right w:val="single" w:sz="4" w:space="0" w:color="000000"/>
            </w:tcBorders>
            <w:vAlign w:val="center"/>
          </w:tcPr>
          <w:p w14:paraId="4651387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rFonts w:ascii="Sitka Text" w:eastAsia="Sitka Text" w:hAnsi="Sitka Text" w:cs="Sitka Text"/>
                <w:b/>
                <w:color w:val="1F4E79"/>
                <w:sz w:val="20"/>
                <w:szCs w:val="20"/>
              </w:rPr>
            </w:pPr>
            <w:r>
              <w:rPr>
                <w:rFonts w:ascii="Sitka Text" w:eastAsia="Sitka Text" w:hAnsi="Sitka Text" w:cs="Sitka Text"/>
                <w:b/>
                <w:color w:val="1F4E79"/>
                <w:sz w:val="20"/>
                <w:szCs w:val="20"/>
              </w:rPr>
              <w:t xml:space="preserve">Udio građana/ki koji koriste internet </w:t>
            </w:r>
          </w:p>
          <w:p w14:paraId="34F01E39"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44FB4E8A" w14:textId="77777777" w:rsidTr="005E4CCE">
        <w:trPr>
          <w:trHeight w:val="738"/>
        </w:trPr>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56EE3438" w14:textId="77777777" w:rsidR="005B3072" w:rsidRDefault="00A46913">
            <w:pPr>
              <w:widowControl w:val="0"/>
              <w:rPr>
                <w:sz w:val="18"/>
                <w:szCs w:val="18"/>
              </w:rPr>
            </w:pPr>
            <w:r>
              <w:rPr>
                <w:sz w:val="18"/>
                <w:szCs w:val="18"/>
              </w:rPr>
              <w:t>Cilj na koji se indikator odnosi</w:t>
            </w:r>
          </w:p>
        </w:tc>
        <w:tc>
          <w:tcPr>
            <w:tcW w:w="4083" w:type="pct"/>
            <w:gridSpan w:val="3"/>
            <w:tcBorders>
              <w:right w:val="single" w:sz="4" w:space="0" w:color="000000"/>
            </w:tcBorders>
            <w:vAlign w:val="center"/>
          </w:tcPr>
          <w:p w14:paraId="0B563DC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Praćenjem ovog indikatora želi se povećati udio građana/ki koji koriste internet kroz povećanu pokrivenost i modernizaciju informaciono-telekomunikacione infrastrukture kojom bi se obuhvatila i ruralna područja.</w:t>
            </w:r>
          </w:p>
          <w:p w14:paraId="068C0728"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6744A78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7800E922" w14:textId="77777777" w:rsidR="005B3072" w:rsidRDefault="005B3072">
            <w:pPr>
              <w:widowControl w:val="0"/>
              <w:rPr>
                <w:sz w:val="18"/>
                <w:szCs w:val="18"/>
              </w:rPr>
            </w:pPr>
          </w:p>
          <w:p w14:paraId="55FCB7DC" w14:textId="77777777" w:rsidR="005B3072" w:rsidRDefault="00A46913">
            <w:pPr>
              <w:widowControl w:val="0"/>
              <w:rPr>
                <w:sz w:val="18"/>
                <w:szCs w:val="18"/>
              </w:rPr>
            </w:pPr>
            <w:r>
              <w:rPr>
                <w:sz w:val="18"/>
                <w:szCs w:val="18"/>
              </w:rPr>
              <w:t>Podaci koje je potrebno prikupiti</w:t>
            </w:r>
          </w:p>
        </w:tc>
        <w:tc>
          <w:tcPr>
            <w:tcW w:w="4083" w:type="pct"/>
            <w:gridSpan w:val="3"/>
            <w:tcBorders>
              <w:right w:val="single" w:sz="4" w:space="0" w:color="000000"/>
            </w:tcBorders>
            <w:vAlign w:val="center"/>
          </w:tcPr>
          <w:p w14:paraId="5B264C2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Istraživanje „Upotreba informaciono-komunikacionih tehnologija u Crnoj Gori" („Lica koja su koristila Internet“) koje redovno sprovodi Uprava za statistiku MONSTAT. Indikator treba da bude potpuno identičan sa DESI indikatorom „3a2 Internet Users“.</w:t>
            </w:r>
          </w:p>
        </w:tc>
      </w:tr>
      <w:tr w:rsidR="005B3072" w14:paraId="4C882248" w14:textId="77777777" w:rsidTr="005E4CCE">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4FDC79DA" w14:textId="77777777" w:rsidR="005B3072" w:rsidRDefault="00A46913">
            <w:pPr>
              <w:widowControl w:val="0"/>
              <w:rPr>
                <w:sz w:val="18"/>
                <w:szCs w:val="18"/>
              </w:rPr>
            </w:pPr>
            <w:r>
              <w:rPr>
                <w:sz w:val="18"/>
                <w:szCs w:val="18"/>
              </w:rPr>
              <w:t>Izvor podataka</w:t>
            </w:r>
          </w:p>
        </w:tc>
        <w:tc>
          <w:tcPr>
            <w:tcW w:w="4083" w:type="pct"/>
            <w:gridSpan w:val="3"/>
            <w:tcBorders>
              <w:right w:val="single" w:sz="4" w:space="0" w:color="000000"/>
            </w:tcBorders>
            <w:vAlign w:val="center"/>
          </w:tcPr>
          <w:p w14:paraId="583B91C9"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0054B3F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Uprava za statistiku – MONSTAT kroz redovno godišnje istraživanje</w:t>
            </w:r>
          </w:p>
        </w:tc>
      </w:tr>
      <w:tr w:rsidR="005B3072" w14:paraId="1DF14BDA"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1D97F60F" w14:textId="77777777" w:rsidR="005B3072" w:rsidRDefault="00A46913">
            <w:pPr>
              <w:widowControl w:val="0"/>
              <w:rPr>
                <w:sz w:val="18"/>
                <w:szCs w:val="18"/>
              </w:rPr>
            </w:pPr>
            <w:r>
              <w:rPr>
                <w:sz w:val="18"/>
                <w:szCs w:val="18"/>
              </w:rPr>
              <w:t>Informacija o instituciji odgovornoj za prikupljanje podataka</w:t>
            </w:r>
          </w:p>
        </w:tc>
        <w:tc>
          <w:tcPr>
            <w:tcW w:w="4083" w:type="pct"/>
            <w:gridSpan w:val="3"/>
            <w:tcBorders>
              <w:right w:val="single" w:sz="4" w:space="0" w:color="000000"/>
            </w:tcBorders>
            <w:vAlign w:val="center"/>
          </w:tcPr>
          <w:p w14:paraId="69C74D6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Uprava za statistiku - MONSTAT</w:t>
            </w:r>
          </w:p>
        </w:tc>
      </w:tr>
      <w:tr w:rsidR="005B3072" w14:paraId="423530D8" w14:textId="77777777" w:rsidTr="005E4CCE">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4CF79F18" w14:textId="77777777" w:rsidR="005B3072" w:rsidRDefault="00A46913">
            <w:pPr>
              <w:widowControl w:val="0"/>
              <w:rPr>
                <w:sz w:val="18"/>
                <w:szCs w:val="18"/>
              </w:rPr>
            </w:pPr>
            <w:r>
              <w:rPr>
                <w:sz w:val="18"/>
                <w:szCs w:val="18"/>
              </w:rPr>
              <w:t>Učestalost prikupljanja podataka</w:t>
            </w:r>
          </w:p>
        </w:tc>
        <w:tc>
          <w:tcPr>
            <w:tcW w:w="4083" w:type="pct"/>
            <w:gridSpan w:val="3"/>
            <w:tcBorders>
              <w:right w:val="single" w:sz="4" w:space="0" w:color="000000"/>
            </w:tcBorders>
            <w:vAlign w:val="center"/>
          </w:tcPr>
          <w:p w14:paraId="529F3EB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Uprava za statistiku - MONSTAT ove podatke objavljuje jednom godišnje</w:t>
            </w:r>
          </w:p>
        </w:tc>
      </w:tr>
      <w:tr w:rsidR="005B3072" w14:paraId="2CE2347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0D9FA3D1" w14:textId="77777777" w:rsidR="005B3072" w:rsidRDefault="00A46913">
            <w:pPr>
              <w:widowControl w:val="0"/>
              <w:rPr>
                <w:sz w:val="18"/>
                <w:szCs w:val="18"/>
              </w:rPr>
            </w:pPr>
            <w:r>
              <w:rPr>
                <w:sz w:val="18"/>
                <w:szCs w:val="18"/>
              </w:rPr>
              <w:t>Učestalost izvještavanja o vrijednosti indikatora</w:t>
            </w:r>
          </w:p>
        </w:tc>
        <w:tc>
          <w:tcPr>
            <w:tcW w:w="4083" w:type="pct"/>
            <w:gridSpan w:val="3"/>
            <w:tcBorders>
              <w:right w:val="single" w:sz="4" w:space="0" w:color="000000"/>
            </w:tcBorders>
            <w:vAlign w:val="center"/>
          </w:tcPr>
          <w:p w14:paraId="405C382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367F1BD5" w14:textId="77777777" w:rsidTr="005E4CCE">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7D0370F9" w14:textId="77777777" w:rsidR="005B3072" w:rsidRDefault="00A46913">
            <w:pPr>
              <w:widowControl w:val="0"/>
              <w:rPr>
                <w:sz w:val="18"/>
                <w:szCs w:val="18"/>
              </w:rPr>
            </w:pPr>
            <w:r>
              <w:rPr>
                <w:sz w:val="18"/>
                <w:szCs w:val="18"/>
              </w:rPr>
              <w:t>Kratak opis metodologije izračunavanja podataka</w:t>
            </w:r>
          </w:p>
        </w:tc>
        <w:tc>
          <w:tcPr>
            <w:tcW w:w="4083" w:type="pct"/>
            <w:gridSpan w:val="3"/>
            <w:tcBorders>
              <w:right w:val="single" w:sz="4" w:space="0" w:color="000000"/>
            </w:tcBorders>
            <w:vAlign w:val="center"/>
          </w:tcPr>
          <w:p w14:paraId="0812060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Udio građana/ki koji koriste internet = Broj građana/ki koji su izjavili da koriste Internet/Ukupan broj ispitanika x 100</w:t>
            </w:r>
          </w:p>
        </w:tc>
      </w:tr>
      <w:tr w:rsidR="005B3072" w14:paraId="4DC4561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455B7E90" w14:textId="77777777" w:rsidR="005B3072" w:rsidRDefault="00A46913">
            <w:pPr>
              <w:widowControl w:val="0"/>
              <w:rPr>
                <w:sz w:val="18"/>
                <w:szCs w:val="18"/>
              </w:rPr>
            </w:pPr>
            <w:r>
              <w:rPr>
                <w:sz w:val="18"/>
                <w:szCs w:val="18"/>
              </w:rPr>
              <w:t xml:space="preserve">Kontakt osoba </w:t>
            </w:r>
          </w:p>
        </w:tc>
        <w:tc>
          <w:tcPr>
            <w:tcW w:w="4083" w:type="pct"/>
            <w:gridSpan w:val="3"/>
            <w:tcBorders>
              <w:right w:val="single" w:sz="4" w:space="0" w:color="000000"/>
            </w:tcBorders>
            <w:vAlign w:val="center"/>
          </w:tcPr>
          <w:p w14:paraId="62133F64"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p w14:paraId="1773BA7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Uprava za statistiku - MONSTAT</w:t>
            </w:r>
          </w:p>
        </w:tc>
      </w:tr>
      <w:tr w:rsidR="005B3072" w14:paraId="08DD1515" w14:textId="77777777" w:rsidTr="005E4CCE">
        <w:tc>
          <w:tcPr>
            <w:cnfStyle w:val="001000000000" w:firstRow="0" w:lastRow="0" w:firstColumn="1" w:lastColumn="0" w:oddVBand="0" w:evenVBand="0" w:oddHBand="0" w:evenHBand="0" w:firstRowFirstColumn="0" w:firstRowLastColumn="0" w:lastRowFirstColumn="0" w:lastRowLastColumn="0"/>
            <w:tcW w:w="917" w:type="pct"/>
            <w:tcBorders>
              <w:left w:val="single" w:sz="4" w:space="0" w:color="000000"/>
            </w:tcBorders>
            <w:vAlign w:val="center"/>
          </w:tcPr>
          <w:p w14:paraId="0027B6C8" w14:textId="77777777" w:rsidR="005B3072" w:rsidRDefault="00A46913">
            <w:pPr>
              <w:widowControl w:val="0"/>
              <w:rPr>
                <w:sz w:val="18"/>
                <w:szCs w:val="18"/>
              </w:rPr>
            </w:pPr>
            <w:r>
              <w:rPr>
                <w:sz w:val="18"/>
                <w:szCs w:val="18"/>
              </w:rPr>
              <w:t>e-mail</w:t>
            </w:r>
          </w:p>
        </w:tc>
        <w:tc>
          <w:tcPr>
            <w:tcW w:w="4083" w:type="pct"/>
            <w:gridSpan w:val="3"/>
            <w:tcBorders>
              <w:right w:val="single" w:sz="4" w:space="0" w:color="000000"/>
            </w:tcBorders>
            <w:vAlign w:val="center"/>
          </w:tcPr>
          <w:p w14:paraId="0E9BC4E4"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4">
              <w:r w:rsidR="00A46913">
                <w:rPr>
                  <w:color w:val="0563C1"/>
                  <w:sz w:val="18"/>
                  <w:szCs w:val="18"/>
                  <w:u w:val="single"/>
                </w:rPr>
                <w:t>contact@monstat.org</w:t>
              </w:r>
            </w:hyperlink>
            <w:r w:rsidR="00A46913">
              <w:rPr>
                <w:sz w:val="18"/>
                <w:szCs w:val="18"/>
              </w:rPr>
              <w:t xml:space="preserve"> </w:t>
            </w:r>
          </w:p>
        </w:tc>
      </w:tr>
      <w:tr w:rsidR="005B3072" w14:paraId="73CDC63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vMerge w:val="restart"/>
            <w:tcBorders>
              <w:left w:val="single" w:sz="4" w:space="0" w:color="000000"/>
            </w:tcBorders>
            <w:vAlign w:val="center"/>
          </w:tcPr>
          <w:p w14:paraId="247E7598" w14:textId="77777777" w:rsidR="005B3072" w:rsidRDefault="00A46913">
            <w:pPr>
              <w:widowControl w:val="0"/>
              <w:rPr>
                <w:sz w:val="18"/>
                <w:szCs w:val="18"/>
              </w:rPr>
            </w:pPr>
            <w:r>
              <w:rPr>
                <w:sz w:val="18"/>
                <w:szCs w:val="18"/>
              </w:rPr>
              <w:t>Informacija o trendu i početnoj vrijednosti</w:t>
            </w:r>
          </w:p>
        </w:tc>
        <w:tc>
          <w:tcPr>
            <w:tcW w:w="494" w:type="pct"/>
            <w:vAlign w:val="center"/>
          </w:tcPr>
          <w:p w14:paraId="2271FF4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87" w:type="pct"/>
            <w:vAlign w:val="center"/>
          </w:tcPr>
          <w:p w14:paraId="0A5AEF2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highlight w:val="yellow"/>
              </w:rPr>
            </w:pPr>
            <w:r>
              <w:rPr>
                <w:sz w:val="18"/>
                <w:szCs w:val="18"/>
              </w:rPr>
              <w:t>Trend 2021.</w:t>
            </w:r>
          </w:p>
        </w:tc>
        <w:tc>
          <w:tcPr>
            <w:tcW w:w="2803" w:type="pct"/>
            <w:tcBorders>
              <w:right w:val="single" w:sz="4" w:space="0" w:color="000000"/>
            </w:tcBorders>
            <w:vAlign w:val="center"/>
          </w:tcPr>
          <w:p w14:paraId="5D968DE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73E7721F" w14:textId="77777777" w:rsidTr="005E4CCE">
        <w:tc>
          <w:tcPr>
            <w:cnfStyle w:val="001000000000" w:firstRow="0" w:lastRow="0" w:firstColumn="1" w:lastColumn="0" w:oddVBand="0" w:evenVBand="0" w:oddHBand="0" w:evenHBand="0" w:firstRowFirstColumn="0" w:firstRowLastColumn="0" w:lastRowFirstColumn="0" w:lastRowLastColumn="0"/>
            <w:tcW w:w="917" w:type="pct"/>
            <w:vMerge/>
            <w:tcBorders>
              <w:left w:val="single" w:sz="4" w:space="0" w:color="000000"/>
            </w:tcBorders>
            <w:vAlign w:val="center"/>
          </w:tcPr>
          <w:p w14:paraId="383AA8F0" w14:textId="77777777" w:rsidR="005B3072" w:rsidRDefault="005B3072">
            <w:pPr>
              <w:widowControl w:val="0"/>
              <w:pBdr>
                <w:top w:val="nil"/>
                <w:left w:val="nil"/>
                <w:bottom w:val="nil"/>
                <w:right w:val="nil"/>
                <w:between w:val="nil"/>
              </w:pBdr>
              <w:spacing w:line="276" w:lineRule="auto"/>
              <w:rPr>
                <w:sz w:val="18"/>
                <w:szCs w:val="18"/>
              </w:rPr>
            </w:pPr>
          </w:p>
        </w:tc>
        <w:tc>
          <w:tcPr>
            <w:tcW w:w="494" w:type="pct"/>
            <w:vAlign w:val="center"/>
          </w:tcPr>
          <w:p w14:paraId="3D6FE16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90" w:type="pct"/>
            <w:gridSpan w:val="2"/>
            <w:tcBorders>
              <w:right w:val="single" w:sz="4" w:space="0" w:color="000000"/>
            </w:tcBorders>
            <w:vAlign w:val="center"/>
          </w:tcPr>
          <w:p w14:paraId="0827A4B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82,2%</w:t>
            </w:r>
          </w:p>
        </w:tc>
      </w:tr>
      <w:tr w:rsidR="005B3072" w14:paraId="61778B1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7" w:type="pct"/>
            <w:vMerge w:val="restart"/>
            <w:tcBorders>
              <w:left w:val="single" w:sz="4" w:space="0" w:color="000000"/>
            </w:tcBorders>
            <w:vAlign w:val="center"/>
          </w:tcPr>
          <w:p w14:paraId="11120773" w14:textId="77777777" w:rsidR="005B3072" w:rsidRDefault="00A46913">
            <w:pPr>
              <w:widowControl w:val="0"/>
              <w:rPr>
                <w:sz w:val="18"/>
                <w:szCs w:val="18"/>
              </w:rPr>
            </w:pPr>
            <w:r>
              <w:rPr>
                <w:sz w:val="18"/>
                <w:szCs w:val="18"/>
              </w:rPr>
              <w:t>Informacija o ciljnim vrijednostima</w:t>
            </w:r>
          </w:p>
        </w:tc>
        <w:tc>
          <w:tcPr>
            <w:tcW w:w="494" w:type="pct"/>
            <w:vAlign w:val="center"/>
          </w:tcPr>
          <w:p w14:paraId="7BB487B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87" w:type="pct"/>
            <w:tcBorders>
              <w:right w:val="single" w:sz="4" w:space="0" w:color="000000"/>
            </w:tcBorders>
            <w:vAlign w:val="center"/>
          </w:tcPr>
          <w:p w14:paraId="57C84A0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803" w:type="pct"/>
            <w:tcBorders>
              <w:left w:val="single" w:sz="4" w:space="0" w:color="000000"/>
              <w:right w:val="single" w:sz="4" w:space="0" w:color="000000"/>
            </w:tcBorders>
            <w:vAlign w:val="center"/>
          </w:tcPr>
          <w:p w14:paraId="39CBFB6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78C97317" w14:textId="77777777" w:rsidTr="005E4CCE">
        <w:tc>
          <w:tcPr>
            <w:cnfStyle w:val="001000000000" w:firstRow="0" w:lastRow="0" w:firstColumn="1" w:lastColumn="0" w:oddVBand="0" w:evenVBand="0" w:oddHBand="0" w:evenHBand="0" w:firstRowFirstColumn="0" w:firstRowLastColumn="0" w:lastRowFirstColumn="0" w:lastRowLastColumn="0"/>
            <w:tcW w:w="917" w:type="pct"/>
            <w:vMerge/>
            <w:tcBorders>
              <w:left w:val="single" w:sz="4" w:space="0" w:color="000000"/>
            </w:tcBorders>
            <w:vAlign w:val="center"/>
          </w:tcPr>
          <w:p w14:paraId="422086F7" w14:textId="77777777" w:rsidR="005B3072" w:rsidRDefault="005B3072">
            <w:pPr>
              <w:widowControl w:val="0"/>
              <w:pBdr>
                <w:top w:val="nil"/>
                <w:left w:val="nil"/>
                <w:bottom w:val="nil"/>
                <w:right w:val="nil"/>
                <w:between w:val="nil"/>
              </w:pBdr>
              <w:spacing w:line="276" w:lineRule="auto"/>
              <w:rPr>
                <w:sz w:val="18"/>
                <w:szCs w:val="18"/>
              </w:rPr>
            </w:pPr>
          </w:p>
        </w:tc>
        <w:tc>
          <w:tcPr>
            <w:tcW w:w="494" w:type="pct"/>
            <w:tcBorders>
              <w:bottom w:val="single" w:sz="4" w:space="0" w:color="000000"/>
            </w:tcBorders>
            <w:vAlign w:val="center"/>
          </w:tcPr>
          <w:p w14:paraId="74E68AB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787" w:type="pct"/>
            <w:tcBorders>
              <w:bottom w:val="single" w:sz="4" w:space="0" w:color="000000"/>
              <w:right w:val="single" w:sz="4" w:space="0" w:color="000000"/>
            </w:tcBorders>
            <w:vAlign w:val="center"/>
          </w:tcPr>
          <w:p w14:paraId="4B65932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86%</w:t>
            </w:r>
          </w:p>
        </w:tc>
        <w:tc>
          <w:tcPr>
            <w:tcW w:w="2803" w:type="pct"/>
            <w:tcBorders>
              <w:bottom w:val="single" w:sz="4" w:space="0" w:color="000000"/>
              <w:right w:val="single" w:sz="4" w:space="0" w:color="000000"/>
            </w:tcBorders>
            <w:vAlign w:val="center"/>
          </w:tcPr>
          <w:p w14:paraId="12CA5FC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89%</w:t>
            </w:r>
          </w:p>
        </w:tc>
      </w:tr>
    </w:tbl>
    <w:p w14:paraId="635127B9" w14:textId="77777777" w:rsidR="005B3072" w:rsidRDefault="005B3072">
      <w:pPr>
        <w:rPr>
          <w:rFonts w:ascii="Georgia" w:eastAsia="Georgia" w:hAnsi="Georgia" w:cs="Georgia"/>
          <w:color w:val="192F41"/>
        </w:rPr>
      </w:pPr>
    </w:p>
    <w:tbl>
      <w:tblPr>
        <w:tblStyle w:val="afe"/>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35"/>
        <w:gridCol w:w="1385"/>
        <w:gridCol w:w="1690"/>
        <w:gridCol w:w="5450"/>
      </w:tblGrid>
      <w:tr w:rsidR="005B3072" w14:paraId="3DEBED07"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25" w:type="pct"/>
            <w:tcBorders>
              <w:top w:val="single" w:sz="4" w:space="0" w:color="000000"/>
              <w:left w:val="single" w:sz="4" w:space="0" w:color="000000"/>
            </w:tcBorders>
            <w:vAlign w:val="center"/>
          </w:tcPr>
          <w:p w14:paraId="3B6DD37A" w14:textId="77777777" w:rsidR="005B3072" w:rsidRDefault="00A46913">
            <w:pPr>
              <w:widowControl w:val="0"/>
              <w:jc w:val="center"/>
              <w:rPr>
                <w:sz w:val="18"/>
                <w:szCs w:val="18"/>
              </w:rPr>
            </w:pPr>
            <w:r>
              <w:rPr>
                <w:sz w:val="18"/>
                <w:szCs w:val="18"/>
              </w:rPr>
              <w:t>Kategorija</w:t>
            </w:r>
          </w:p>
        </w:tc>
        <w:tc>
          <w:tcPr>
            <w:tcW w:w="4075" w:type="pct"/>
            <w:gridSpan w:val="3"/>
            <w:tcBorders>
              <w:top w:val="single" w:sz="4" w:space="0" w:color="000000"/>
              <w:right w:val="single" w:sz="4" w:space="0" w:color="000000"/>
            </w:tcBorders>
            <w:vAlign w:val="center"/>
          </w:tcPr>
          <w:p w14:paraId="7F56BF0A"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0232DF40"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1EF0EBE7" w14:textId="77777777" w:rsidR="005B3072" w:rsidRDefault="00A46913">
            <w:pPr>
              <w:widowControl w:val="0"/>
              <w:rPr>
                <w:sz w:val="18"/>
                <w:szCs w:val="18"/>
              </w:rPr>
            </w:pPr>
            <w:r>
              <w:rPr>
                <w:sz w:val="18"/>
                <w:szCs w:val="18"/>
              </w:rPr>
              <w:t>Naziv indikatora</w:t>
            </w:r>
          </w:p>
        </w:tc>
        <w:tc>
          <w:tcPr>
            <w:tcW w:w="4075" w:type="pct"/>
            <w:gridSpan w:val="3"/>
            <w:tcBorders>
              <w:right w:val="single" w:sz="4" w:space="0" w:color="000000"/>
            </w:tcBorders>
            <w:vAlign w:val="center"/>
          </w:tcPr>
          <w:p w14:paraId="1B96C5E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Procenat pokrivenosti domaćinstava fiksnim BB-om brzinom od 100Mbps+</w:t>
            </w:r>
          </w:p>
        </w:tc>
      </w:tr>
      <w:tr w:rsidR="005B3072" w14:paraId="6CC47E0F" w14:textId="77777777" w:rsidTr="005E4CCE">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74AB53CB" w14:textId="77777777" w:rsidR="005B3072" w:rsidRDefault="00A46913">
            <w:pPr>
              <w:widowControl w:val="0"/>
              <w:rPr>
                <w:sz w:val="18"/>
                <w:szCs w:val="18"/>
              </w:rPr>
            </w:pPr>
            <w:r>
              <w:rPr>
                <w:sz w:val="18"/>
                <w:szCs w:val="18"/>
              </w:rPr>
              <w:t>Cilj na koji se indikator odnosi</w:t>
            </w:r>
          </w:p>
        </w:tc>
        <w:tc>
          <w:tcPr>
            <w:tcW w:w="4075" w:type="pct"/>
            <w:gridSpan w:val="3"/>
            <w:tcBorders>
              <w:right w:val="single" w:sz="4" w:space="0" w:color="000000"/>
            </w:tcBorders>
            <w:vAlign w:val="center"/>
          </w:tcPr>
          <w:p w14:paraId="6BBA7FC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Ovim indikatorom će se prikazati stanje pokrivenosti teritorije Crne Gore širokopojasnim mrežama veoma velikih brzina (Fixed Very High Capacity Network (VHCN)), odnosno mrežama koje mogu obezbijediti brzine pristupa od najmanje 100 Mb/s.</w:t>
            </w:r>
          </w:p>
        </w:tc>
      </w:tr>
      <w:tr w:rsidR="005B3072" w14:paraId="0153D5B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4924E907" w14:textId="77777777" w:rsidR="005B3072" w:rsidRDefault="005B3072">
            <w:pPr>
              <w:widowControl w:val="0"/>
              <w:rPr>
                <w:sz w:val="18"/>
                <w:szCs w:val="18"/>
              </w:rPr>
            </w:pPr>
          </w:p>
          <w:p w14:paraId="280C9AD2" w14:textId="77777777" w:rsidR="005B3072" w:rsidRDefault="00A46913">
            <w:pPr>
              <w:widowControl w:val="0"/>
              <w:rPr>
                <w:sz w:val="18"/>
                <w:szCs w:val="18"/>
              </w:rPr>
            </w:pPr>
            <w:r>
              <w:rPr>
                <w:sz w:val="18"/>
                <w:szCs w:val="18"/>
              </w:rPr>
              <w:t>Podaci koje je potrebno prikupiti</w:t>
            </w:r>
          </w:p>
        </w:tc>
        <w:tc>
          <w:tcPr>
            <w:tcW w:w="4075" w:type="pct"/>
            <w:gridSpan w:val="3"/>
            <w:tcBorders>
              <w:right w:val="single" w:sz="4" w:space="0" w:color="000000"/>
            </w:tcBorders>
            <w:vAlign w:val="center"/>
          </w:tcPr>
          <w:p w14:paraId="069C25A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Podaci od svih operatora o njihovim elektronskim komunikacionim mrežama do mrežne terminalne tačke (NTP), o tehnologijama pristupa, kao i o brzinama pristupa koje je moguće ostvariti </w:t>
            </w:r>
          </w:p>
          <w:p w14:paraId="2F5C8C4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Podaci o broju stanovnika i domaćinstava od Uprave za statistiku -MONSTAT </w:t>
            </w:r>
          </w:p>
          <w:p w14:paraId="0C7F0E4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Podaci o objektima od Uprave za katastar i državnu imovinu</w:t>
            </w:r>
          </w:p>
        </w:tc>
      </w:tr>
      <w:tr w:rsidR="005B3072" w14:paraId="10B6FD7B" w14:textId="77777777" w:rsidTr="005E4CCE">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083ACD76" w14:textId="77777777" w:rsidR="005B3072" w:rsidRDefault="00A46913">
            <w:pPr>
              <w:widowControl w:val="0"/>
              <w:rPr>
                <w:sz w:val="18"/>
                <w:szCs w:val="18"/>
              </w:rPr>
            </w:pPr>
            <w:r>
              <w:rPr>
                <w:sz w:val="18"/>
                <w:szCs w:val="18"/>
              </w:rPr>
              <w:t>Izvor podataka</w:t>
            </w:r>
          </w:p>
        </w:tc>
        <w:tc>
          <w:tcPr>
            <w:tcW w:w="4075" w:type="pct"/>
            <w:gridSpan w:val="3"/>
            <w:tcBorders>
              <w:right w:val="single" w:sz="4" w:space="0" w:color="000000"/>
            </w:tcBorders>
            <w:vAlign w:val="center"/>
          </w:tcPr>
          <w:p w14:paraId="52E8E4A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Agencija za elektronske komunikacije i poštansku djelatnost</w:t>
            </w:r>
          </w:p>
          <w:p w14:paraId="4B980C1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Ministarstvo ekonomskog razvoja</w:t>
            </w:r>
          </w:p>
          <w:p w14:paraId="2315438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Uprava za statistiku – MONSTAT</w:t>
            </w:r>
          </w:p>
          <w:p w14:paraId="01CC2BB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Uprava za katastar i državnu imovinu</w:t>
            </w:r>
          </w:p>
        </w:tc>
      </w:tr>
      <w:tr w:rsidR="005B3072" w14:paraId="04F311C1"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572708EA" w14:textId="77777777" w:rsidR="005B3072" w:rsidRDefault="00A46913">
            <w:pPr>
              <w:widowControl w:val="0"/>
              <w:rPr>
                <w:sz w:val="18"/>
                <w:szCs w:val="18"/>
              </w:rPr>
            </w:pPr>
            <w:r>
              <w:rPr>
                <w:sz w:val="18"/>
                <w:szCs w:val="18"/>
              </w:rPr>
              <w:t>Informacija o instituciji odgovornoj za prikupljanje podataka</w:t>
            </w:r>
          </w:p>
        </w:tc>
        <w:tc>
          <w:tcPr>
            <w:tcW w:w="4075" w:type="pct"/>
            <w:gridSpan w:val="3"/>
            <w:tcBorders>
              <w:right w:val="single" w:sz="4" w:space="0" w:color="000000"/>
            </w:tcBorders>
            <w:vAlign w:val="center"/>
          </w:tcPr>
          <w:p w14:paraId="0F8DD07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Agencija za elektronske komunikacije i poštansku djelatnost je nezavisno regulatorno tijelo za oblast elektronskih komunikacija i poštanske djelatnosti</w:t>
            </w:r>
          </w:p>
          <w:p w14:paraId="4E82A4A4"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463526F8" w14:textId="77777777" w:rsidTr="005E4CCE">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7BFCDB59" w14:textId="77777777" w:rsidR="005B3072" w:rsidRDefault="00A46913">
            <w:pPr>
              <w:widowControl w:val="0"/>
              <w:rPr>
                <w:sz w:val="18"/>
                <w:szCs w:val="18"/>
              </w:rPr>
            </w:pPr>
            <w:r>
              <w:rPr>
                <w:sz w:val="18"/>
                <w:szCs w:val="18"/>
              </w:rPr>
              <w:t>Učestalost prikupljanja podataka</w:t>
            </w:r>
          </w:p>
        </w:tc>
        <w:tc>
          <w:tcPr>
            <w:tcW w:w="4075" w:type="pct"/>
            <w:gridSpan w:val="3"/>
            <w:tcBorders>
              <w:right w:val="single" w:sz="4" w:space="0" w:color="000000"/>
            </w:tcBorders>
            <w:vAlign w:val="center"/>
          </w:tcPr>
          <w:p w14:paraId="2E77D50D"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Na dvogodišnjem nivou </w:t>
            </w:r>
          </w:p>
        </w:tc>
      </w:tr>
      <w:tr w:rsidR="005B3072" w14:paraId="10EDCAC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0024CA5F" w14:textId="77777777" w:rsidR="005B3072" w:rsidRDefault="00A46913">
            <w:pPr>
              <w:widowControl w:val="0"/>
              <w:rPr>
                <w:sz w:val="18"/>
                <w:szCs w:val="18"/>
              </w:rPr>
            </w:pPr>
            <w:r>
              <w:rPr>
                <w:sz w:val="18"/>
                <w:szCs w:val="18"/>
              </w:rPr>
              <w:t>Učestalost izvještavanja o vrijednosti indikatora</w:t>
            </w:r>
          </w:p>
        </w:tc>
        <w:tc>
          <w:tcPr>
            <w:tcW w:w="4075" w:type="pct"/>
            <w:gridSpan w:val="3"/>
            <w:tcBorders>
              <w:right w:val="single" w:sz="4" w:space="0" w:color="000000"/>
            </w:tcBorders>
            <w:vAlign w:val="center"/>
          </w:tcPr>
          <w:p w14:paraId="1E743C8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Podaci od svih operatora o njihovim elektronskim komunikacionim mrežama do mrežne terminalne tačke (NTP), o tehnologijama pristupa, kao i o brzinama pristupa koje je moguće ostvariti - dostavljaju se redovno na kvartalnom nivou. </w:t>
            </w:r>
          </w:p>
          <w:p w14:paraId="6C440D9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Podaci o broju stanovnika i domaćinstava od MONSTAT-a na nivou naselja – dostavljeni podaci su sa popisa iz 2011. godine i nema obaveze redovnog dostavljanja. </w:t>
            </w:r>
          </w:p>
          <w:p w14:paraId="09C9772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Podaci o objektima od Uprave za katastar i državnu imovinu – dostavljeni podaci su iz 2020. godine i nema obaveze redovnog dostavljanja.</w:t>
            </w:r>
          </w:p>
        </w:tc>
      </w:tr>
      <w:tr w:rsidR="005B3072" w14:paraId="4FC35B64" w14:textId="77777777" w:rsidTr="005E4CCE">
        <w:trPr>
          <w:trHeight w:val="2760"/>
        </w:trPr>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0D89B899" w14:textId="77777777" w:rsidR="005B3072" w:rsidRDefault="00A46913">
            <w:pPr>
              <w:widowControl w:val="0"/>
              <w:rPr>
                <w:sz w:val="18"/>
                <w:szCs w:val="18"/>
              </w:rPr>
            </w:pPr>
            <w:r>
              <w:rPr>
                <w:sz w:val="18"/>
                <w:szCs w:val="18"/>
              </w:rPr>
              <w:t>Kratak opis metodologije izračunavanja podataka</w:t>
            </w:r>
          </w:p>
        </w:tc>
        <w:tc>
          <w:tcPr>
            <w:tcW w:w="4075" w:type="pct"/>
            <w:gridSpan w:val="3"/>
            <w:tcBorders>
              <w:right w:val="single" w:sz="4" w:space="0" w:color="000000"/>
            </w:tcBorders>
            <w:vAlign w:val="center"/>
          </w:tcPr>
          <w:p w14:paraId="777B79C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EKIP ovaj indikator računa na osnovu sljedećih podataka:</w:t>
            </w:r>
          </w:p>
          <w:p w14:paraId="56FCC4D4" w14:textId="77777777" w:rsidR="005B3072" w:rsidRDefault="00A46913">
            <w:pPr>
              <w:widowControl w:val="0"/>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Podaci od svih operatora o njihovim elektronskim komunikacionim mrežama do mrežne terminalne tačke (NTP), o tehnologijama pristupa, kao i o brzinama pristupa koje je moguće ostvariti. Tehnologije koje se uzimaju u obzir za računanje ovog indikatora su FTTH, FTTB i Cable Docsis 3.1;</w:t>
            </w:r>
          </w:p>
          <w:p w14:paraId="3A17CF8F" w14:textId="77777777" w:rsidR="005B3072" w:rsidRDefault="00A46913">
            <w:pPr>
              <w:widowControl w:val="0"/>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Podaci o broju stanovnika i domaćinstava od MONSTAT-a;</w:t>
            </w:r>
          </w:p>
          <w:p w14:paraId="3E8272EC" w14:textId="77777777" w:rsidR="005B3072" w:rsidRDefault="00A46913">
            <w:pPr>
              <w:widowControl w:val="0"/>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Podaci o objektima prema podacima Uprave za katastar i državnu imovinu. </w:t>
            </w:r>
          </w:p>
          <w:p w14:paraId="2D7F96A3"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12C2A8F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osnovu navedenih podataka Agencija računa pokrivenost domaćinstava po tehnologijama i brzinama pristupa, preko sljedećih veličina:</w:t>
            </w:r>
          </w:p>
          <w:p w14:paraId="50D88C41" w14:textId="77777777" w:rsidR="005B3072" w:rsidRDefault="00A46913">
            <w:pPr>
              <w:widowControl w:val="0"/>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Ukupan broj domaćinstava – A;</w:t>
            </w:r>
          </w:p>
          <w:p w14:paraId="1E897DDF" w14:textId="77777777" w:rsidR="005B3072" w:rsidRDefault="00A46913">
            <w:pPr>
              <w:widowControl w:val="0"/>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domaćinstava koja su pokrivena fiksnim BB-om brzinom od 100Mbps+ - B;</w:t>
            </w:r>
          </w:p>
          <w:p w14:paraId="1BAE88D7"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11C455C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osnovu ovih veličina se računa procentualni udio:</w:t>
            </w:r>
          </w:p>
          <w:p w14:paraId="341AA90D" w14:textId="77777777" w:rsidR="005B3072" w:rsidRDefault="00A46913">
            <w:pPr>
              <w:widowControl w:val="0"/>
              <w:numPr>
                <w:ilvl w:val="0"/>
                <w:numId w:val="37"/>
              </w:num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Procenat =B/Ax100</w:t>
            </w:r>
          </w:p>
          <w:p w14:paraId="7DD42CB0"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73F1702A"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1495E41F" w14:textId="77777777" w:rsidR="005B3072" w:rsidRDefault="00A46913">
            <w:pPr>
              <w:widowControl w:val="0"/>
              <w:rPr>
                <w:sz w:val="18"/>
                <w:szCs w:val="18"/>
              </w:rPr>
            </w:pPr>
            <w:r>
              <w:rPr>
                <w:sz w:val="18"/>
                <w:szCs w:val="18"/>
              </w:rPr>
              <w:t xml:space="preserve">Kontakt osoba </w:t>
            </w:r>
          </w:p>
        </w:tc>
        <w:tc>
          <w:tcPr>
            <w:tcW w:w="4075" w:type="pct"/>
            <w:gridSpan w:val="3"/>
            <w:tcBorders>
              <w:right w:val="single" w:sz="4" w:space="0" w:color="000000"/>
            </w:tcBorders>
            <w:vAlign w:val="center"/>
          </w:tcPr>
          <w:p w14:paraId="555D361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Agencija za elektronske komunikacije i poštansku djelatnost</w:t>
            </w:r>
          </w:p>
        </w:tc>
      </w:tr>
      <w:tr w:rsidR="005B3072" w14:paraId="3914C8DD" w14:textId="77777777" w:rsidTr="005E4CCE">
        <w:tc>
          <w:tcPr>
            <w:cnfStyle w:val="001000000000" w:firstRow="0" w:lastRow="0" w:firstColumn="1" w:lastColumn="0" w:oddVBand="0" w:evenVBand="0" w:oddHBand="0" w:evenHBand="0" w:firstRowFirstColumn="0" w:firstRowLastColumn="0" w:lastRowFirstColumn="0" w:lastRowLastColumn="0"/>
            <w:tcW w:w="925" w:type="pct"/>
            <w:tcBorders>
              <w:left w:val="single" w:sz="4" w:space="0" w:color="000000"/>
            </w:tcBorders>
            <w:vAlign w:val="center"/>
          </w:tcPr>
          <w:p w14:paraId="1068EA9B" w14:textId="77777777" w:rsidR="005B3072" w:rsidRDefault="00A46913">
            <w:pPr>
              <w:widowControl w:val="0"/>
              <w:rPr>
                <w:sz w:val="18"/>
                <w:szCs w:val="18"/>
              </w:rPr>
            </w:pPr>
            <w:r>
              <w:rPr>
                <w:sz w:val="18"/>
                <w:szCs w:val="18"/>
              </w:rPr>
              <w:t>e-mail</w:t>
            </w:r>
          </w:p>
        </w:tc>
        <w:tc>
          <w:tcPr>
            <w:tcW w:w="4075" w:type="pct"/>
            <w:gridSpan w:val="3"/>
            <w:tcBorders>
              <w:right w:val="single" w:sz="4" w:space="0" w:color="000000"/>
            </w:tcBorders>
            <w:vAlign w:val="center"/>
          </w:tcPr>
          <w:p w14:paraId="23FCECCA"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5">
              <w:r w:rsidR="00A46913">
                <w:rPr>
                  <w:color w:val="0563C1"/>
                  <w:sz w:val="18"/>
                  <w:szCs w:val="18"/>
                  <w:u w:val="single"/>
                </w:rPr>
                <w:t>ekip@ekip.me</w:t>
              </w:r>
            </w:hyperlink>
          </w:p>
        </w:tc>
      </w:tr>
      <w:tr w:rsidR="005B3072" w14:paraId="3688BCD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vMerge w:val="restart"/>
            <w:tcBorders>
              <w:left w:val="single" w:sz="4" w:space="0" w:color="000000"/>
            </w:tcBorders>
            <w:vAlign w:val="center"/>
          </w:tcPr>
          <w:p w14:paraId="6D6AAB10" w14:textId="77777777" w:rsidR="005B3072" w:rsidRDefault="00A46913">
            <w:pPr>
              <w:widowControl w:val="0"/>
              <w:rPr>
                <w:sz w:val="18"/>
                <w:szCs w:val="18"/>
              </w:rPr>
            </w:pPr>
            <w:r>
              <w:rPr>
                <w:sz w:val="18"/>
                <w:szCs w:val="18"/>
              </w:rPr>
              <w:t>Informacija o trendu i početnoj vrijednosti</w:t>
            </w:r>
          </w:p>
        </w:tc>
        <w:tc>
          <w:tcPr>
            <w:tcW w:w="662" w:type="pct"/>
            <w:vAlign w:val="center"/>
          </w:tcPr>
          <w:p w14:paraId="30316A6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08" w:type="pct"/>
            <w:vAlign w:val="center"/>
          </w:tcPr>
          <w:p w14:paraId="72CC4A0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2021.</w:t>
            </w:r>
          </w:p>
        </w:tc>
        <w:tc>
          <w:tcPr>
            <w:tcW w:w="2605" w:type="pct"/>
            <w:tcBorders>
              <w:right w:val="single" w:sz="4" w:space="0" w:color="000000"/>
            </w:tcBorders>
            <w:vAlign w:val="center"/>
          </w:tcPr>
          <w:p w14:paraId="224119D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329135C5" w14:textId="77777777" w:rsidTr="005E4CCE">
        <w:tc>
          <w:tcPr>
            <w:cnfStyle w:val="001000000000" w:firstRow="0" w:lastRow="0" w:firstColumn="1" w:lastColumn="0" w:oddVBand="0" w:evenVBand="0" w:oddHBand="0" w:evenHBand="0" w:firstRowFirstColumn="0" w:firstRowLastColumn="0" w:lastRowFirstColumn="0" w:lastRowLastColumn="0"/>
            <w:tcW w:w="925" w:type="pct"/>
            <w:vMerge/>
            <w:tcBorders>
              <w:left w:val="single" w:sz="4" w:space="0" w:color="000000"/>
            </w:tcBorders>
            <w:vAlign w:val="center"/>
          </w:tcPr>
          <w:p w14:paraId="36C19AB6" w14:textId="77777777" w:rsidR="005B3072" w:rsidRDefault="005B3072">
            <w:pPr>
              <w:widowControl w:val="0"/>
              <w:pBdr>
                <w:top w:val="nil"/>
                <w:left w:val="nil"/>
                <w:bottom w:val="nil"/>
                <w:right w:val="nil"/>
                <w:between w:val="nil"/>
              </w:pBdr>
              <w:spacing w:line="276" w:lineRule="auto"/>
              <w:rPr>
                <w:sz w:val="18"/>
                <w:szCs w:val="18"/>
              </w:rPr>
            </w:pPr>
          </w:p>
        </w:tc>
        <w:tc>
          <w:tcPr>
            <w:tcW w:w="662" w:type="pct"/>
            <w:vAlign w:val="center"/>
          </w:tcPr>
          <w:p w14:paraId="3C5915B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413" w:type="pct"/>
            <w:gridSpan w:val="2"/>
            <w:tcBorders>
              <w:right w:val="single" w:sz="4" w:space="0" w:color="000000"/>
            </w:tcBorders>
            <w:vAlign w:val="center"/>
          </w:tcPr>
          <w:p w14:paraId="40A26F3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76,7%</w:t>
            </w:r>
          </w:p>
        </w:tc>
      </w:tr>
      <w:tr w:rsidR="005B3072" w14:paraId="2A5907A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 w:type="pct"/>
            <w:vMerge w:val="restart"/>
            <w:tcBorders>
              <w:left w:val="single" w:sz="4" w:space="0" w:color="000000"/>
            </w:tcBorders>
            <w:vAlign w:val="center"/>
          </w:tcPr>
          <w:p w14:paraId="07C8A787" w14:textId="77777777" w:rsidR="005B3072" w:rsidRDefault="00A46913">
            <w:pPr>
              <w:widowControl w:val="0"/>
              <w:rPr>
                <w:sz w:val="18"/>
                <w:szCs w:val="18"/>
              </w:rPr>
            </w:pPr>
            <w:r>
              <w:rPr>
                <w:sz w:val="18"/>
                <w:szCs w:val="18"/>
              </w:rPr>
              <w:t>Informacija o ciljnim vrijednostima</w:t>
            </w:r>
          </w:p>
        </w:tc>
        <w:tc>
          <w:tcPr>
            <w:tcW w:w="662" w:type="pct"/>
            <w:vAlign w:val="center"/>
          </w:tcPr>
          <w:p w14:paraId="37CF9B2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08" w:type="pct"/>
            <w:tcBorders>
              <w:right w:val="single" w:sz="4" w:space="0" w:color="000000"/>
            </w:tcBorders>
            <w:vAlign w:val="center"/>
          </w:tcPr>
          <w:p w14:paraId="3280922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605" w:type="pct"/>
            <w:tcBorders>
              <w:left w:val="single" w:sz="4" w:space="0" w:color="000000"/>
              <w:right w:val="single" w:sz="4" w:space="0" w:color="000000"/>
            </w:tcBorders>
            <w:vAlign w:val="center"/>
          </w:tcPr>
          <w:p w14:paraId="097360E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435B489F" w14:textId="77777777" w:rsidTr="005E4CCE">
        <w:tc>
          <w:tcPr>
            <w:cnfStyle w:val="001000000000" w:firstRow="0" w:lastRow="0" w:firstColumn="1" w:lastColumn="0" w:oddVBand="0" w:evenVBand="0" w:oddHBand="0" w:evenHBand="0" w:firstRowFirstColumn="0" w:firstRowLastColumn="0" w:lastRowFirstColumn="0" w:lastRowLastColumn="0"/>
            <w:tcW w:w="925" w:type="pct"/>
            <w:vMerge/>
            <w:tcBorders>
              <w:left w:val="single" w:sz="4" w:space="0" w:color="000000"/>
            </w:tcBorders>
            <w:vAlign w:val="center"/>
          </w:tcPr>
          <w:p w14:paraId="3487A966" w14:textId="77777777" w:rsidR="005B3072" w:rsidRDefault="005B3072">
            <w:pPr>
              <w:widowControl w:val="0"/>
              <w:pBdr>
                <w:top w:val="nil"/>
                <w:left w:val="nil"/>
                <w:bottom w:val="nil"/>
                <w:right w:val="nil"/>
                <w:between w:val="nil"/>
              </w:pBdr>
              <w:spacing w:line="276" w:lineRule="auto"/>
              <w:rPr>
                <w:sz w:val="18"/>
                <w:szCs w:val="18"/>
              </w:rPr>
            </w:pPr>
          </w:p>
        </w:tc>
        <w:tc>
          <w:tcPr>
            <w:tcW w:w="662" w:type="pct"/>
            <w:tcBorders>
              <w:bottom w:val="single" w:sz="4" w:space="0" w:color="000000"/>
            </w:tcBorders>
            <w:vAlign w:val="center"/>
          </w:tcPr>
          <w:p w14:paraId="537A811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808" w:type="pct"/>
            <w:tcBorders>
              <w:bottom w:val="single" w:sz="4" w:space="0" w:color="000000"/>
              <w:right w:val="single" w:sz="4" w:space="0" w:color="000000"/>
            </w:tcBorders>
            <w:vAlign w:val="center"/>
          </w:tcPr>
          <w:p w14:paraId="1DB699A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81,6%</w:t>
            </w:r>
          </w:p>
        </w:tc>
        <w:tc>
          <w:tcPr>
            <w:tcW w:w="2605" w:type="pct"/>
            <w:tcBorders>
              <w:bottom w:val="single" w:sz="4" w:space="0" w:color="000000"/>
              <w:right w:val="single" w:sz="4" w:space="0" w:color="000000"/>
            </w:tcBorders>
            <w:vAlign w:val="center"/>
          </w:tcPr>
          <w:p w14:paraId="0130ACA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86,4%</w:t>
            </w:r>
          </w:p>
        </w:tc>
      </w:tr>
    </w:tbl>
    <w:p w14:paraId="1FFDD514" w14:textId="77777777" w:rsidR="005B3072" w:rsidRDefault="005B3072">
      <w:pPr>
        <w:rPr>
          <w:rFonts w:ascii="Georgia" w:eastAsia="Georgia" w:hAnsi="Georgia" w:cs="Georgia"/>
          <w:color w:val="192F41"/>
        </w:rPr>
      </w:pPr>
    </w:p>
    <w:tbl>
      <w:tblPr>
        <w:tblStyle w:val="aff"/>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73"/>
        <w:gridCol w:w="1425"/>
        <w:gridCol w:w="1326"/>
        <w:gridCol w:w="5736"/>
      </w:tblGrid>
      <w:tr w:rsidR="005B3072" w14:paraId="5BEFCF75"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43" w:type="pct"/>
            <w:tcBorders>
              <w:top w:val="single" w:sz="4" w:space="0" w:color="000000"/>
              <w:left w:val="single" w:sz="4" w:space="0" w:color="000000"/>
            </w:tcBorders>
            <w:vAlign w:val="center"/>
          </w:tcPr>
          <w:p w14:paraId="67E432FC" w14:textId="77777777" w:rsidR="005B3072" w:rsidRDefault="00A46913">
            <w:pPr>
              <w:widowControl w:val="0"/>
              <w:rPr>
                <w:sz w:val="18"/>
                <w:szCs w:val="18"/>
              </w:rPr>
            </w:pPr>
            <w:r>
              <w:rPr>
                <w:sz w:val="18"/>
                <w:szCs w:val="18"/>
              </w:rPr>
              <w:t>Kategorija</w:t>
            </w:r>
          </w:p>
        </w:tc>
        <w:tc>
          <w:tcPr>
            <w:tcW w:w="4057" w:type="pct"/>
            <w:gridSpan w:val="3"/>
            <w:tcBorders>
              <w:top w:val="single" w:sz="4" w:space="0" w:color="000000"/>
              <w:right w:val="single" w:sz="4" w:space="0" w:color="000000"/>
            </w:tcBorders>
            <w:vAlign w:val="center"/>
          </w:tcPr>
          <w:p w14:paraId="3884DBC4"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rFonts w:ascii="Georgia" w:eastAsia="Georgia" w:hAnsi="Georgia" w:cs="Georgia"/>
                <w:sz w:val="18"/>
                <w:szCs w:val="18"/>
              </w:rPr>
            </w:pPr>
            <w:r>
              <w:rPr>
                <w:rFonts w:ascii="Georgia" w:eastAsia="Georgia" w:hAnsi="Georgia" w:cs="Georgia"/>
                <w:sz w:val="18"/>
                <w:szCs w:val="18"/>
              </w:rPr>
              <w:t>Opis</w:t>
            </w:r>
          </w:p>
        </w:tc>
      </w:tr>
      <w:tr w:rsidR="005B3072" w14:paraId="47A65635"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19F6B2DE" w14:textId="77777777" w:rsidR="005B3072" w:rsidRDefault="00A46913">
            <w:pPr>
              <w:widowControl w:val="0"/>
              <w:rPr>
                <w:sz w:val="18"/>
                <w:szCs w:val="18"/>
              </w:rPr>
            </w:pPr>
            <w:r>
              <w:rPr>
                <w:sz w:val="18"/>
                <w:szCs w:val="18"/>
              </w:rPr>
              <w:t>Naziv indikatora</w:t>
            </w:r>
          </w:p>
        </w:tc>
        <w:tc>
          <w:tcPr>
            <w:tcW w:w="4057" w:type="pct"/>
            <w:gridSpan w:val="3"/>
            <w:tcBorders>
              <w:right w:val="single" w:sz="4" w:space="0" w:color="000000"/>
            </w:tcBorders>
            <w:vAlign w:val="center"/>
          </w:tcPr>
          <w:p w14:paraId="2838AFB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rFonts w:ascii="Sitka Text" w:eastAsia="Sitka Text" w:hAnsi="Sitka Text" w:cs="Sitka Text"/>
                <w:b/>
                <w:color w:val="1F4E79"/>
                <w:sz w:val="20"/>
                <w:szCs w:val="20"/>
              </w:rPr>
            </w:pPr>
            <w:r>
              <w:rPr>
                <w:rFonts w:ascii="Sitka Text" w:eastAsia="Sitka Text" w:hAnsi="Sitka Text" w:cs="Sitka Text"/>
                <w:b/>
                <w:color w:val="1F4E79"/>
                <w:sz w:val="20"/>
                <w:szCs w:val="20"/>
              </w:rPr>
              <w:t>Procenat pokrivenosti stanovništva mobilnim BB-om brzinom od 10 Mb/s+</w:t>
            </w:r>
          </w:p>
          <w:p w14:paraId="21B8BFE4"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5D60B953" w14:textId="77777777" w:rsidTr="005E4CCE">
        <w:trPr>
          <w:trHeight w:val="738"/>
        </w:trPr>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53461AED" w14:textId="77777777" w:rsidR="005B3072" w:rsidRDefault="00A46913">
            <w:pPr>
              <w:widowControl w:val="0"/>
              <w:rPr>
                <w:sz w:val="18"/>
                <w:szCs w:val="18"/>
              </w:rPr>
            </w:pPr>
            <w:r>
              <w:rPr>
                <w:sz w:val="18"/>
                <w:szCs w:val="18"/>
              </w:rPr>
              <w:t>Cilj na koji se indikator odnosi</w:t>
            </w:r>
          </w:p>
        </w:tc>
        <w:tc>
          <w:tcPr>
            <w:tcW w:w="4057" w:type="pct"/>
            <w:gridSpan w:val="3"/>
            <w:tcBorders>
              <w:right w:val="single" w:sz="4" w:space="0" w:color="000000"/>
            </w:tcBorders>
            <w:vAlign w:val="center"/>
          </w:tcPr>
          <w:p w14:paraId="4383D09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Ovaj indikator će pokazati stepen pokrivenosti stanovništva Crne Gore signalom mobilnih mreža koji omogućavaju brzine prenosa podataka prema korisniku od najmanje 10 Mb/s na bazi korisničkog iskustva (brzina prenosa podataka od 10 Mbs ili više u 90% sesija tokom dana, sa izuzetkom dva sata maksimalnog opterećenja mreže). </w:t>
            </w:r>
          </w:p>
          <w:p w14:paraId="32E6DAB2"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3F606861"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62B29D1C" w14:textId="77777777" w:rsidR="005B3072" w:rsidRDefault="005B3072">
            <w:pPr>
              <w:widowControl w:val="0"/>
              <w:rPr>
                <w:sz w:val="18"/>
                <w:szCs w:val="18"/>
              </w:rPr>
            </w:pPr>
          </w:p>
          <w:p w14:paraId="794233F4" w14:textId="77777777" w:rsidR="005B3072" w:rsidRDefault="00A46913">
            <w:pPr>
              <w:widowControl w:val="0"/>
              <w:rPr>
                <w:sz w:val="18"/>
                <w:szCs w:val="18"/>
              </w:rPr>
            </w:pPr>
            <w:r>
              <w:rPr>
                <w:sz w:val="18"/>
                <w:szCs w:val="18"/>
              </w:rPr>
              <w:t>Podaci koje je potrebno prikupiti</w:t>
            </w:r>
          </w:p>
        </w:tc>
        <w:tc>
          <w:tcPr>
            <w:tcW w:w="4057" w:type="pct"/>
            <w:gridSpan w:val="3"/>
            <w:tcBorders>
              <w:right w:val="single" w:sz="4" w:space="0" w:color="000000"/>
            </w:tcBorders>
            <w:vAlign w:val="center"/>
          </w:tcPr>
          <w:p w14:paraId="7BD01059" w14:textId="77777777" w:rsidR="005B3072" w:rsidRDefault="00A46913">
            <w:pPr>
              <w:widowControl w:val="0"/>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Podaci o lokaciji i parametrima aktivnih radio baznih stanica po tehnologijama od Agencije za elektronske komunikacije i poštansku djelatnost;</w:t>
            </w:r>
          </w:p>
          <w:p w14:paraId="78101825" w14:textId="77777777" w:rsidR="005B3072" w:rsidRDefault="00A46913">
            <w:pPr>
              <w:widowControl w:val="0"/>
              <w:spacing w:before="240" w:after="240"/>
              <w:cnfStyle w:val="000000100000" w:firstRow="0" w:lastRow="0" w:firstColumn="0" w:lastColumn="0" w:oddVBand="0" w:evenVBand="0" w:oddHBand="1" w:evenHBand="0" w:firstRowFirstColumn="0" w:firstRowLastColumn="0" w:lastRowFirstColumn="0" w:lastRowLastColumn="0"/>
              <w:rPr>
                <w:sz w:val="18"/>
                <w:szCs w:val="18"/>
              </w:rPr>
            </w:pPr>
            <w:r>
              <w:rPr>
                <w:rFonts w:ascii="Times New Roman" w:eastAsia="Times New Roman" w:hAnsi="Times New Roman" w:cs="Times New Roman"/>
                <w:sz w:val="14"/>
                <w:szCs w:val="14"/>
              </w:rPr>
              <w:t xml:space="preserve"> </w:t>
            </w:r>
            <w:r>
              <w:rPr>
                <w:sz w:val="18"/>
                <w:szCs w:val="18"/>
              </w:rPr>
              <w:t>Digitalni model terena od Uprava za katastar i državnu imovinu;</w:t>
            </w:r>
          </w:p>
          <w:p w14:paraId="1C7B405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Podaci (georeferencirani) o teritorijalnoj distribuciji stanovništva (granice i broj stanovnika po popisnim krugovima) od MONSTAT-a.</w:t>
            </w:r>
          </w:p>
        </w:tc>
      </w:tr>
      <w:tr w:rsidR="005B3072" w14:paraId="4AA7595C" w14:textId="77777777" w:rsidTr="005E4CCE">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7091271A" w14:textId="77777777" w:rsidR="005B3072" w:rsidRDefault="00A46913">
            <w:pPr>
              <w:widowControl w:val="0"/>
              <w:rPr>
                <w:sz w:val="18"/>
                <w:szCs w:val="18"/>
              </w:rPr>
            </w:pPr>
            <w:r>
              <w:rPr>
                <w:sz w:val="18"/>
                <w:szCs w:val="18"/>
              </w:rPr>
              <w:t>Izvor podataka</w:t>
            </w:r>
          </w:p>
        </w:tc>
        <w:tc>
          <w:tcPr>
            <w:tcW w:w="4057" w:type="pct"/>
            <w:gridSpan w:val="3"/>
            <w:tcBorders>
              <w:right w:val="single" w:sz="4" w:space="0" w:color="000000"/>
            </w:tcBorders>
            <w:vAlign w:val="center"/>
          </w:tcPr>
          <w:p w14:paraId="0B9616CC"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Agencija za elektronske komunikacije i poštansku djelatnost</w:t>
            </w:r>
          </w:p>
          <w:p w14:paraId="17F53773"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Uprava za katastar i državnu imovinu</w:t>
            </w:r>
          </w:p>
          <w:p w14:paraId="355CF81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Uprava za statistiku – MONSTAT</w:t>
            </w:r>
          </w:p>
        </w:tc>
      </w:tr>
      <w:tr w:rsidR="005B3072" w14:paraId="5E4B5807"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111BFCAF" w14:textId="77777777" w:rsidR="005B3072" w:rsidRDefault="00A46913">
            <w:pPr>
              <w:widowControl w:val="0"/>
              <w:rPr>
                <w:sz w:val="18"/>
                <w:szCs w:val="18"/>
              </w:rPr>
            </w:pPr>
            <w:r>
              <w:rPr>
                <w:sz w:val="18"/>
                <w:szCs w:val="18"/>
              </w:rPr>
              <w:t>Informacija o instituciji odgovornoj za prikupljanje podataka</w:t>
            </w:r>
          </w:p>
        </w:tc>
        <w:tc>
          <w:tcPr>
            <w:tcW w:w="4057" w:type="pct"/>
            <w:gridSpan w:val="3"/>
            <w:tcBorders>
              <w:right w:val="single" w:sz="4" w:space="0" w:color="000000"/>
            </w:tcBorders>
            <w:vAlign w:val="center"/>
          </w:tcPr>
          <w:p w14:paraId="79B98C6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Agencija za elektronske komunikacije i poštansku djelatnost je nezavisno regulatorno tijelo za oblast elektronskih komunikacija i poštanske djelatnosti</w:t>
            </w:r>
          </w:p>
        </w:tc>
      </w:tr>
      <w:tr w:rsidR="005B3072" w14:paraId="0BF5125E" w14:textId="77777777" w:rsidTr="005E4CCE">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0B7CE8E0" w14:textId="77777777" w:rsidR="005B3072" w:rsidRDefault="00A46913">
            <w:pPr>
              <w:widowControl w:val="0"/>
              <w:rPr>
                <w:sz w:val="18"/>
                <w:szCs w:val="18"/>
              </w:rPr>
            </w:pPr>
            <w:r>
              <w:rPr>
                <w:sz w:val="18"/>
                <w:szCs w:val="18"/>
              </w:rPr>
              <w:t>Učestalost prikupljanja podataka</w:t>
            </w:r>
          </w:p>
        </w:tc>
        <w:tc>
          <w:tcPr>
            <w:tcW w:w="4057" w:type="pct"/>
            <w:gridSpan w:val="3"/>
            <w:tcBorders>
              <w:right w:val="single" w:sz="4" w:space="0" w:color="000000"/>
            </w:tcBorders>
            <w:vAlign w:val="center"/>
          </w:tcPr>
          <w:p w14:paraId="51FE952B"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Podaci o lokaciji i parametrima aktivnih radio baznih stanica po tehnologijama - prikupljaju se redovno u postupku utvrđivanja tehničkih uslova;</w:t>
            </w:r>
          </w:p>
          <w:p w14:paraId="2EAD6A83"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Digitalni model terena - dostavljeni podaci i nema obaveze redovnog dostavljanja;</w:t>
            </w:r>
          </w:p>
          <w:p w14:paraId="4DDBFFE7"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Podaci (georeferencirani) o teritorijalnoj distribuciji stanovništva - dostavljeni podaci su sa popisa iz 2011. godine i nema obaveze redovnog dostavljanja.</w:t>
            </w:r>
          </w:p>
        </w:tc>
      </w:tr>
      <w:tr w:rsidR="005B3072" w14:paraId="43613AA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53CE64A2" w14:textId="77777777" w:rsidR="005B3072" w:rsidRDefault="00A46913">
            <w:pPr>
              <w:widowControl w:val="0"/>
              <w:rPr>
                <w:sz w:val="18"/>
                <w:szCs w:val="18"/>
              </w:rPr>
            </w:pPr>
            <w:r>
              <w:rPr>
                <w:sz w:val="18"/>
                <w:szCs w:val="18"/>
              </w:rPr>
              <w:t>Učestalost izvještavanja o vrijednosti indikatora</w:t>
            </w:r>
          </w:p>
        </w:tc>
        <w:tc>
          <w:tcPr>
            <w:tcW w:w="4057" w:type="pct"/>
            <w:gridSpan w:val="3"/>
            <w:tcBorders>
              <w:right w:val="single" w:sz="4" w:space="0" w:color="000000"/>
            </w:tcBorders>
            <w:vAlign w:val="center"/>
          </w:tcPr>
          <w:p w14:paraId="2FF7757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574A79B8" w14:textId="77777777" w:rsidTr="005E4CCE">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0414FBC2" w14:textId="77777777" w:rsidR="005B3072" w:rsidRDefault="00A46913">
            <w:pPr>
              <w:widowControl w:val="0"/>
              <w:rPr>
                <w:sz w:val="18"/>
                <w:szCs w:val="18"/>
              </w:rPr>
            </w:pPr>
            <w:r>
              <w:rPr>
                <w:sz w:val="18"/>
                <w:szCs w:val="18"/>
              </w:rPr>
              <w:t>Kratak opis metodologije izračunavanja podataka</w:t>
            </w:r>
          </w:p>
        </w:tc>
        <w:tc>
          <w:tcPr>
            <w:tcW w:w="4057" w:type="pct"/>
            <w:gridSpan w:val="3"/>
            <w:tcBorders>
              <w:right w:val="single" w:sz="4" w:space="0" w:color="000000"/>
            </w:tcBorders>
            <w:vAlign w:val="center"/>
          </w:tcPr>
          <w:p w14:paraId="340AED16"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Procjenu stepena pokrivenosti signalom mobilne mreže EKIP sprovodi na bazi softverske predikcije nivoa signala na mjestu prijema, koristeći podatke o lokaciji i parametrima aktivnih radio baznih stanica po tehnologijama, digitalni model terena i georeferencirane podatke o teritorijalnoj distribuciji stanovništva (granice i broj stanovnika po popisnim krugovima).</w:t>
            </w:r>
          </w:p>
          <w:p w14:paraId="223633E5"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Za predikciju nivoa signala na mjestu prijema koristi se specijalizovani softver HTZ Communications V.22.5.3x64 (ili novije verzije) proizvođača ATDI iz Francuske. Predikcija se zasniva na predikcionom propagacionom metodu datom u najnovijoj verziji Preporuke ITU-R P.1812.</w:t>
            </w:r>
          </w:p>
          <w:p w14:paraId="147195EF"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osnovu predikcije nivoa signala utvrđuje se na kom dijelu teritorije popisnog kruga se može očekivati nivo signala iznad odgovarajućeg praga (RSRP≥-106 dBm za LTE nosilac širine 10 MHz i RSRP≥-112 dBm za LTE nosilac širine 20 MHz). Pretpostavljajući ravnomjernu raspodjelu stanovništva unutar teritorije popisnog kruga, linearnim skaliranjem u odnosu na stepen pokrivenosti teritorije popisnog kruga dobija se broj stanovnika unutar popisnog kruga koji je "pokriven signalom mreže". Sabiranjem broja stanovnika koji su "pokriveni signalom mreže" unutar svih popisnih krugova dobija se ukupan broj stanovnika koji su "pokriveni signalom mreže" (A). Podatak o ukupnom broju stanovnika Crne Gore (B) je dobijen od strane MONSTAT-a.</w:t>
            </w:r>
          </w:p>
          <w:p w14:paraId="6491BF13" w14:textId="77777777" w:rsidR="005B3072" w:rsidRDefault="00A46913">
            <w:pPr>
              <w:widowControl w:val="0"/>
              <w:spacing w:before="240" w:after="24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osnovu vrijednosti A i B računa se procentualni udio:</w:t>
            </w:r>
          </w:p>
          <w:p w14:paraId="465C2028" w14:textId="77777777" w:rsidR="005B3072" w:rsidRDefault="00A46913">
            <w:pPr>
              <w:widowControl w:val="0"/>
              <w:spacing w:before="240" w:after="240"/>
              <w:ind w:left="720" w:hanging="3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Pr>
                <w:rFonts w:ascii="Times New Roman" w:eastAsia="Times New Roman" w:hAnsi="Times New Roman" w:cs="Times New Roman"/>
                <w:sz w:val="14"/>
                <w:szCs w:val="14"/>
              </w:rPr>
              <w:t xml:space="preserve">          </w:t>
            </w:r>
            <w:r>
              <w:rPr>
                <w:sz w:val="18"/>
                <w:szCs w:val="18"/>
              </w:rPr>
              <w:t>Stepen pokrivenosti = (A/B)x100 [%].</w:t>
            </w:r>
          </w:p>
        </w:tc>
      </w:tr>
      <w:tr w:rsidR="005B3072" w14:paraId="753DF1E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5F2C63DB" w14:textId="77777777" w:rsidR="005B3072" w:rsidRDefault="00A46913">
            <w:pPr>
              <w:widowControl w:val="0"/>
              <w:rPr>
                <w:sz w:val="18"/>
                <w:szCs w:val="18"/>
              </w:rPr>
            </w:pPr>
            <w:r>
              <w:rPr>
                <w:sz w:val="18"/>
                <w:szCs w:val="18"/>
              </w:rPr>
              <w:t xml:space="preserve">Kontakt osoba </w:t>
            </w:r>
          </w:p>
        </w:tc>
        <w:tc>
          <w:tcPr>
            <w:tcW w:w="4057" w:type="pct"/>
            <w:gridSpan w:val="3"/>
            <w:tcBorders>
              <w:right w:val="single" w:sz="4" w:space="0" w:color="000000"/>
            </w:tcBorders>
            <w:vAlign w:val="center"/>
          </w:tcPr>
          <w:p w14:paraId="44FFA47F"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p w14:paraId="1E56711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Agencija za elektronske komunikacije i poštansku djelatnost</w:t>
            </w:r>
          </w:p>
        </w:tc>
      </w:tr>
      <w:tr w:rsidR="005B3072" w14:paraId="2BCB86D1" w14:textId="77777777" w:rsidTr="005E4CCE">
        <w:tc>
          <w:tcPr>
            <w:cnfStyle w:val="001000000000" w:firstRow="0" w:lastRow="0" w:firstColumn="1" w:lastColumn="0" w:oddVBand="0" w:evenVBand="0" w:oddHBand="0" w:evenHBand="0" w:firstRowFirstColumn="0" w:firstRowLastColumn="0" w:lastRowFirstColumn="0" w:lastRowLastColumn="0"/>
            <w:tcW w:w="943" w:type="pct"/>
            <w:tcBorders>
              <w:left w:val="single" w:sz="4" w:space="0" w:color="000000"/>
            </w:tcBorders>
            <w:vAlign w:val="center"/>
          </w:tcPr>
          <w:p w14:paraId="6475DD45" w14:textId="77777777" w:rsidR="005B3072" w:rsidRDefault="00A46913">
            <w:pPr>
              <w:widowControl w:val="0"/>
              <w:rPr>
                <w:sz w:val="18"/>
                <w:szCs w:val="18"/>
              </w:rPr>
            </w:pPr>
            <w:r>
              <w:rPr>
                <w:sz w:val="18"/>
                <w:szCs w:val="18"/>
              </w:rPr>
              <w:t>e-mail</w:t>
            </w:r>
          </w:p>
        </w:tc>
        <w:tc>
          <w:tcPr>
            <w:tcW w:w="4057" w:type="pct"/>
            <w:gridSpan w:val="3"/>
            <w:tcBorders>
              <w:right w:val="single" w:sz="4" w:space="0" w:color="000000"/>
            </w:tcBorders>
            <w:vAlign w:val="center"/>
          </w:tcPr>
          <w:p w14:paraId="18B67C4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ekip@ekip.me</w:t>
            </w:r>
          </w:p>
        </w:tc>
      </w:tr>
      <w:tr w:rsidR="005B3072" w14:paraId="70D174F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vMerge w:val="restart"/>
            <w:tcBorders>
              <w:left w:val="single" w:sz="4" w:space="0" w:color="000000"/>
            </w:tcBorders>
            <w:vAlign w:val="center"/>
          </w:tcPr>
          <w:p w14:paraId="39FFC888" w14:textId="77777777" w:rsidR="005B3072" w:rsidRDefault="00A46913">
            <w:pPr>
              <w:widowControl w:val="0"/>
              <w:rPr>
                <w:sz w:val="18"/>
                <w:szCs w:val="18"/>
              </w:rPr>
            </w:pPr>
            <w:r>
              <w:rPr>
                <w:sz w:val="18"/>
                <w:szCs w:val="18"/>
              </w:rPr>
              <w:t>Informacija o trendu i početnoj vrijednosti</w:t>
            </w:r>
          </w:p>
        </w:tc>
        <w:tc>
          <w:tcPr>
            <w:tcW w:w="681" w:type="pct"/>
            <w:vAlign w:val="center"/>
          </w:tcPr>
          <w:p w14:paraId="24BCE39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34" w:type="pct"/>
            <w:vAlign w:val="center"/>
          </w:tcPr>
          <w:p w14:paraId="7D7518E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highlight w:val="yellow"/>
              </w:rPr>
            </w:pPr>
            <w:r>
              <w:rPr>
                <w:sz w:val="18"/>
                <w:szCs w:val="18"/>
              </w:rPr>
              <w:t>Trend 2021.</w:t>
            </w:r>
          </w:p>
        </w:tc>
        <w:tc>
          <w:tcPr>
            <w:tcW w:w="2742" w:type="pct"/>
            <w:tcBorders>
              <w:right w:val="single" w:sz="4" w:space="0" w:color="000000"/>
            </w:tcBorders>
            <w:vAlign w:val="center"/>
          </w:tcPr>
          <w:p w14:paraId="10498DC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3F2C25B6" w14:textId="77777777" w:rsidTr="005E4CCE">
        <w:tc>
          <w:tcPr>
            <w:cnfStyle w:val="001000000000" w:firstRow="0" w:lastRow="0" w:firstColumn="1" w:lastColumn="0" w:oddVBand="0" w:evenVBand="0" w:oddHBand="0" w:evenHBand="0" w:firstRowFirstColumn="0" w:firstRowLastColumn="0" w:lastRowFirstColumn="0" w:lastRowLastColumn="0"/>
            <w:tcW w:w="943" w:type="pct"/>
            <w:vMerge/>
            <w:tcBorders>
              <w:left w:val="single" w:sz="4" w:space="0" w:color="000000"/>
            </w:tcBorders>
            <w:vAlign w:val="center"/>
          </w:tcPr>
          <w:p w14:paraId="2E8222B8" w14:textId="77777777" w:rsidR="005B3072" w:rsidRDefault="005B3072">
            <w:pPr>
              <w:widowControl w:val="0"/>
              <w:pBdr>
                <w:top w:val="nil"/>
                <w:left w:val="nil"/>
                <w:bottom w:val="nil"/>
                <w:right w:val="nil"/>
                <w:between w:val="nil"/>
              </w:pBdr>
              <w:spacing w:line="276" w:lineRule="auto"/>
              <w:rPr>
                <w:sz w:val="18"/>
                <w:szCs w:val="18"/>
              </w:rPr>
            </w:pPr>
          </w:p>
        </w:tc>
        <w:tc>
          <w:tcPr>
            <w:tcW w:w="681" w:type="pct"/>
            <w:vAlign w:val="center"/>
          </w:tcPr>
          <w:p w14:paraId="517ABCC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376" w:type="pct"/>
            <w:gridSpan w:val="2"/>
            <w:tcBorders>
              <w:right w:val="single" w:sz="4" w:space="0" w:color="000000"/>
            </w:tcBorders>
            <w:vAlign w:val="center"/>
          </w:tcPr>
          <w:p w14:paraId="6CA98A5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97,28%</w:t>
            </w:r>
          </w:p>
        </w:tc>
      </w:tr>
      <w:tr w:rsidR="005B3072" w14:paraId="1D5E284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3" w:type="pct"/>
            <w:vMerge w:val="restart"/>
            <w:tcBorders>
              <w:left w:val="single" w:sz="4" w:space="0" w:color="000000"/>
            </w:tcBorders>
            <w:vAlign w:val="center"/>
          </w:tcPr>
          <w:p w14:paraId="1BAF7A55" w14:textId="77777777" w:rsidR="005B3072" w:rsidRDefault="00A46913">
            <w:pPr>
              <w:widowControl w:val="0"/>
              <w:rPr>
                <w:sz w:val="18"/>
                <w:szCs w:val="18"/>
              </w:rPr>
            </w:pPr>
            <w:r>
              <w:rPr>
                <w:sz w:val="18"/>
                <w:szCs w:val="18"/>
              </w:rPr>
              <w:t>Informacija o ciljnim vrijednostima</w:t>
            </w:r>
          </w:p>
        </w:tc>
        <w:tc>
          <w:tcPr>
            <w:tcW w:w="681" w:type="pct"/>
            <w:vAlign w:val="center"/>
          </w:tcPr>
          <w:p w14:paraId="35F4BFB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34" w:type="pct"/>
            <w:tcBorders>
              <w:right w:val="single" w:sz="4" w:space="0" w:color="000000"/>
            </w:tcBorders>
            <w:vAlign w:val="center"/>
          </w:tcPr>
          <w:p w14:paraId="096C534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742" w:type="pct"/>
            <w:tcBorders>
              <w:left w:val="single" w:sz="4" w:space="0" w:color="000000"/>
              <w:right w:val="single" w:sz="4" w:space="0" w:color="000000"/>
            </w:tcBorders>
            <w:vAlign w:val="center"/>
          </w:tcPr>
          <w:p w14:paraId="1BC2DB2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22E55CCF" w14:textId="77777777" w:rsidTr="005E4CCE">
        <w:tc>
          <w:tcPr>
            <w:cnfStyle w:val="001000000000" w:firstRow="0" w:lastRow="0" w:firstColumn="1" w:lastColumn="0" w:oddVBand="0" w:evenVBand="0" w:oddHBand="0" w:evenHBand="0" w:firstRowFirstColumn="0" w:firstRowLastColumn="0" w:lastRowFirstColumn="0" w:lastRowLastColumn="0"/>
            <w:tcW w:w="943" w:type="pct"/>
            <w:vMerge/>
            <w:tcBorders>
              <w:left w:val="single" w:sz="4" w:space="0" w:color="000000"/>
            </w:tcBorders>
            <w:vAlign w:val="center"/>
          </w:tcPr>
          <w:p w14:paraId="403C2614" w14:textId="77777777" w:rsidR="005B3072" w:rsidRDefault="005B3072">
            <w:pPr>
              <w:widowControl w:val="0"/>
              <w:pBdr>
                <w:top w:val="nil"/>
                <w:left w:val="nil"/>
                <w:bottom w:val="nil"/>
                <w:right w:val="nil"/>
                <w:between w:val="nil"/>
              </w:pBdr>
              <w:spacing w:line="276" w:lineRule="auto"/>
              <w:rPr>
                <w:sz w:val="18"/>
                <w:szCs w:val="18"/>
              </w:rPr>
            </w:pPr>
          </w:p>
        </w:tc>
        <w:tc>
          <w:tcPr>
            <w:tcW w:w="681" w:type="pct"/>
            <w:tcBorders>
              <w:bottom w:val="single" w:sz="4" w:space="0" w:color="000000"/>
            </w:tcBorders>
            <w:vAlign w:val="center"/>
          </w:tcPr>
          <w:p w14:paraId="5E8D918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634" w:type="pct"/>
            <w:tcBorders>
              <w:bottom w:val="single" w:sz="4" w:space="0" w:color="000000"/>
              <w:right w:val="single" w:sz="4" w:space="0" w:color="000000"/>
            </w:tcBorders>
            <w:vAlign w:val="center"/>
          </w:tcPr>
          <w:p w14:paraId="7814ADB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98%</w:t>
            </w:r>
          </w:p>
        </w:tc>
        <w:tc>
          <w:tcPr>
            <w:tcW w:w="2742" w:type="pct"/>
            <w:tcBorders>
              <w:bottom w:val="single" w:sz="4" w:space="0" w:color="000000"/>
              <w:right w:val="single" w:sz="4" w:space="0" w:color="000000"/>
            </w:tcBorders>
            <w:vAlign w:val="center"/>
          </w:tcPr>
          <w:p w14:paraId="4C598F9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99%</w:t>
            </w:r>
          </w:p>
        </w:tc>
      </w:tr>
    </w:tbl>
    <w:p w14:paraId="54262E57" w14:textId="77777777" w:rsidR="005B3072" w:rsidRDefault="005B3072">
      <w:pPr>
        <w:rPr>
          <w:rFonts w:ascii="Georgia" w:eastAsia="Georgia" w:hAnsi="Georgia" w:cs="Georgia"/>
          <w:color w:val="192F41"/>
        </w:rPr>
      </w:pPr>
    </w:p>
    <w:p w14:paraId="57CCA1D6" w14:textId="77777777" w:rsidR="005B3072" w:rsidRDefault="005B3072">
      <w:pPr>
        <w:rPr>
          <w:rFonts w:ascii="Georgia" w:eastAsia="Georgia" w:hAnsi="Georgia" w:cs="Georgia"/>
          <w:color w:val="192F41"/>
        </w:rPr>
      </w:pPr>
    </w:p>
    <w:tbl>
      <w:tblPr>
        <w:tblStyle w:val="aff0"/>
        <w:tblW w:w="5000" w:type="pct"/>
        <w:tblLook w:val="0400" w:firstRow="0" w:lastRow="0" w:firstColumn="0" w:lastColumn="0" w:noHBand="0" w:noVBand="1"/>
      </w:tblPr>
      <w:tblGrid>
        <w:gridCol w:w="2324"/>
        <w:gridCol w:w="8136"/>
      </w:tblGrid>
      <w:tr w:rsidR="005B3072" w14:paraId="2766618A" w14:textId="77777777" w:rsidTr="005E4CCE">
        <w:trPr>
          <w:trHeight w:val="827"/>
        </w:trPr>
        <w:tc>
          <w:tcPr>
            <w:tcW w:w="1111"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60696D9A"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1.4</w:t>
            </w:r>
          </w:p>
        </w:tc>
        <w:tc>
          <w:tcPr>
            <w:tcW w:w="3889"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479E8523" w14:textId="77777777" w:rsidR="005B3072" w:rsidRDefault="00A46913">
            <w:pPr>
              <w:spacing w:before="40" w:after="40"/>
              <w:ind w:right="144" w:hanging="144"/>
              <w:jc w:val="center"/>
              <w:rPr>
                <w:rFonts w:ascii="Times New Roman" w:eastAsia="Times New Roman" w:hAnsi="Times New Roman" w:cs="Times New Roman"/>
                <w:sz w:val="24"/>
                <w:szCs w:val="24"/>
              </w:rPr>
            </w:pPr>
            <w:bookmarkStart w:id="79" w:name="_2w5ecyt" w:colFirst="0" w:colLast="0"/>
            <w:bookmarkEnd w:id="79"/>
            <w:r>
              <w:rPr>
                <w:rFonts w:ascii="Sitka Text" w:eastAsia="Sitka Text" w:hAnsi="Sitka Text" w:cs="Sitka Text"/>
                <w:b/>
                <w:color w:val="FFFFFF"/>
                <w:sz w:val="24"/>
                <w:szCs w:val="24"/>
              </w:rPr>
              <w:t>Razvoj i unapređenje digitalnih znanja i vještina crnogorskog društva</w:t>
            </w:r>
          </w:p>
        </w:tc>
      </w:tr>
    </w:tbl>
    <w:p w14:paraId="1DB8AC19" w14:textId="77777777" w:rsidR="005B3072" w:rsidRDefault="005B3072">
      <w:pPr>
        <w:rPr>
          <w:rFonts w:ascii="Georgia" w:eastAsia="Georgia" w:hAnsi="Georgia" w:cs="Georgia"/>
          <w:color w:val="192F41"/>
        </w:rPr>
      </w:pPr>
    </w:p>
    <w:tbl>
      <w:tblPr>
        <w:tblStyle w:val="aff1"/>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2111"/>
        <w:gridCol w:w="1008"/>
        <w:gridCol w:w="1379"/>
        <w:gridCol w:w="5962"/>
      </w:tblGrid>
      <w:tr w:rsidR="005B3072" w14:paraId="02EE9926"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009" w:type="pct"/>
            <w:tcBorders>
              <w:top w:val="single" w:sz="4" w:space="0" w:color="000000"/>
              <w:left w:val="single" w:sz="4" w:space="0" w:color="000000"/>
            </w:tcBorders>
            <w:vAlign w:val="center"/>
          </w:tcPr>
          <w:p w14:paraId="50AF0110" w14:textId="77777777" w:rsidR="005B3072" w:rsidRDefault="00A46913">
            <w:pPr>
              <w:widowControl w:val="0"/>
              <w:jc w:val="center"/>
              <w:rPr>
                <w:sz w:val="18"/>
                <w:szCs w:val="18"/>
              </w:rPr>
            </w:pPr>
            <w:r>
              <w:rPr>
                <w:sz w:val="18"/>
                <w:szCs w:val="18"/>
              </w:rPr>
              <w:t>Kategorija</w:t>
            </w:r>
          </w:p>
        </w:tc>
        <w:tc>
          <w:tcPr>
            <w:tcW w:w="3991" w:type="pct"/>
            <w:gridSpan w:val="3"/>
            <w:tcBorders>
              <w:top w:val="single" w:sz="4" w:space="0" w:color="000000"/>
              <w:right w:val="single" w:sz="4" w:space="0" w:color="000000"/>
            </w:tcBorders>
            <w:vAlign w:val="center"/>
          </w:tcPr>
          <w:p w14:paraId="64C8B5AD"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555C7849"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1675FE7B" w14:textId="77777777" w:rsidR="005B3072" w:rsidRDefault="00A46913">
            <w:pPr>
              <w:widowControl w:val="0"/>
              <w:rPr>
                <w:sz w:val="18"/>
                <w:szCs w:val="18"/>
              </w:rPr>
            </w:pPr>
            <w:r>
              <w:rPr>
                <w:sz w:val="18"/>
                <w:szCs w:val="18"/>
              </w:rPr>
              <w:t>Naziv indikatora</w:t>
            </w:r>
          </w:p>
        </w:tc>
        <w:tc>
          <w:tcPr>
            <w:tcW w:w="3991" w:type="pct"/>
            <w:gridSpan w:val="3"/>
            <w:tcBorders>
              <w:right w:val="single" w:sz="4" w:space="0" w:color="000000"/>
            </w:tcBorders>
            <w:vAlign w:val="center"/>
          </w:tcPr>
          <w:p w14:paraId="47B0669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Procenat diplomiranih studenata studijskih programa iz oblasti IT-ja u odnosu na ukupan broj diplomiranih studenata na svim univerzitetima</w:t>
            </w:r>
          </w:p>
        </w:tc>
      </w:tr>
      <w:tr w:rsidR="005B3072" w14:paraId="7C345AAB" w14:textId="77777777" w:rsidTr="005E4CCE">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577F62A8" w14:textId="77777777" w:rsidR="005B3072" w:rsidRDefault="00A46913">
            <w:pPr>
              <w:widowControl w:val="0"/>
              <w:rPr>
                <w:sz w:val="18"/>
                <w:szCs w:val="18"/>
              </w:rPr>
            </w:pPr>
            <w:r>
              <w:rPr>
                <w:sz w:val="18"/>
                <w:szCs w:val="18"/>
              </w:rPr>
              <w:t>Cilj na koji se indikator odnosi</w:t>
            </w:r>
          </w:p>
        </w:tc>
        <w:tc>
          <w:tcPr>
            <w:tcW w:w="3991" w:type="pct"/>
            <w:gridSpan w:val="3"/>
            <w:tcBorders>
              <w:right w:val="single" w:sz="4" w:space="0" w:color="000000"/>
            </w:tcBorders>
            <w:vAlign w:val="center"/>
          </w:tcPr>
          <w:p w14:paraId="4CF8B493" w14:textId="77777777" w:rsidR="005B3072" w:rsidRDefault="00A46913">
            <w:pPr>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Postoji značajan broj diplomaca IKT programa na univerzitetima svake godine, ali sektor IKT navodi nedostatak obučenih stručnjaka kao jedan od ključnih problema za razvoj. Shodno navedenom, važno je posebnu pažnju posvetiti povećanju broja studenata na fakultetima iz oblasti IT-ja zbog čega je potrebno pratiti ovaj indikator koji za cilj ima povećanje diplomiranih studenata iz studijskih programa oblasti IT-a</w:t>
            </w:r>
            <w:r>
              <w:rPr>
                <w:sz w:val="24"/>
                <w:szCs w:val="24"/>
              </w:rPr>
              <w:t>.</w:t>
            </w:r>
          </w:p>
        </w:tc>
      </w:tr>
      <w:tr w:rsidR="005B3072" w14:paraId="0D5043B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7F874834" w14:textId="77777777" w:rsidR="005B3072" w:rsidRDefault="005B3072">
            <w:pPr>
              <w:widowControl w:val="0"/>
              <w:rPr>
                <w:sz w:val="18"/>
                <w:szCs w:val="18"/>
              </w:rPr>
            </w:pPr>
          </w:p>
          <w:p w14:paraId="03E9FD4A" w14:textId="77777777" w:rsidR="005B3072" w:rsidRDefault="00A46913">
            <w:pPr>
              <w:widowControl w:val="0"/>
              <w:rPr>
                <w:sz w:val="18"/>
                <w:szCs w:val="18"/>
              </w:rPr>
            </w:pPr>
            <w:r>
              <w:rPr>
                <w:sz w:val="18"/>
                <w:szCs w:val="18"/>
              </w:rPr>
              <w:t>Podaci koje je potrebno prikupiti</w:t>
            </w:r>
          </w:p>
        </w:tc>
        <w:tc>
          <w:tcPr>
            <w:tcW w:w="3991" w:type="pct"/>
            <w:gridSpan w:val="3"/>
            <w:tcBorders>
              <w:right w:val="single" w:sz="4" w:space="0" w:color="000000"/>
            </w:tcBorders>
            <w:vAlign w:val="center"/>
          </w:tcPr>
          <w:p w14:paraId="42A69FE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Neophodno je prikupiti informaciju o broju diplomiranih studenata na svim studijskim programima iz oblasti IT-a kako bi se izračunao traženi procenat</w:t>
            </w:r>
          </w:p>
        </w:tc>
      </w:tr>
      <w:tr w:rsidR="005B3072" w14:paraId="1ABC04DF" w14:textId="77777777" w:rsidTr="005E4CCE">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5B42C089" w14:textId="77777777" w:rsidR="005B3072" w:rsidRDefault="00A46913">
            <w:pPr>
              <w:widowControl w:val="0"/>
              <w:rPr>
                <w:sz w:val="18"/>
                <w:szCs w:val="18"/>
              </w:rPr>
            </w:pPr>
            <w:r>
              <w:rPr>
                <w:sz w:val="18"/>
                <w:szCs w:val="18"/>
              </w:rPr>
              <w:t>Izvor podataka</w:t>
            </w:r>
          </w:p>
        </w:tc>
        <w:tc>
          <w:tcPr>
            <w:tcW w:w="3991" w:type="pct"/>
            <w:gridSpan w:val="3"/>
            <w:tcBorders>
              <w:right w:val="single" w:sz="4" w:space="0" w:color="000000"/>
            </w:tcBorders>
            <w:vAlign w:val="center"/>
          </w:tcPr>
          <w:p w14:paraId="2AE127A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Izvještaji Univerziteta u CG</w:t>
            </w:r>
          </w:p>
        </w:tc>
      </w:tr>
      <w:tr w:rsidR="005B3072" w14:paraId="40D9CDD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3A139D81" w14:textId="77777777" w:rsidR="005B3072" w:rsidRDefault="00A46913">
            <w:pPr>
              <w:widowControl w:val="0"/>
              <w:rPr>
                <w:sz w:val="18"/>
                <w:szCs w:val="18"/>
              </w:rPr>
            </w:pPr>
            <w:r>
              <w:rPr>
                <w:sz w:val="18"/>
                <w:szCs w:val="18"/>
              </w:rPr>
              <w:t>Informacija o instituciji odgovornoj za prikupljanje podataka</w:t>
            </w:r>
          </w:p>
        </w:tc>
        <w:tc>
          <w:tcPr>
            <w:tcW w:w="3991" w:type="pct"/>
            <w:gridSpan w:val="3"/>
            <w:tcBorders>
              <w:right w:val="single" w:sz="4" w:space="0" w:color="000000"/>
            </w:tcBorders>
            <w:vAlign w:val="center"/>
          </w:tcPr>
          <w:p w14:paraId="1D8E241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prosvjete, nauke, kulture i sporta, Direktorat za visoko obrazovanje</w:t>
            </w:r>
          </w:p>
          <w:p w14:paraId="710AA7F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Univerziteti u CG</w:t>
            </w:r>
          </w:p>
        </w:tc>
      </w:tr>
      <w:tr w:rsidR="005B3072" w14:paraId="10E3A734" w14:textId="77777777" w:rsidTr="005E4CCE">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7EBADD10" w14:textId="77777777" w:rsidR="005B3072" w:rsidRDefault="00A46913">
            <w:pPr>
              <w:widowControl w:val="0"/>
              <w:rPr>
                <w:sz w:val="18"/>
                <w:szCs w:val="18"/>
              </w:rPr>
            </w:pPr>
            <w:r>
              <w:rPr>
                <w:sz w:val="18"/>
                <w:szCs w:val="18"/>
              </w:rPr>
              <w:t>Učestalost prikupljanja podataka</w:t>
            </w:r>
          </w:p>
        </w:tc>
        <w:tc>
          <w:tcPr>
            <w:tcW w:w="3991" w:type="pct"/>
            <w:gridSpan w:val="3"/>
            <w:tcBorders>
              <w:right w:val="single" w:sz="4" w:space="0" w:color="000000"/>
            </w:tcBorders>
            <w:vAlign w:val="center"/>
          </w:tcPr>
          <w:p w14:paraId="61BFA9D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godišnjem nivou</w:t>
            </w:r>
          </w:p>
        </w:tc>
      </w:tr>
      <w:tr w:rsidR="005B3072" w14:paraId="0CFB60E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0892204E" w14:textId="77777777" w:rsidR="005B3072" w:rsidRDefault="00A46913">
            <w:pPr>
              <w:widowControl w:val="0"/>
              <w:rPr>
                <w:sz w:val="18"/>
                <w:szCs w:val="18"/>
              </w:rPr>
            </w:pPr>
            <w:r>
              <w:rPr>
                <w:sz w:val="18"/>
                <w:szCs w:val="18"/>
              </w:rPr>
              <w:t>Učestalost izvještavanja o vrijednosti indikatora</w:t>
            </w:r>
          </w:p>
        </w:tc>
        <w:tc>
          <w:tcPr>
            <w:tcW w:w="3991" w:type="pct"/>
            <w:gridSpan w:val="3"/>
            <w:tcBorders>
              <w:right w:val="single" w:sz="4" w:space="0" w:color="000000"/>
            </w:tcBorders>
            <w:vAlign w:val="center"/>
          </w:tcPr>
          <w:p w14:paraId="68EDFC7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669BA959" w14:textId="77777777" w:rsidTr="005E4CCE">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22C191E7" w14:textId="77777777" w:rsidR="005B3072" w:rsidRDefault="00A46913">
            <w:pPr>
              <w:widowControl w:val="0"/>
              <w:rPr>
                <w:sz w:val="18"/>
                <w:szCs w:val="18"/>
              </w:rPr>
            </w:pPr>
            <w:r>
              <w:rPr>
                <w:sz w:val="18"/>
                <w:szCs w:val="18"/>
              </w:rPr>
              <w:t>Kratak opis metodologije izračunavanja podataka</w:t>
            </w:r>
          </w:p>
        </w:tc>
        <w:tc>
          <w:tcPr>
            <w:tcW w:w="3991" w:type="pct"/>
            <w:gridSpan w:val="3"/>
            <w:tcBorders>
              <w:right w:val="single" w:sz="4" w:space="0" w:color="000000"/>
            </w:tcBorders>
            <w:vAlign w:val="center"/>
          </w:tcPr>
          <w:p w14:paraId="77071AC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studenata koji su diplomirali na studijskim programima iz oblasti IT-ja/Ukupan broj upisanih studenata na studijskim programima iz oblasti IT-ja x100</w:t>
            </w:r>
          </w:p>
        </w:tc>
      </w:tr>
      <w:tr w:rsidR="005B3072" w14:paraId="52E9E4E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7CBC9FCF" w14:textId="77777777" w:rsidR="005B3072" w:rsidRDefault="00A46913">
            <w:pPr>
              <w:widowControl w:val="0"/>
              <w:rPr>
                <w:sz w:val="18"/>
                <w:szCs w:val="18"/>
              </w:rPr>
            </w:pPr>
            <w:r>
              <w:rPr>
                <w:sz w:val="18"/>
                <w:szCs w:val="18"/>
              </w:rPr>
              <w:t xml:space="preserve">Kontakt osoba </w:t>
            </w:r>
          </w:p>
        </w:tc>
        <w:tc>
          <w:tcPr>
            <w:tcW w:w="3991" w:type="pct"/>
            <w:gridSpan w:val="3"/>
            <w:tcBorders>
              <w:right w:val="single" w:sz="4" w:space="0" w:color="000000"/>
            </w:tcBorders>
            <w:vAlign w:val="center"/>
          </w:tcPr>
          <w:p w14:paraId="6B4BB84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Marina Matijević</w:t>
            </w:r>
          </w:p>
        </w:tc>
      </w:tr>
      <w:tr w:rsidR="005B3072" w14:paraId="7C65E57E" w14:textId="77777777" w:rsidTr="005E4CCE">
        <w:tc>
          <w:tcPr>
            <w:cnfStyle w:val="001000000000" w:firstRow="0" w:lastRow="0" w:firstColumn="1" w:lastColumn="0" w:oddVBand="0" w:evenVBand="0" w:oddHBand="0" w:evenHBand="0" w:firstRowFirstColumn="0" w:firstRowLastColumn="0" w:lastRowFirstColumn="0" w:lastRowLastColumn="0"/>
            <w:tcW w:w="1009" w:type="pct"/>
            <w:tcBorders>
              <w:left w:val="single" w:sz="4" w:space="0" w:color="000000"/>
            </w:tcBorders>
            <w:vAlign w:val="center"/>
          </w:tcPr>
          <w:p w14:paraId="71FF0253" w14:textId="77777777" w:rsidR="005B3072" w:rsidRDefault="00A46913">
            <w:pPr>
              <w:widowControl w:val="0"/>
              <w:rPr>
                <w:sz w:val="18"/>
                <w:szCs w:val="18"/>
              </w:rPr>
            </w:pPr>
            <w:r>
              <w:rPr>
                <w:sz w:val="18"/>
                <w:szCs w:val="18"/>
              </w:rPr>
              <w:t>e-mail</w:t>
            </w:r>
          </w:p>
        </w:tc>
        <w:tc>
          <w:tcPr>
            <w:tcW w:w="3991" w:type="pct"/>
            <w:gridSpan w:val="3"/>
            <w:tcBorders>
              <w:right w:val="single" w:sz="4" w:space="0" w:color="000000"/>
            </w:tcBorders>
            <w:vAlign w:val="center"/>
          </w:tcPr>
          <w:p w14:paraId="5F0921E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marina.matijević@mpnks.gov.me</w:t>
            </w:r>
          </w:p>
        </w:tc>
      </w:tr>
      <w:tr w:rsidR="005B3072" w14:paraId="1CEEB9A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vMerge w:val="restart"/>
            <w:tcBorders>
              <w:left w:val="single" w:sz="4" w:space="0" w:color="000000"/>
            </w:tcBorders>
            <w:vAlign w:val="center"/>
          </w:tcPr>
          <w:p w14:paraId="6C21FF6B" w14:textId="77777777" w:rsidR="005B3072" w:rsidRDefault="00A46913">
            <w:pPr>
              <w:widowControl w:val="0"/>
              <w:rPr>
                <w:sz w:val="18"/>
                <w:szCs w:val="18"/>
              </w:rPr>
            </w:pPr>
            <w:r>
              <w:rPr>
                <w:sz w:val="18"/>
                <w:szCs w:val="18"/>
              </w:rPr>
              <w:t>Informacija o trendu i početnoj vrijednosti</w:t>
            </w:r>
          </w:p>
        </w:tc>
        <w:tc>
          <w:tcPr>
            <w:tcW w:w="482" w:type="pct"/>
            <w:vAlign w:val="center"/>
          </w:tcPr>
          <w:p w14:paraId="6F50946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59" w:type="pct"/>
            <w:vAlign w:val="center"/>
          </w:tcPr>
          <w:p w14:paraId="0159CF8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2020</w:t>
            </w:r>
          </w:p>
        </w:tc>
        <w:tc>
          <w:tcPr>
            <w:tcW w:w="2850" w:type="pct"/>
            <w:tcBorders>
              <w:right w:val="single" w:sz="4" w:space="0" w:color="000000"/>
            </w:tcBorders>
            <w:vAlign w:val="center"/>
          </w:tcPr>
          <w:p w14:paraId="6D7AD949"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0D31F68E" w14:textId="77777777" w:rsidTr="005E4CCE">
        <w:tc>
          <w:tcPr>
            <w:cnfStyle w:val="001000000000" w:firstRow="0" w:lastRow="0" w:firstColumn="1" w:lastColumn="0" w:oddVBand="0" w:evenVBand="0" w:oddHBand="0" w:evenHBand="0" w:firstRowFirstColumn="0" w:firstRowLastColumn="0" w:lastRowFirstColumn="0" w:lastRowLastColumn="0"/>
            <w:tcW w:w="1009" w:type="pct"/>
            <w:vMerge/>
            <w:tcBorders>
              <w:left w:val="single" w:sz="4" w:space="0" w:color="000000"/>
            </w:tcBorders>
            <w:vAlign w:val="center"/>
          </w:tcPr>
          <w:p w14:paraId="0D555C3E" w14:textId="77777777" w:rsidR="005B3072" w:rsidRDefault="005B3072">
            <w:pPr>
              <w:widowControl w:val="0"/>
              <w:pBdr>
                <w:top w:val="nil"/>
                <w:left w:val="nil"/>
                <w:bottom w:val="nil"/>
                <w:right w:val="nil"/>
                <w:between w:val="nil"/>
              </w:pBdr>
              <w:spacing w:line="276" w:lineRule="auto"/>
              <w:rPr>
                <w:sz w:val="18"/>
                <w:szCs w:val="18"/>
              </w:rPr>
            </w:pPr>
          </w:p>
        </w:tc>
        <w:tc>
          <w:tcPr>
            <w:tcW w:w="482" w:type="pct"/>
            <w:vAlign w:val="center"/>
          </w:tcPr>
          <w:p w14:paraId="1EC073D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09" w:type="pct"/>
            <w:gridSpan w:val="2"/>
            <w:tcBorders>
              <w:right w:val="single" w:sz="4" w:space="0" w:color="000000"/>
            </w:tcBorders>
            <w:vAlign w:val="center"/>
          </w:tcPr>
          <w:p w14:paraId="5827E2B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w:t>
            </w:r>
          </w:p>
        </w:tc>
      </w:tr>
      <w:tr w:rsidR="005B3072" w14:paraId="29745C5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 w:type="pct"/>
            <w:vMerge w:val="restart"/>
            <w:tcBorders>
              <w:left w:val="single" w:sz="4" w:space="0" w:color="000000"/>
            </w:tcBorders>
            <w:vAlign w:val="center"/>
          </w:tcPr>
          <w:p w14:paraId="50CC5829" w14:textId="77777777" w:rsidR="005B3072" w:rsidRDefault="00A46913">
            <w:pPr>
              <w:widowControl w:val="0"/>
              <w:rPr>
                <w:sz w:val="18"/>
                <w:szCs w:val="18"/>
              </w:rPr>
            </w:pPr>
            <w:r>
              <w:rPr>
                <w:sz w:val="18"/>
                <w:szCs w:val="18"/>
              </w:rPr>
              <w:t>Informacija o ciljnim vrijednostima</w:t>
            </w:r>
          </w:p>
        </w:tc>
        <w:tc>
          <w:tcPr>
            <w:tcW w:w="482" w:type="pct"/>
            <w:vAlign w:val="center"/>
          </w:tcPr>
          <w:p w14:paraId="4A5F0E0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59" w:type="pct"/>
            <w:vAlign w:val="center"/>
          </w:tcPr>
          <w:p w14:paraId="3BAA53C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850" w:type="pct"/>
            <w:tcBorders>
              <w:right w:val="single" w:sz="4" w:space="0" w:color="000000"/>
            </w:tcBorders>
            <w:vAlign w:val="center"/>
          </w:tcPr>
          <w:p w14:paraId="105BB67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6BEC61C8" w14:textId="77777777" w:rsidTr="005E4CCE">
        <w:tc>
          <w:tcPr>
            <w:cnfStyle w:val="001000000000" w:firstRow="0" w:lastRow="0" w:firstColumn="1" w:lastColumn="0" w:oddVBand="0" w:evenVBand="0" w:oddHBand="0" w:evenHBand="0" w:firstRowFirstColumn="0" w:firstRowLastColumn="0" w:lastRowFirstColumn="0" w:lastRowLastColumn="0"/>
            <w:tcW w:w="1009" w:type="pct"/>
            <w:vMerge/>
            <w:tcBorders>
              <w:left w:val="single" w:sz="4" w:space="0" w:color="000000"/>
            </w:tcBorders>
            <w:vAlign w:val="center"/>
          </w:tcPr>
          <w:p w14:paraId="700705F0" w14:textId="77777777" w:rsidR="005B3072" w:rsidRDefault="005B3072">
            <w:pPr>
              <w:widowControl w:val="0"/>
              <w:pBdr>
                <w:top w:val="nil"/>
                <w:left w:val="nil"/>
                <w:bottom w:val="nil"/>
                <w:right w:val="nil"/>
                <w:between w:val="nil"/>
              </w:pBdr>
              <w:spacing w:line="276" w:lineRule="auto"/>
              <w:rPr>
                <w:sz w:val="18"/>
                <w:szCs w:val="18"/>
              </w:rPr>
            </w:pPr>
          </w:p>
        </w:tc>
        <w:tc>
          <w:tcPr>
            <w:tcW w:w="482" w:type="pct"/>
            <w:tcBorders>
              <w:bottom w:val="single" w:sz="4" w:space="0" w:color="000000"/>
            </w:tcBorders>
            <w:vAlign w:val="center"/>
          </w:tcPr>
          <w:p w14:paraId="587BB8F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09" w:type="pct"/>
            <w:gridSpan w:val="2"/>
            <w:tcBorders>
              <w:bottom w:val="single" w:sz="4" w:space="0" w:color="000000"/>
              <w:right w:val="single" w:sz="4" w:space="0" w:color="000000"/>
            </w:tcBorders>
            <w:vAlign w:val="center"/>
          </w:tcPr>
          <w:p w14:paraId="1D7350B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                                  15%</w:t>
            </w:r>
          </w:p>
        </w:tc>
      </w:tr>
    </w:tbl>
    <w:p w14:paraId="667025AC" w14:textId="77777777" w:rsidR="005B3072" w:rsidRDefault="005B3072">
      <w:pPr>
        <w:rPr>
          <w:rFonts w:ascii="Georgia" w:eastAsia="Georgia" w:hAnsi="Georgia" w:cs="Georgia"/>
          <w:color w:val="192F41"/>
        </w:rPr>
      </w:pPr>
    </w:p>
    <w:tbl>
      <w:tblPr>
        <w:tblStyle w:val="aff2"/>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857"/>
        <w:gridCol w:w="955"/>
        <w:gridCol w:w="1267"/>
        <w:gridCol w:w="6381"/>
      </w:tblGrid>
      <w:tr w:rsidR="005B3072" w14:paraId="5AA8E724"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88" w:type="pct"/>
            <w:tcBorders>
              <w:top w:val="single" w:sz="4" w:space="0" w:color="000000"/>
              <w:left w:val="single" w:sz="4" w:space="0" w:color="000000"/>
            </w:tcBorders>
            <w:vAlign w:val="center"/>
          </w:tcPr>
          <w:p w14:paraId="7762269A" w14:textId="77777777" w:rsidR="005B3072" w:rsidRDefault="00A46913">
            <w:pPr>
              <w:widowControl w:val="0"/>
              <w:jc w:val="center"/>
              <w:rPr>
                <w:sz w:val="18"/>
                <w:szCs w:val="18"/>
              </w:rPr>
            </w:pPr>
            <w:r>
              <w:rPr>
                <w:sz w:val="18"/>
                <w:szCs w:val="18"/>
              </w:rPr>
              <w:t>Kategorija</w:t>
            </w:r>
          </w:p>
        </w:tc>
        <w:tc>
          <w:tcPr>
            <w:tcW w:w="4112" w:type="pct"/>
            <w:gridSpan w:val="3"/>
            <w:tcBorders>
              <w:top w:val="single" w:sz="4" w:space="0" w:color="000000"/>
              <w:right w:val="single" w:sz="4" w:space="0" w:color="000000"/>
            </w:tcBorders>
            <w:vAlign w:val="center"/>
          </w:tcPr>
          <w:p w14:paraId="0B6FCA19"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1953CCAF"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1CB8238D" w14:textId="77777777" w:rsidR="005B3072" w:rsidRDefault="00A46913">
            <w:pPr>
              <w:widowControl w:val="0"/>
              <w:rPr>
                <w:sz w:val="18"/>
                <w:szCs w:val="18"/>
              </w:rPr>
            </w:pPr>
            <w:r>
              <w:rPr>
                <w:sz w:val="18"/>
                <w:szCs w:val="18"/>
              </w:rPr>
              <w:t>Naziv indikatora</w:t>
            </w:r>
          </w:p>
        </w:tc>
        <w:tc>
          <w:tcPr>
            <w:tcW w:w="4112" w:type="pct"/>
            <w:gridSpan w:val="3"/>
            <w:tcBorders>
              <w:right w:val="single" w:sz="4" w:space="0" w:color="000000"/>
            </w:tcBorders>
            <w:vAlign w:val="center"/>
          </w:tcPr>
          <w:p w14:paraId="5F38990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Broj obučenih građana/ki iz osjetljive grupe građana koji su pohađali obuke za ICT kod organizatora obrazovanja odraslih</w:t>
            </w:r>
          </w:p>
        </w:tc>
      </w:tr>
      <w:tr w:rsidR="005B3072" w14:paraId="51692084" w14:textId="77777777" w:rsidTr="005E4CCE">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3EE003F5" w14:textId="77777777" w:rsidR="005B3072" w:rsidRDefault="00A46913">
            <w:pPr>
              <w:widowControl w:val="0"/>
              <w:rPr>
                <w:sz w:val="18"/>
                <w:szCs w:val="18"/>
              </w:rPr>
            </w:pPr>
            <w:r>
              <w:rPr>
                <w:sz w:val="18"/>
                <w:szCs w:val="18"/>
              </w:rPr>
              <w:t>Cilj na koji se indikator odnosi</w:t>
            </w:r>
          </w:p>
        </w:tc>
        <w:tc>
          <w:tcPr>
            <w:tcW w:w="4112" w:type="pct"/>
            <w:gridSpan w:val="3"/>
            <w:tcBorders>
              <w:right w:val="single" w:sz="4" w:space="0" w:color="000000"/>
            </w:tcBorders>
            <w:vAlign w:val="center"/>
          </w:tcPr>
          <w:p w14:paraId="3304923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highlight w:val="yellow"/>
              </w:rPr>
            </w:pPr>
            <w:r>
              <w:rPr>
                <w:sz w:val="18"/>
                <w:szCs w:val="18"/>
              </w:rPr>
              <w:t>Strategijom digitalne transformacije će se uticati na aktivnosti koje smanjuju digitalnu isključenost u svakom pogledu i kada govorimo o unapređenju digitalnih znanja i vještina planirati  obuke osjetljivih grupa stanovništva. Indikator ima za cilj da prati trend rasta broja obučenih građana i građanki iz osjetljive grupe koji su pohađali obuke za ICT kord organizatora obrazovanja odraslih</w:t>
            </w:r>
          </w:p>
        </w:tc>
      </w:tr>
      <w:tr w:rsidR="005B3072" w14:paraId="354C7003"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49114311" w14:textId="77777777" w:rsidR="005B3072" w:rsidRDefault="005B3072">
            <w:pPr>
              <w:widowControl w:val="0"/>
              <w:rPr>
                <w:sz w:val="18"/>
                <w:szCs w:val="18"/>
              </w:rPr>
            </w:pPr>
          </w:p>
          <w:p w14:paraId="3646B838" w14:textId="77777777" w:rsidR="005B3072" w:rsidRDefault="00A46913">
            <w:pPr>
              <w:widowControl w:val="0"/>
              <w:rPr>
                <w:sz w:val="18"/>
                <w:szCs w:val="18"/>
              </w:rPr>
            </w:pPr>
            <w:r>
              <w:rPr>
                <w:sz w:val="18"/>
                <w:szCs w:val="18"/>
              </w:rPr>
              <w:t>Podaci koje je potrebno prikupiti</w:t>
            </w:r>
          </w:p>
        </w:tc>
        <w:tc>
          <w:tcPr>
            <w:tcW w:w="4112" w:type="pct"/>
            <w:gridSpan w:val="3"/>
            <w:tcBorders>
              <w:right w:val="single" w:sz="4" w:space="0" w:color="000000"/>
            </w:tcBorders>
            <w:vAlign w:val="center"/>
          </w:tcPr>
          <w:p w14:paraId="52161C6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Neophodno je prikupiti ukupan broj obučenih građana/ki iz osjetljivih grupa građana koji su pohađali obuke kod organizatora obrazovanja odraslih</w:t>
            </w:r>
          </w:p>
        </w:tc>
      </w:tr>
      <w:tr w:rsidR="005B3072" w14:paraId="72CF27B1" w14:textId="77777777" w:rsidTr="005E4CCE">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5071FFB3" w14:textId="77777777" w:rsidR="005B3072" w:rsidRDefault="00A46913">
            <w:pPr>
              <w:widowControl w:val="0"/>
              <w:rPr>
                <w:sz w:val="18"/>
                <w:szCs w:val="18"/>
              </w:rPr>
            </w:pPr>
            <w:r>
              <w:rPr>
                <w:sz w:val="18"/>
                <w:szCs w:val="18"/>
              </w:rPr>
              <w:t>Izvor podataka</w:t>
            </w:r>
          </w:p>
        </w:tc>
        <w:tc>
          <w:tcPr>
            <w:tcW w:w="4112" w:type="pct"/>
            <w:gridSpan w:val="3"/>
            <w:tcBorders>
              <w:right w:val="single" w:sz="4" w:space="0" w:color="000000"/>
            </w:tcBorders>
            <w:vAlign w:val="center"/>
          </w:tcPr>
          <w:p w14:paraId="406B635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Ministarstvo prosvjete, nauke, kulture i sporta</w:t>
            </w:r>
          </w:p>
        </w:tc>
      </w:tr>
      <w:tr w:rsidR="005B3072" w14:paraId="5B3070C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1032B3C1" w14:textId="77777777" w:rsidR="005B3072" w:rsidRDefault="00A46913">
            <w:pPr>
              <w:widowControl w:val="0"/>
              <w:rPr>
                <w:sz w:val="18"/>
                <w:szCs w:val="18"/>
              </w:rPr>
            </w:pPr>
            <w:r>
              <w:rPr>
                <w:sz w:val="18"/>
                <w:szCs w:val="18"/>
              </w:rPr>
              <w:t>Informacija o instituciji odgovornoj za prikupljanje podataka</w:t>
            </w:r>
          </w:p>
        </w:tc>
        <w:tc>
          <w:tcPr>
            <w:tcW w:w="4112" w:type="pct"/>
            <w:gridSpan w:val="3"/>
            <w:tcBorders>
              <w:right w:val="single" w:sz="4" w:space="0" w:color="000000"/>
            </w:tcBorders>
            <w:vAlign w:val="center"/>
          </w:tcPr>
          <w:p w14:paraId="0426AFB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tc>
      </w:tr>
      <w:tr w:rsidR="005B3072" w14:paraId="7FEFB424" w14:textId="77777777" w:rsidTr="005E4CCE">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6C624B17" w14:textId="77777777" w:rsidR="005B3072" w:rsidRDefault="00A46913">
            <w:pPr>
              <w:widowControl w:val="0"/>
              <w:rPr>
                <w:sz w:val="18"/>
                <w:szCs w:val="18"/>
              </w:rPr>
            </w:pPr>
            <w:r>
              <w:rPr>
                <w:sz w:val="18"/>
                <w:szCs w:val="18"/>
              </w:rPr>
              <w:t>Učestalost prikupljanja podataka</w:t>
            </w:r>
          </w:p>
        </w:tc>
        <w:tc>
          <w:tcPr>
            <w:tcW w:w="4112" w:type="pct"/>
            <w:gridSpan w:val="3"/>
            <w:tcBorders>
              <w:right w:val="single" w:sz="4" w:space="0" w:color="000000"/>
            </w:tcBorders>
            <w:vAlign w:val="center"/>
          </w:tcPr>
          <w:p w14:paraId="11E7AD4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w:t>
            </w:r>
          </w:p>
        </w:tc>
      </w:tr>
      <w:tr w:rsidR="005B3072" w14:paraId="651B398E" w14:textId="77777777" w:rsidTr="005E4CCE">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29DEB520" w14:textId="77777777" w:rsidR="005B3072" w:rsidRDefault="00A46913">
            <w:pPr>
              <w:widowControl w:val="0"/>
              <w:rPr>
                <w:sz w:val="18"/>
                <w:szCs w:val="18"/>
              </w:rPr>
            </w:pPr>
            <w:r>
              <w:rPr>
                <w:sz w:val="18"/>
                <w:szCs w:val="18"/>
              </w:rPr>
              <w:t>Učestalost izvještavanja o vrijednosti indikatora</w:t>
            </w:r>
          </w:p>
        </w:tc>
        <w:tc>
          <w:tcPr>
            <w:tcW w:w="4112" w:type="pct"/>
            <w:gridSpan w:val="3"/>
            <w:tcBorders>
              <w:right w:val="single" w:sz="4" w:space="0" w:color="000000"/>
            </w:tcBorders>
            <w:vAlign w:val="center"/>
          </w:tcPr>
          <w:p w14:paraId="5FD763C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4D2A8D91" w14:textId="77777777" w:rsidTr="005E4CCE">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607BF73E" w14:textId="77777777" w:rsidR="005B3072" w:rsidRDefault="00A46913">
            <w:pPr>
              <w:widowControl w:val="0"/>
              <w:rPr>
                <w:sz w:val="18"/>
                <w:szCs w:val="18"/>
              </w:rPr>
            </w:pPr>
            <w:r>
              <w:rPr>
                <w:sz w:val="18"/>
                <w:szCs w:val="18"/>
              </w:rPr>
              <w:t>Kratak opis metodologije izračunavanja podataka</w:t>
            </w:r>
          </w:p>
        </w:tc>
        <w:tc>
          <w:tcPr>
            <w:tcW w:w="4112" w:type="pct"/>
            <w:gridSpan w:val="3"/>
            <w:tcBorders>
              <w:right w:val="single" w:sz="4" w:space="0" w:color="000000"/>
            </w:tcBorders>
            <w:vAlign w:val="center"/>
          </w:tcPr>
          <w:p w14:paraId="0EC8ECA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obučenih</w:t>
            </w:r>
          </w:p>
        </w:tc>
      </w:tr>
      <w:tr w:rsidR="005B3072" w14:paraId="6B85FD02"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7485CC8A" w14:textId="77777777" w:rsidR="005B3072" w:rsidRDefault="00A46913">
            <w:pPr>
              <w:widowControl w:val="0"/>
              <w:rPr>
                <w:sz w:val="18"/>
                <w:szCs w:val="18"/>
              </w:rPr>
            </w:pPr>
            <w:r>
              <w:rPr>
                <w:sz w:val="18"/>
                <w:szCs w:val="18"/>
              </w:rPr>
              <w:t xml:space="preserve">Kontakt osoba </w:t>
            </w:r>
          </w:p>
        </w:tc>
        <w:tc>
          <w:tcPr>
            <w:tcW w:w="4112" w:type="pct"/>
            <w:gridSpan w:val="3"/>
            <w:tcBorders>
              <w:right w:val="single" w:sz="4" w:space="0" w:color="000000"/>
            </w:tcBorders>
            <w:vAlign w:val="center"/>
          </w:tcPr>
          <w:p w14:paraId="4C04B44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Marina Matijević, MPNKS</w:t>
            </w:r>
          </w:p>
        </w:tc>
      </w:tr>
      <w:tr w:rsidR="005B3072" w14:paraId="09FB12A1" w14:textId="77777777" w:rsidTr="005E4CCE">
        <w:tc>
          <w:tcPr>
            <w:cnfStyle w:val="001000000000" w:firstRow="0" w:lastRow="0" w:firstColumn="1" w:lastColumn="0" w:oddVBand="0" w:evenVBand="0" w:oddHBand="0" w:evenHBand="0" w:firstRowFirstColumn="0" w:firstRowLastColumn="0" w:lastRowFirstColumn="0" w:lastRowLastColumn="0"/>
            <w:tcW w:w="888" w:type="pct"/>
            <w:tcBorders>
              <w:left w:val="single" w:sz="4" w:space="0" w:color="000000"/>
            </w:tcBorders>
            <w:vAlign w:val="center"/>
          </w:tcPr>
          <w:p w14:paraId="0E482C6B" w14:textId="77777777" w:rsidR="005B3072" w:rsidRDefault="00A46913">
            <w:pPr>
              <w:widowControl w:val="0"/>
              <w:rPr>
                <w:sz w:val="18"/>
                <w:szCs w:val="18"/>
              </w:rPr>
            </w:pPr>
            <w:r>
              <w:rPr>
                <w:sz w:val="18"/>
                <w:szCs w:val="18"/>
              </w:rPr>
              <w:t>e-mail</w:t>
            </w:r>
          </w:p>
        </w:tc>
        <w:tc>
          <w:tcPr>
            <w:tcW w:w="4112" w:type="pct"/>
            <w:gridSpan w:val="3"/>
            <w:tcBorders>
              <w:right w:val="single" w:sz="4" w:space="0" w:color="000000"/>
            </w:tcBorders>
            <w:vAlign w:val="center"/>
          </w:tcPr>
          <w:p w14:paraId="01DCAD9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marina.matijevic@mpnks.gov.me</w:t>
            </w:r>
          </w:p>
        </w:tc>
      </w:tr>
      <w:tr w:rsidR="005B3072" w14:paraId="4CE06B5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vMerge w:val="restart"/>
            <w:tcBorders>
              <w:left w:val="single" w:sz="4" w:space="0" w:color="000000"/>
            </w:tcBorders>
            <w:vAlign w:val="center"/>
          </w:tcPr>
          <w:p w14:paraId="00066F81" w14:textId="77777777" w:rsidR="005B3072" w:rsidRDefault="00A46913">
            <w:pPr>
              <w:widowControl w:val="0"/>
              <w:rPr>
                <w:sz w:val="18"/>
                <w:szCs w:val="18"/>
              </w:rPr>
            </w:pPr>
            <w:r>
              <w:rPr>
                <w:sz w:val="18"/>
                <w:szCs w:val="18"/>
              </w:rPr>
              <w:t>Informacija o trendu i početnoj vrijednosti</w:t>
            </w:r>
          </w:p>
        </w:tc>
        <w:tc>
          <w:tcPr>
            <w:tcW w:w="456" w:type="pct"/>
            <w:vAlign w:val="center"/>
          </w:tcPr>
          <w:p w14:paraId="11F0572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06" w:type="pct"/>
            <w:vAlign w:val="center"/>
          </w:tcPr>
          <w:p w14:paraId="4C4B958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2020.</w:t>
            </w:r>
          </w:p>
        </w:tc>
        <w:tc>
          <w:tcPr>
            <w:tcW w:w="3051" w:type="pct"/>
            <w:tcBorders>
              <w:right w:val="single" w:sz="4" w:space="0" w:color="000000"/>
            </w:tcBorders>
            <w:vAlign w:val="center"/>
          </w:tcPr>
          <w:p w14:paraId="0AB495B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56481491" w14:textId="77777777" w:rsidTr="005E4CCE">
        <w:tc>
          <w:tcPr>
            <w:cnfStyle w:val="001000000000" w:firstRow="0" w:lastRow="0" w:firstColumn="1" w:lastColumn="0" w:oddVBand="0" w:evenVBand="0" w:oddHBand="0" w:evenHBand="0" w:firstRowFirstColumn="0" w:firstRowLastColumn="0" w:lastRowFirstColumn="0" w:lastRowLastColumn="0"/>
            <w:tcW w:w="888" w:type="pct"/>
            <w:vMerge/>
            <w:tcBorders>
              <w:left w:val="single" w:sz="4" w:space="0" w:color="000000"/>
            </w:tcBorders>
            <w:vAlign w:val="center"/>
          </w:tcPr>
          <w:p w14:paraId="5883BF7A" w14:textId="77777777" w:rsidR="005B3072" w:rsidRDefault="005B3072">
            <w:pPr>
              <w:widowControl w:val="0"/>
              <w:pBdr>
                <w:top w:val="nil"/>
                <w:left w:val="nil"/>
                <w:bottom w:val="nil"/>
                <w:right w:val="nil"/>
                <w:between w:val="nil"/>
              </w:pBdr>
              <w:spacing w:line="276" w:lineRule="auto"/>
              <w:rPr>
                <w:sz w:val="18"/>
                <w:szCs w:val="18"/>
              </w:rPr>
            </w:pPr>
          </w:p>
        </w:tc>
        <w:tc>
          <w:tcPr>
            <w:tcW w:w="456" w:type="pct"/>
            <w:vAlign w:val="center"/>
          </w:tcPr>
          <w:p w14:paraId="51558C5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656" w:type="pct"/>
            <w:gridSpan w:val="2"/>
            <w:tcBorders>
              <w:right w:val="single" w:sz="4" w:space="0" w:color="000000"/>
            </w:tcBorders>
            <w:vAlign w:val="center"/>
          </w:tcPr>
          <w:p w14:paraId="59F63B2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r>
      <w:tr w:rsidR="005B3072" w14:paraId="35725921"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8" w:type="pct"/>
            <w:vMerge w:val="restart"/>
            <w:tcBorders>
              <w:left w:val="single" w:sz="4" w:space="0" w:color="000000"/>
            </w:tcBorders>
            <w:vAlign w:val="center"/>
          </w:tcPr>
          <w:p w14:paraId="2649F0DE" w14:textId="77777777" w:rsidR="005B3072" w:rsidRDefault="00A46913">
            <w:pPr>
              <w:widowControl w:val="0"/>
              <w:rPr>
                <w:sz w:val="18"/>
                <w:szCs w:val="18"/>
              </w:rPr>
            </w:pPr>
            <w:r>
              <w:rPr>
                <w:sz w:val="18"/>
                <w:szCs w:val="18"/>
              </w:rPr>
              <w:t>Informacija o ciljnim vrijednostima</w:t>
            </w:r>
          </w:p>
        </w:tc>
        <w:tc>
          <w:tcPr>
            <w:tcW w:w="456" w:type="pct"/>
            <w:vAlign w:val="center"/>
          </w:tcPr>
          <w:p w14:paraId="7DAA479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06" w:type="pct"/>
            <w:vAlign w:val="center"/>
          </w:tcPr>
          <w:p w14:paraId="08896EF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3051" w:type="pct"/>
            <w:tcBorders>
              <w:right w:val="single" w:sz="4" w:space="0" w:color="000000"/>
            </w:tcBorders>
            <w:vAlign w:val="center"/>
          </w:tcPr>
          <w:p w14:paraId="1B73683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11CB918D" w14:textId="77777777" w:rsidTr="005E4CCE">
        <w:tc>
          <w:tcPr>
            <w:cnfStyle w:val="001000000000" w:firstRow="0" w:lastRow="0" w:firstColumn="1" w:lastColumn="0" w:oddVBand="0" w:evenVBand="0" w:oddHBand="0" w:evenHBand="0" w:firstRowFirstColumn="0" w:firstRowLastColumn="0" w:lastRowFirstColumn="0" w:lastRowLastColumn="0"/>
            <w:tcW w:w="888" w:type="pct"/>
            <w:vMerge/>
            <w:tcBorders>
              <w:left w:val="single" w:sz="4" w:space="0" w:color="000000"/>
            </w:tcBorders>
            <w:vAlign w:val="center"/>
          </w:tcPr>
          <w:p w14:paraId="7ED21B94" w14:textId="77777777" w:rsidR="005B3072" w:rsidRDefault="005B3072">
            <w:pPr>
              <w:widowControl w:val="0"/>
              <w:pBdr>
                <w:top w:val="nil"/>
                <w:left w:val="nil"/>
                <w:bottom w:val="nil"/>
                <w:right w:val="nil"/>
                <w:between w:val="nil"/>
              </w:pBdr>
              <w:spacing w:line="276" w:lineRule="auto"/>
              <w:rPr>
                <w:sz w:val="18"/>
                <w:szCs w:val="18"/>
              </w:rPr>
            </w:pPr>
          </w:p>
        </w:tc>
        <w:tc>
          <w:tcPr>
            <w:tcW w:w="456" w:type="pct"/>
            <w:tcBorders>
              <w:bottom w:val="single" w:sz="4" w:space="0" w:color="000000"/>
            </w:tcBorders>
            <w:vAlign w:val="center"/>
          </w:tcPr>
          <w:p w14:paraId="5D78FFBD"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656" w:type="pct"/>
            <w:gridSpan w:val="2"/>
            <w:tcBorders>
              <w:bottom w:val="single" w:sz="4" w:space="0" w:color="000000"/>
              <w:right w:val="single" w:sz="4" w:space="0" w:color="000000"/>
            </w:tcBorders>
            <w:vAlign w:val="center"/>
          </w:tcPr>
          <w:p w14:paraId="05F7E2F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300                                600</w:t>
            </w:r>
          </w:p>
        </w:tc>
      </w:tr>
    </w:tbl>
    <w:p w14:paraId="499B83F2" w14:textId="77777777" w:rsidR="005B3072" w:rsidRDefault="005B3072">
      <w:pPr>
        <w:rPr>
          <w:rFonts w:ascii="Sitka Text" w:eastAsia="Sitka Text" w:hAnsi="Sitka Text" w:cs="Sitka Text"/>
          <w:b/>
          <w:color w:val="1F4E79"/>
          <w:sz w:val="28"/>
          <w:szCs w:val="28"/>
        </w:rPr>
      </w:pPr>
    </w:p>
    <w:p w14:paraId="6E21BDD1" w14:textId="77777777" w:rsidR="005B3072" w:rsidRDefault="005B3072">
      <w:pPr>
        <w:rPr>
          <w:rFonts w:ascii="Sitka Text" w:eastAsia="Sitka Text" w:hAnsi="Sitka Text" w:cs="Sitka Text"/>
          <w:b/>
          <w:color w:val="1F4E79"/>
          <w:sz w:val="28"/>
          <w:szCs w:val="28"/>
        </w:rPr>
      </w:pPr>
    </w:p>
    <w:p w14:paraId="1F7BF224" w14:textId="77777777" w:rsidR="005B3072" w:rsidRDefault="00A46913">
      <w:pPr>
        <w:jc w:val="center"/>
        <w:rPr>
          <w:rFonts w:ascii="Georgia" w:eastAsia="Georgia" w:hAnsi="Georgia" w:cs="Georgia"/>
          <w:color w:val="192F41"/>
        </w:rPr>
      </w:pPr>
      <w:r>
        <w:rPr>
          <w:rFonts w:ascii="Sitka Text" w:eastAsia="Sitka Text" w:hAnsi="Sitka Text" w:cs="Sitka Text"/>
          <w:b/>
          <w:color w:val="1F4E79"/>
          <w:sz w:val="28"/>
          <w:szCs w:val="28"/>
        </w:rPr>
        <w:t>STRATEŠKI CILJ II</w:t>
      </w:r>
    </w:p>
    <w:p w14:paraId="71050240" w14:textId="77777777" w:rsidR="005B3072" w:rsidRDefault="00A46913">
      <w:pPr>
        <w:jc w:val="center"/>
        <w:rPr>
          <w:rFonts w:ascii="Georgia" w:eastAsia="Georgia" w:hAnsi="Georgia" w:cs="Georgia"/>
          <w:color w:val="192F41"/>
        </w:rPr>
      </w:pPr>
      <w:r>
        <w:rPr>
          <w:rFonts w:ascii="Sitka Text" w:eastAsia="Sitka Text" w:hAnsi="Sitka Text" w:cs="Sitka Text"/>
          <w:b/>
          <w:color w:val="1F4E79"/>
          <w:sz w:val="28"/>
          <w:szCs w:val="28"/>
        </w:rPr>
        <w:t>JAČANJE DIGITALNE SVIJESTI CRNOGORSKOG DRUŠTVA I DIGITALNE KONKURENTNOSTI IKT SEKTORA</w:t>
      </w:r>
    </w:p>
    <w:tbl>
      <w:tblPr>
        <w:tblStyle w:val="aff3"/>
        <w:tblW w:w="5000" w:type="pct"/>
        <w:tblLook w:val="0400" w:firstRow="0" w:lastRow="0" w:firstColumn="0" w:lastColumn="0" w:noHBand="0" w:noVBand="1"/>
      </w:tblPr>
      <w:tblGrid>
        <w:gridCol w:w="2456"/>
        <w:gridCol w:w="8004"/>
      </w:tblGrid>
      <w:tr w:rsidR="005B3072" w14:paraId="2B23B74E" w14:textId="77777777" w:rsidTr="005E4CCE">
        <w:trPr>
          <w:trHeight w:val="827"/>
        </w:trPr>
        <w:tc>
          <w:tcPr>
            <w:tcW w:w="1174"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683453C6"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2.1</w:t>
            </w:r>
          </w:p>
        </w:tc>
        <w:tc>
          <w:tcPr>
            <w:tcW w:w="3826"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3A7EBCF4"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Podizanje svijesti građana i privrede o važnosti digitalnog razvoja</w:t>
            </w:r>
          </w:p>
        </w:tc>
      </w:tr>
    </w:tbl>
    <w:p w14:paraId="143BFCF0" w14:textId="77777777" w:rsidR="005B3072" w:rsidRDefault="005B3072">
      <w:pPr>
        <w:rPr>
          <w:rFonts w:ascii="Georgia" w:eastAsia="Georgia" w:hAnsi="Georgia" w:cs="Georgia"/>
          <w:color w:val="192F41"/>
        </w:rPr>
      </w:pPr>
    </w:p>
    <w:tbl>
      <w:tblPr>
        <w:tblStyle w:val="aff4"/>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2048"/>
        <w:gridCol w:w="1067"/>
        <w:gridCol w:w="1165"/>
        <w:gridCol w:w="6180"/>
      </w:tblGrid>
      <w:tr w:rsidR="005B3072" w14:paraId="14B1072D"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79" w:type="pct"/>
            <w:tcBorders>
              <w:top w:val="single" w:sz="4" w:space="0" w:color="000000"/>
              <w:left w:val="single" w:sz="4" w:space="0" w:color="000000"/>
            </w:tcBorders>
            <w:vAlign w:val="center"/>
          </w:tcPr>
          <w:p w14:paraId="5C632F3E" w14:textId="77777777" w:rsidR="005B3072" w:rsidRDefault="00A46913">
            <w:pPr>
              <w:widowControl w:val="0"/>
              <w:jc w:val="center"/>
              <w:rPr>
                <w:sz w:val="18"/>
                <w:szCs w:val="18"/>
              </w:rPr>
            </w:pPr>
            <w:r>
              <w:rPr>
                <w:sz w:val="18"/>
                <w:szCs w:val="18"/>
              </w:rPr>
              <w:t>Kategorija</w:t>
            </w:r>
          </w:p>
        </w:tc>
        <w:tc>
          <w:tcPr>
            <w:tcW w:w="4021" w:type="pct"/>
            <w:gridSpan w:val="3"/>
            <w:tcBorders>
              <w:top w:val="single" w:sz="4" w:space="0" w:color="000000"/>
              <w:right w:val="single" w:sz="4" w:space="0" w:color="000000"/>
            </w:tcBorders>
            <w:vAlign w:val="center"/>
          </w:tcPr>
          <w:p w14:paraId="6418563B"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135A88A7"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666D18D8" w14:textId="77777777" w:rsidR="005B3072" w:rsidRDefault="00A46913">
            <w:pPr>
              <w:widowControl w:val="0"/>
              <w:rPr>
                <w:sz w:val="18"/>
                <w:szCs w:val="18"/>
              </w:rPr>
            </w:pPr>
            <w:r>
              <w:rPr>
                <w:sz w:val="18"/>
                <w:szCs w:val="18"/>
              </w:rPr>
              <w:t>Naziv indikatora</w:t>
            </w:r>
          </w:p>
        </w:tc>
        <w:tc>
          <w:tcPr>
            <w:tcW w:w="4021" w:type="pct"/>
            <w:gridSpan w:val="3"/>
            <w:tcBorders>
              <w:right w:val="single" w:sz="4" w:space="0" w:color="000000"/>
            </w:tcBorders>
            <w:vAlign w:val="center"/>
          </w:tcPr>
          <w:p w14:paraId="025F0BF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Procenat državnih organa koji su aktivno uključeni u komunikacionoj kampanji</w:t>
            </w:r>
          </w:p>
        </w:tc>
      </w:tr>
      <w:tr w:rsidR="005B3072" w14:paraId="6D2F2FA6" w14:textId="77777777" w:rsidTr="005E4CCE">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13392F90" w14:textId="77777777" w:rsidR="005B3072" w:rsidRDefault="00A46913">
            <w:pPr>
              <w:widowControl w:val="0"/>
              <w:rPr>
                <w:sz w:val="18"/>
                <w:szCs w:val="18"/>
              </w:rPr>
            </w:pPr>
            <w:r>
              <w:rPr>
                <w:sz w:val="18"/>
                <w:szCs w:val="18"/>
              </w:rPr>
              <w:t>Cilj na koji se indikator odnosi</w:t>
            </w:r>
          </w:p>
        </w:tc>
        <w:tc>
          <w:tcPr>
            <w:tcW w:w="4021" w:type="pct"/>
            <w:gridSpan w:val="3"/>
            <w:tcBorders>
              <w:right w:val="single" w:sz="4" w:space="0" w:color="000000"/>
            </w:tcBorders>
            <w:vAlign w:val="center"/>
          </w:tcPr>
          <w:p w14:paraId="13E256F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Navedenim indikatorom prikazuje se procentualno učešće državnih organa u implementaciji aktivnosti iz komunikacione kampanje a sa ciljem podizanja svijesti građana/ki i privrede o važnosti digitalnog razvoja. Ovim indikatorom želi se postići kontinuirano procentualno povećenje broja državnih organa koji će sprovoditi aktivnosti iz zajedničke umbrella komunikacione kampanje, sa ciljem davanja poruka istog sadržaja građanima/kama i privredi.  Indikator pokazuje nivo sinhronizacije državne uprave u komunikaciji u oblasti digitalne transformacije.</w:t>
            </w:r>
          </w:p>
        </w:tc>
      </w:tr>
      <w:tr w:rsidR="005B3072" w14:paraId="700FD99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4643DF0D" w14:textId="77777777" w:rsidR="005B3072" w:rsidRDefault="005B3072">
            <w:pPr>
              <w:widowControl w:val="0"/>
              <w:rPr>
                <w:sz w:val="18"/>
                <w:szCs w:val="18"/>
              </w:rPr>
            </w:pPr>
          </w:p>
          <w:p w14:paraId="34D0D75B" w14:textId="77777777" w:rsidR="005B3072" w:rsidRDefault="00A46913">
            <w:pPr>
              <w:widowControl w:val="0"/>
              <w:rPr>
                <w:sz w:val="18"/>
                <w:szCs w:val="18"/>
              </w:rPr>
            </w:pPr>
            <w:r>
              <w:rPr>
                <w:sz w:val="18"/>
                <w:szCs w:val="18"/>
              </w:rPr>
              <w:t>Podaci koje je potrebno prikupiti</w:t>
            </w:r>
          </w:p>
        </w:tc>
        <w:tc>
          <w:tcPr>
            <w:tcW w:w="4021" w:type="pct"/>
            <w:gridSpan w:val="3"/>
            <w:tcBorders>
              <w:right w:val="single" w:sz="4" w:space="0" w:color="000000"/>
            </w:tcBorders>
            <w:vAlign w:val="center"/>
          </w:tcPr>
          <w:p w14:paraId="4AE28B8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Broj državnih organa koji su aktivno uključeni u komunikacionoj kampanji u odnosu na ukupan broj državnih organa </w:t>
            </w:r>
          </w:p>
        </w:tc>
      </w:tr>
      <w:tr w:rsidR="005B3072" w14:paraId="28850B97" w14:textId="77777777" w:rsidTr="005E4CCE">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2B1A5E80" w14:textId="77777777" w:rsidR="005B3072" w:rsidRDefault="00A46913">
            <w:pPr>
              <w:widowControl w:val="0"/>
              <w:rPr>
                <w:sz w:val="18"/>
                <w:szCs w:val="18"/>
              </w:rPr>
            </w:pPr>
            <w:r>
              <w:rPr>
                <w:sz w:val="18"/>
                <w:szCs w:val="18"/>
              </w:rPr>
              <w:t>Izvor podataka</w:t>
            </w:r>
          </w:p>
        </w:tc>
        <w:tc>
          <w:tcPr>
            <w:tcW w:w="4021" w:type="pct"/>
            <w:gridSpan w:val="3"/>
            <w:tcBorders>
              <w:right w:val="single" w:sz="4" w:space="0" w:color="000000"/>
            </w:tcBorders>
            <w:vAlign w:val="center"/>
          </w:tcPr>
          <w:p w14:paraId="2DA831A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Usvojena komunikaciona kampanja u oblasti digitalne transformacije sa jednogodišnjim komunikacionim planom. Izvještaj o realizovanim aktivnostima iz navedene komunikacione kampanje će prikazati broj državnih organa uključenih u implementaciju komunikacione kampanje na godišnjem nivou.</w:t>
            </w:r>
          </w:p>
        </w:tc>
      </w:tr>
      <w:tr w:rsidR="005B3072" w14:paraId="6E80F60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131A5D60" w14:textId="77777777" w:rsidR="005B3072" w:rsidRDefault="00A46913">
            <w:pPr>
              <w:widowControl w:val="0"/>
              <w:rPr>
                <w:sz w:val="18"/>
                <w:szCs w:val="18"/>
              </w:rPr>
            </w:pPr>
            <w:r>
              <w:rPr>
                <w:sz w:val="18"/>
                <w:szCs w:val="18"/>
              </w:rPr>
              <w:t>Informacija o instituciji odgovornoj za prikupljanje podataka</w:t>
            </w:r>
          </w:p>
        </w:tc>
        <w:tc>
          <w:tcPr>
            <w:tcW w:w="4021" w:type="pct"/>
            <w:gridSpan w:val="3"/>
            <w:tcBorders>
              <w:right w:val="single" w:sz="4" w:space="0" w:color="000000"/>
            </w:tcBorders>
            <w:vAlign w:val="center"/>
          </w:tcPr>
          <w:p w14:paraId="757CE43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p w14:paraId="534C28F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 služba</w:t>
            </w:r>
          </w:p>
          <w:p w14:paraId="2BCC3F8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Telefon: (+382) 20 241 412</w:t>
            </w:r>
          </w:p>
          <w:p w14:paraId="55AD2568"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747C70B2" w14:textId="77777777" w:rsidTr="005E4CCE">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646C2072" w14:textId="77777777" w:rsidR="005B3072" w:rsidRDefault="00A46913">
            <w:pPr>
              <w:widowControl w:val="0"/>
              <w:rPr>
                <w:sz w:val="18"/>
                <w:szCs w:val="18"/>
              </w:rPr>
            </w:pPr>
            <w:r>
              <w:rPr>
                <w:sz w:val="18"/>
                <w:szCs w:val="18"/>
              </w:rPr>
              <w:t>Učestalost prikupljanja podataka</w:t>
            </w:r>
          </w:p>
        </w:tc>
        <w:tc>
          <w:tcPr>
            <w:tcW w:w="4021" w:type="pct"/>
            <w:gridSpan w:val="3"/>
            <w:tcBorders>
              <w:right w:val="single" w:sz="4" w:space="0" w:color="000000"/>
            </w:tcBorders>
            <w:vAlign w:val="center"/>
          </w:tcPr>
          <w:p w14:paraId="2325997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 shodno Izvještaju o realizovanoj komunikacionoj kampanji</w:t>
            </w:r>
          </w:p>
        </w:tc>
      </w:tr>
      <w:tr w:rsidR="005B3072" w14:paraId="14B6B3D2"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64FC450A" w14:textId="77777777" w:rsidR="005B3072" w:rsidRDefault="00A46913">
            <w:pPr>
              <w:widowControl w:val="0"/>
              <w:rPr>
                <w:sz w:val="18"/>
                <w:szCs w:val="18"/>
              </w:rPr>
            </w:pPr>
            <w:r>
              <w:rPr>
                <w:sz w:val="18"/>
                <w:szCs w:val="18"/>
              </w:rPr>
              <w:t>Učestalost izvještavanja o vrijednosti indikatora</w:t>
            </w:r>
          </w:p>
        </w:tc>
        <w:tc>
          <w:tcPr>
            <w:tcW w:w="4021" w:type="pct"/>
            <w:gridSpan w:val="3"/>
            <w:tcBorders>
              <w:right w:val="single" w:sz="4" w:space="0" w:color="000000"/>
            </w:tcBorders>
            <w:vAlign w:val="center"/>
          </w:tcPr>
          <w:p w14:paraId="3CF16B8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73DA63B0" w14:textId="77777777" w:rsidTr="005E4CCE">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401D4559" w14:textId="77777777" w:rsidR="005B3072" w:rsidRDefault="00A46913">
            <w:pPr>
              <w:widowControl w:val="0"/>
              <w:rPr>
                <w:sz w:val="18"/>
                <w:szCs w:val="18"/>
              </w:rPr>
            </w:pPr>
            <w:r>
              <w:rPr>
                <w:sz w:val="18"/>
                <w:szCs w:val="18"/>
              </w:rPr>
              <w:t>Kratak opis metodologije izračunavanja podataka</w:t>
            </w:r>
          </w:p>
        </w:tc>
        <w:tc>
          <w:tcPr>
            <w:tcW w:w="4021" w:type="pct"/>
            <w:gridSpan w:val="3"/>
            <w:tcBorders>
              <w:right w:val="single" w:sz="4" w:space="0" w:color="000000"/>
            </w:tcBorders>
            <w:vAlign w:val="center"/>
          </w:tcPr>
          <w:p w14:paraId="3DFA3ACD"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43AEB1A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Udio (procenat) državnih organa koji su aktivno uključeni u komunikacionoj kampanji = Broj državnih organa koji su uključeni u komunikacionoj kampanji/Ukupan broj državnih organa X 100</w:t>
            </w:r>
          </w:p>
          <w:p w14:paraId="1FE20BB7"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3DE8403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Opis: </w:t>
            </w:r>
          </w:p>
          <w:p w14:paraId="11F4B54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Procenat državnih organa koji su aktivno uključeni u komunikacionoj kampanji izračunamo tako što podijelimo broj državnih organa koji su aktivno uključeni sa ukupnim brojem državnih organa i pomnožimo sa 100</w:t>
            </w:r>
          </w:p>
        </w:tc>
      </w:tr>
      <w:tr w:rsidR="005B3072" w14:paraId="19EB62C1"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1C2F586B" w14:textId="77777777" w:rsidR="005B3072" w:rsidRDefault="00A46913">
            <w:pPr>
              <w:widowControl w:val="0"/>
              <w:rPr>
                <w:sz w:val="18"/>
                <w:szCs w:val="18"/>
              </w:rPr>
            </w:pPr>
            <w:r>
              <w:rPr>
                <w:sz w:val="18"/>
                <w:szCs w:val="18"/>
              </w:rPr>
              <w:t xml:space="preserve">Kontakt osoba </w:t>
            </w:r>
          </w:p>
        </w:tc>
        <w:tc>
          <w:tcPr>
            <w:tcW w:w="4021" w:type="pct"/>
            <w:gridSpan w:val="3"/>
            <w:tcBorders>
              <w:right w:val="single" w:sz="4" w:space="0" w:color="000000"/>
            </w:tcBorders>
            <w:vAlign w:val="center"/>
          </w:tcPr>
          <w:p w14:paraId="5F5FAF8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w:t>
            </w:r>
          </w:p>
          <w:p w14:paraId="74DE944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 služba</w:t>
            </w:r>
          </w:p>
        </w:tc>
      </w:tr>
      <w:tr w:rsidR="005B3072" w14:paraId="739AF746" w14:textId="77777777" w:rsidTr="005E4CCE">
        <w:tc>
          <w:tcPr>
            <w:cnfStyle w:val="001000000000" w:firstRow="0" w:lastRow="0" w:firstColumn="1" w:lastColumn="0" w:oddVBand="0" w:evenVBand="0" w:oddHBand="0" w:evenHBand="0" w:firstRowFirstColumn="0" w:firstRowLastColumn="0" w:lastRowFirstColumn="0" w:lastRowLastColumn="0"/>
            <w:tcW w:w="979" w:type="pct"/>
            <w:tcBorders>
              <w:left w:val="single" w:sz="4" w:space="0" w:color="000000"/>
            </w:tcBorders>
            <w:vAlign w:val="center"/>
          </w:tcPr>
          <w:p w14:paraId="76383C6F" w14:textId="77777777" w:rsidR="005B3072" w:rsidRDefault="00A46913">
            <w:pPr>
              <w:widowControl w:val="0"/>
              <w:rPr>
                <w:sz w:val="18"/>
                <w:szCs w:val="18"/>
              </w:rPr>
            </w:pPr>
            <w:r>
              <w:rPr>
                <w:sz w:val="18"/>
                <w:szCs w:val="18"/>
              </w:rPr>
              <w:t>e-mail</w:t>
            </w:r>
          </w:p>
        </w:tc>
        <w:tc>
          <w:tcPr>
            <w:tcW w:w="4021" w:type="pct"/>
            <w:gridSpan w:val="3"/>
            <w:tcBorders>
              <w:right w:val="single" w:sz="4" w:space="0" w:color="000000"/>
            </w:tcBorders>
            <w:vAlign w:val="center"/>
          </w:tcPr>
          <w:p w14:paraId="6673629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PR službenik MJUDDM</w:t>
            </w:r>
          </w:p>
        </w:tc>
      </w:tr>
      <w:tr w:rsidR="005B3072" w14:paraId="0BBECB4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vMerge w:val="restart"/>
            <w:tcBorders>
              <w:left w:val="single" w:sz="4" w:space="0" w:color="000000"/>
            </w:tcBorders>
            <w:vAlign w:val="center"/>
          </w:tcPr>
          <w:p w14:paraId="1B0D3B42" w14:textId="77777777" w:rsidR="005B3072" w:rsidRDefault="00A46913">
            <w:pPr>
              <w:widowControl w:val="0"/>
              <w:rPr>
                <w:sz w:val="18"/>
                <w:szCs w:val="18"/>
              </w:rPr>
            </w:pPr>
            <w:r>
              <w:rPr>
                <w:sz w:val="18"/>
                <w:szCs w:val="18"/>
              </w:rPr>
              <w:t>Informacija o trendu i početnoj vrijednosti</w:t>
            </w:r>
          </w:p>
        </w:tc>
        <w:tc>
          <w:tcPr>
            <w:tcW w:w="510" w:type="pct"/>
            <w:vAlign w:val="center"/>
          </w:tcPr>
          <w:p w14:paraId="65A70C2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557" w:type="pct"/>
            <w:vAlign w:val="center"/>
          </w:tcPr>
          <w:p w14:paraId="5489D7F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2021 (godina)</w:t>
            </w:r>
          </w:p>
        </w:tc>
        <w:tc>
          <w:tcPr>
            <w:tcW w:w="2954" w:type="pct"/>
            <w:tcBorders>
              <w:right w:val="single" w:sz="4" w:space="0" w:color="000000"/>
            </w:tcBorders>
            <w:vAlign w:val="center"/>
          </w:tcPr>
          <w:p w14:paraId="472FB1A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5248D727" w14:textId="77777777" w:rsidTr="005E4CCE">
        <w:tc>
          <w:tcPr>
            <w:cnfStyle w:val="001000000000" w:firstRow="0" w:lastRow="0" w:firstColumn="1" w:lastColumn="0" w:oddVBand="0" w:evenVBand="0" w:oddHBand="0" w:evenHBand="0" w:firstRowFirstColumn="0" w:firstRowLastColumn="0" w:lastRowFirstColumn="0" w:lastRowLastColumn="0"/>
            <w:tcW w:w="979" w:type="pct"/>
            <w:vMerge/>
            <w:tcBorders>
              <w:left w:val="single" w:sz="4" w:space="0" w:color="000000"/>
            </w:tcBorders>
            <w:vAlign w:val="center"/>
          </w:tcPr>
          <w:p w14:paraId="31892F72" w14:textId="77777777" w:rsidR="005B3072" w:rsidRDefault="005B3072">
            <w:pPr>
              <w:widowControl w:val="0"/>
              <w:pBdr>
                <w:top w:val="nil"/>
                <w:left w:val="nil"/>
                <w:bottom w:val="nil"/>
                <w:right w:val="nil"/>
                <w:between w:val="nil"/>
              </w:pBdr>
              <w:spacing w:line="276" w:lineRule="auto"/>
              <w:rPr>
                <w:sz w:val="18"/>
                <w:szCs w:val="18"/>
              </w:rPr>
            </w:pPr>
          </w:p>
        </w:tc>
        <w:tc>
          <w:tcPr>
            <w:tcW w:w="510" w:type="pct"/>
            <w:vAlign w:val="center"/>
          </w:tcPr>
          <w:p w14:paraId="76EDFB4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11" w:type="pct"/>
            <w:gridSpan w:val="2"/>
            <w:tcBorders>
              <w:right w:val="single" w:sz="4" w:space="0" w:color="000000"/>
            </w:tcBorders>
            <w:vAlign w:val="center"/>
          </w:tcPr>
          <w:p w14:paraId="22CDF55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5B3072" w14:paraId="1B5CF3C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9" w:type="pct"/>
            <w:vMerge w:val="restart"/>
            <w:tcBorders>
              <w:left w:val="single" w:sz="4" w:space="0" w:color="000000"/>
            </w:tcBorders>
            <w:vAlign w:val="center"/>
          </w:tcPr>
          <w:p w14:paraId="4F72CBE2" w14:textId="77777777" w:rsidR="005B3072" w:rsidRDefault="00A46913">
            <w:pPr>
              <w:widowControl w:val="0"/>
              <w:rPr>
                <w:sz w:val="18"/>
                <w:szCs w:val="18"/>
              </w:rPr>
            </w:pPr>
            <w:r>
              <w:rPr>
                <w:sz w:val="18"/>
                <w:szCs w:val="18"/>
              </w:rPr>
              <w:t>Informacija o ciljnim vrijednostima</w:t>
            </w:r>
          </w:p>
        </w:tc>
        <w:tc>
          <w:tcPr>
            <w:tcW w:w="510" w:type="pct"/>
            <w:vAlign w:val="center"/>
          </w:tcPr>
          <w:p w14:paraId="0204795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557" w:type="pct"/>
            <w:tcBorders>
              <w:right w:val="single" w:sz="4" w:space="0" w:color="000000"/>
            </w:tcBorders>
            <w:vAlign w:val="center"/>
          </w:tcPr>
          <w:p w14:paraId="00AFC91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954" w:type="pct"/>
            <w:tcBorders>
              <w:left w:val="single" w:sz="4" w:space="0" w:color="000000"/>
              <w:right w:val="single" w:sz="4" w:space="0" w:color="000000"/>
            </w:tcBorders>
            <w:vAlign w:val="center"/>
          </w:tcPr>
          <w:p w14:paraId="72C2199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02579BC8" w14:textId="77777777" w:rsidTr="005E4CCE">
        <w:tc>
          <w:tcPr>
            <w:cnfStyle w:val="001000000000" w:firstRow="0" w:lastRow="0" w:firstColumn="1" w:lastColumn="0" w:oddVBand="0" w:evenVBand="0" w:oddHBand="0" w:evenHBand="0" w:firstRowFirstColumn="0" w:firstRowLastColumn="0" w:lastRowFirstColumn="0" w:lastRowLastColumn="0"/>
            <w:tcW w:w="979" w:type="pct"/>
            <w:vMerge/>
            <w:tcBorders>
              <w:left w:val="single" w:sz="4" w:space="0" w:color="000000"/>
            </w:tcBorders>
            <w:vAlign w:val="center"/>
          </w:tcPr>
          <w:p w14:paraId="58018B16" w14:textId="77777777" w:rsidR="005B3072" w:rsidRDefault="005B3072">
            <w:pPr>
              <w:widowControl w:val="0"/>
              <w:pBdr>
                <w:top w:val="nil"/>
                <w:left w:val="nil"/>
                <w:bottom w:val="nil"/>
                <w:right w:val="nil"/>
                <w:between w:val="nil"/>
              </w:pBdr>
              <w:spacing w:line="276" w:lineRule="auto"/>
              <w:rPr>
                <w:sz w:val="18"/>
                <w:szCs w:val="18"/>
              </w:rPr>
            </w:pPr>
          </w:p>
        </w:tc>
        <w:tc>
          <w:tcPr>
            <w:tcW w:w="510" w:type="pct"/>
            <w:tcBorders>
              <w:bottom w:val="single" w:sz="4" w:space="0" w:color="000000"/>
            </w:tcBorders>
            <w:vAlign w:val="center"/>
          </w:tcPr>
          <w:p w14:paraId="4E41AAC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557" w:type="pct"/>
            <w:tcBorders>
              <w:bottom w:val="single" w:sz="4" w:space="0" w:color="000000"/>
              <w:right w:val="single" w:sz="4" w:space="0" w:color="000000"/>
            </w:tcBorders>
            <w:vAlign w:val="center"/>
          </w:tcPr>
          <w:p w14:paraId="484066D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50 %</w:t>
            </w:r>
          </w:p>
        </w:tc>
        <w:tc>
          <w:tcPr>
            <w:tcW w:w="2954" w:type="pct"/>
            <w:tcBorders>
              <w:bottom w:val="single" w:sz="4" w:space="0" w:color="000000"/>
              <w:right w:val="single" w:sz="4" w:space="0" w:color="000000"/>
            </w:tcBorders>
            <w:vAlign w:val="center"/>
          </w:tcPr>
          <w:p w14:paraId="69B5E679" w14:textId="77777777" w:rsidR="005B3072" w:rsidRDefault="00A46913">
            <w:pPr>
              <w:widowControl w:val="0"/>
              <w:ind w:left="6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w:t>
            </w:r>
          </w:p>
        </w:tc>
      </w:tr>
    </w:tbl>
    <w:p w14:paraId="760009BD" w14:textId="77777777" w:rsidR="005B3072" w:rsidRDefault="005B3072">
      <w:pPr>
        <w:rPr>
          <w:rFonts w:ascii="Georgia" w:eastAsia="Georgia" w:hAnsi="Georgia" w:cs="Georgia"/>
          <w:color w:val="192F41"/>
        </w:rPr>
      </w:pPr>
    </w:p>
    <w:p w14:paraId="7A829FCE" w14:textId="77777777" w:rsidR="005B3072" w:rsidRDefault="005B3072">
      <w:pPr>
        <w:rPr>
          <w:rFonts w:ascii="Georgia" w:eastAsia="Georgia" w:hAnsi="Georgia" w:cs="Georgia"/>
          <w:color w:val="192F41"/>
        </w:rPr>
      </w:pPr>
    </w:p>
    <w:p w14:paraId="00399441" w14:textId="77777777" w:rsidR="005B3072" w:rsidRDefault="005B3072">
      <w:pPr>
        <w:rPr>
          <w:rFonts w:ascii="Georgia" w:eastAsia="Georgia" w:hAnsi="Georgia" w:cs="Georgia"/>
          <w:color w:val="192F41"/>
        </w:rPr>
      </w:pPr>
    </w:p>
    <w:tbl>
      <w:tblPr>
        <w:tblStyle w:val="aff5"/>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2018"/>
        <w:gridCol w:w="1293"/>
        <w:gridCol w:w="1475"/>
        <w:gridCol w:w="5674"/>
      </w:tblGrid>
      <w:tr w:rsidR="005B3072" w14:paraId="739008C3"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65" w:type="pct"/>
            <w:tcBorders>
              <w:top w:val="single" w:sz="4" w:space="0" w:color="000000"/>
              <w:left w:val="single" w:sz="4" w:space="0" w:color="000000"/>
            </w:tcBorders>
            <w:vAlign w:val="center"/>
          </w:tcPr>
          <w:p w14:paraId="3BF9432D" w14:textId="77777777" w:rsidR="005B3072" w:rsidRDefault="00A46913">
            <w:pPr>
              <w:widowControl w:val="0"/>
              <w:jc w:val="center"/>
              <w:rPr>
                <w:sz w:val="18"/>
                <w:szCs w:val="18"/>
              </w:rPr>
            </w:pPr>
            <w:r>
              <w:rPr>
                <w:sz w:val="18"/>
                <w:szCs w:val="18"/>
              </w:rPr>
              <w:t>Kategorija</w:t>
            </w:r>
          </w:p>
        </w:tc>
        <w:tc>
          <w:tcPr>
            <w:tcW w:w="4035" w:type="pct"/>
            <w:gridSpan w:val="3"/>
            <w:tcBorders>
              <w:top w:val="single" w:sz="4" w:space="0" w:color="000000"/>
              <w:right w:val="single" w:sz="4" w:space="0" w:color="000000"/>
            </w:tcBorders>
            <w:vAlign w:val="center"/>
          </w:tcPr>
          <w:p w14:paraId="6492ECB7"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770648B6"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77AD0A56" w14:textId="77777777" w:rsidR="005B3072" w:rsidRDefault="00A46913">
            <w:pPr>
              <w:widowControl w:val="0"/>
              <w:rPr>
                <w:sz w:val="18"/>
                <w:szCs w:val="18"/>
              </w:rPr>
            </w:pPr>
            <w:r>
              <w:rPr>
                <w:sz w:val="18"/>
                <w:szCs w:val="18"/>
              </w:rPr>
              <w:t>Naziv indikatora</w:t>
            </w:r>
          </w:p>
        </w:tc>
        <w:tc>
          <w:tcPr>
            <w:tcW w:w="4035" w:type="pct"/>
            <w:gridSpan w:val="3"/>
            <w:tcBorders>
              <w:right w:val="single" w:sz="4" w:space="0" w:color="000000"/>
            </w:tcBorders>
            <w:vAlign w:val="center"/>
          </w:tcPr>
          <w:p w14:paraId="44727BD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Procenat građana/ki informisanih o dostupnosti i načinu korišćenja elektronskih usluga</w:t>
            </w:r>
          </w:p>
        </w:tc>
      </w:tr>
      <w:tr w:rsidR="005B3072" w14:paraId="5FAA7F7B" w14:textId="77777777" w:rsidTr="005E4CCE">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47206B3F" w14:textId="77777777" w:rsidR="005B3072" w:rsidRDefault="00A46913">
            <w:pPr>
              <w:widowControl w:val="0"/>
              <w:rPr>
                <w:sz w:val="18"/>
                <w:szCs w:val="18"/>
              </w:rPr>
            </w:pPr>
            <w:r>
              <w:rPr>
                <w:sz w:val="18"/>
                <w:szCs w:val="18"/>
              </w:rPr>
              <w:t>Cilj na koji se indikator odnosi</w:t>
            </w:r>
          </w:p>
        </w:tc>
        <w:tc>
          <w:tcPr>
            <w:tcW w:w="4035" w:type="pct"/>
            <w:gridSpan w:val="3"/>
            <w:tcBorders>
              <w:right w:val="single" w:sz="4" w:space="0" w:color="000000"/>
            </w:tcBorders>
            <w:vAlign w:val="center"/>
          </w:tcPr>
          <w:p w14:paraId="41BF36E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Navedenim indikatorom se prikazuje procenat građana/ki koji su informisani odnosno upoznati sa dostupnošću i načinom korišćenja elektronskih usluga. Indikator se dobija shodno sprovedenim istraživanjima na određenom uzorku ispitanika (oko 1000 ispitanika). </w:t>
            </w:r>
          </w:p>
        </w:tc>
      </w:tr>
      <w:tr w:rsidR="005B3072" w14:paraId="7AB42DB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2AE96EAC" w14:textId="77777777" w:rsidR="005B3072" w:rsidRDefault="005B3072">
            <w:pPr>
              <w:widowControl w:val="0"/>
              <w:rPr>
                <w:sz w:val="18"/>
                <w:szCs w:val="18"/>
              </w:rPr>
            </w:pPr>
          </w:p>
          <w:p w14:paraId="58477FEB" w14:textId="77777777" w:rsidR="005B3072" w:rsidRDefault="00A46913">
            <w:pPr>
              <w:widowControl w:val="0"/>
              <w:rPr>
                <w:sz w:val="18"/>
                <w:szCs w:val="18"/>
              </w:rPr>
            </w:pPr>
            <w:r>
              <w:rPr>
                <w:sz w:val="18"/>
                <w:szCs w:val="18"/>
              </w:rPr>
              <w:t>Podaci koje je potrebno prikupiti</w:t>
            </w:r>
          </w:p>
        </w:tc>
        <w:tc>
          <w:tcPr>
            <w:tcW w:w="4035" w:type="pct"/>
            <w:gridSpan w:val="3"/>
            <w:tcBorders>
              <w:right w:val="single" w:sz="4" w:space="0" w:color="000000"/>
            </w:tcBorders>
            <w:vAlign w:val="center"/>
          </w:tcPr>
          <w:p w14:paraId="4A03467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Posmatra se broj ispitanika koji su pozitivno odgovorili da su uglavnom ili u potpunosti informisani o dostupnosti i načinu korišćenja elektronskih usluga u odnosu na ukupan broj ispitanika koji su obuhvaćeni relevantnim istraživanjem. U narednom periodu neophodno je da Uprava za statistiku MONSTAT u sklopu Modula J "Upitnika - Upotreba informaciono komunikacionih tehnologija za domaćinstva i lica" a shodno Memorandumu o saradnji između MJUDDM-a i MONSTAT-a, vrši istraživanja za navedeni parametar.</w:t>
            </w:r>
          </w:p>
        </w:tc>
      </w:tr>
      <w:tr w:rsidR="005B3072" w14:paraId="69F9C12B" w14:textId="77777777" w:rsidTr="005E4CCE">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6D4B5697" w14:textId="77777777" w:rsidR="005B3072" w:rsidRDefault="00A46913">
            <w:pPr>
              <w:widowControl w:val="0"/>
              <w:rPr>
                <w:sz w:val="18"/>
                <w:szCs w:val="18"/>
              </w:rPr>
            </w:pPr>
            <w:r>
              <w:rPr>
                <w:sz w:val="18"/>
                <w:szCs w:val="18"/>
              </w:rPr>
              <w:t>Izvor podataka</w:t>
            </w:r>
          </w:p>
        </w:tc>
        <w:tc>
          <w:tcPr>
            <w:tcW w:w="4035" w:type="pct"/>
            <w:gridSpan w:val="3"/>
            <w:tcBorders>
              <w:right w:val="single" w:sz="4" w:space="0" w:color="000000"/>
            </w:tcBorders>
            <w:vAlign w:val="center"/>
          </w:tcPr>
          <w:p w14:paraId="7E45E234"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Za 2019. baznu godinu navedeni izvor podataka je IPSOS istraživanje. </w:t>
            </w:r>
          </w:p>
          <w:p w14:paraId="5A03CEC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Za 2021. i 2022. godinu relevantni podatak će biti istraživanje koje sprovodi CEED u saradnji sa UNDP i Ministarstvom javne uprave, digitalnog društva i medija a u sklopu projekta “E-services and digital infrastructure as COVID-19 response measure“</w:t>
            </w:r>
          </w:p>
          <w:p w14:paraId="5F20020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Naredne godine, Uprava za statistiku - MONSTAT će preuzeti praćenje ovog indikatora kroz Modul J "Upitnika - Upotreba informaciono komunikacionih tehnologija za domaćinstva i lica"</w:t>
            </w:r>
          </w:p>
        </w:tc>
      </w:tr>
      <w:tr w:rsidR="005B3072" w14:paraId="480E7C7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2D748289" w14:textId="77777777" w:rsidR="005B3072" w:rsidRDefault="00A46913">
            <w:pPr>
              <w:widowControl w:val="0"/>
              <w:rPr>
                <w:sz w:val="18"/>
                <w:szCs w:val="18"/>
              </w:rPr>
            </w:pPr>
            <w:r>
              <w:rPr>
                <w:sz w:val="18"/>
                <w:szCs w:val="18"/>
              </w:rPr>
              <w:t>Informacija o instituciji odgovornoj za prikupljanje podataka</w:t>
            </w:r>
          </w:p>
        </w:tc>
        <w:tc>
          <w:tcPr>
            <w:tcW w:w="4035" w:type="pct"/>
            <w:gridSpan w:val="3"/>
            <w:tcBorders>
              <w:right w:val="single" w:sz="4" w:space="0" w:color="000000"/>
            </w:tcBorders>
            <w:vAlign w:val="center"/>
          </w:tcPr>
          <w:p w14:paraId="69C09B8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Uprava za statistiku MONSTAT</w:t>
            </w:r>
          </w:p>
          <w:p w14:paraId="1D1BA17A"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2B0DFA12" w14:textId="77777777" w:rsidTr="005E4CCE">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6EC9D571" w14:textId="77777777" w:rsidR="005B3072" w:rsidRDefault="00A46913">
            <w:pPr>
              <w:widowControl w:val="0"/>
              <w:rPr>
                <w:sz w:val="18"/>
                <w:szCs w:val="18"/>
              </w:rPr>
            </w:pPr>
            <w:r>
              <w:rPr>
                <w:sz w:val="18"/>
                <w:szCs w:val="18"/>
              </w:rPr>
              <w:t>Učestalost prikupljanja podataka</w:t>
            </w:r>
          </w:p>
        </w:tc>
        <w:tc>
          <w:tcPr>
            <w:tcW w:w="4035" w:type="pct"/>
            <w:gridSpan w:val="3"/>
            <w:tcBorders>
              <w:right w:val="single" w:sz="4" w:space="0" w:color="000000"/>
            </w:tcBorders>
            <w:vAlign w:val="center"/>
          </w:tcPr>
          <w:p w14:paraId="500E45B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MJUDDM će navedeni indikator pratiti tokom 2021. i 2022. kroz istraživanje koje sprovodi CEED u saradnji sa UNDP kroz projekat “E-services and digital infrastructure as COVID-19 response measure“. Takođe, navedeni indikator će biti uključen i kroz redovna godišnja statistička istraživanja Uprave za statistiku MONSTAT. </w:t>
            </w:r>
          </w:p>
          <w:p w14:paraId="4E9451AB"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37A8D21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523F3C0F" w14:textId="77777777" w:rsidR="005B3072" w:rsidRDefault="00A46913">
            <w:pPr>
              <w:widowControl w:val="0"/>
              <w:rPr>
                <w:sz w:val="18"/>
                <w:szCs w:val="18"/>
              </w:rPr>
            </w:pPr>
            <w:r>
              <w:rPr>
                <w:sz w:val="18"/>
                <w:szCs w:val="18"/>
              </w:rPr>
              <w:t>Učestalost izvještavanja o vrijednosti indikatora</w:t>
            </w:r>
          </w:p>
        </w:tc>
        <w:tc>
          <w:tcPr>
            <w:tcW w:w="4035" w:type="pct"/>
            <w:gridSpan w:val="3"/>
            <w:tcBorders>
              <w:right w:val="single" w:sz="4" w:space="0" w:color="000000"/>
            </w:tcBorders>
            <w:vAlign w:val="center"/>
          </w:tcPr>
          <w:p w14:paraId="5EEFFC2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180CD807" w14:textId="77777777" w:rsidTr="005E4CCE">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62915EA0" w14:textId="77777777" w:rsidR="005B3072" w:rsidRDefault="00A46913">
            <w:pPr>
              <w:widowControl w:val="0"/>
              <w:rPr>
                <w:sz w:val="18"/>
                <w:szCs w:val="18"/>
              </w:rPr>
            </w:pPr>
            <w:r>
              <w:rPr>
                <w:sz w:val="18"/>
                <w:szCs w:val="18"/>
              </w:rPr>
              <w:t>Kratak opis metodologije izračunavanja podataka</w:t>
            </w:r>
          </w:p>
        </w:tc>
        <w:tc>
          <w:tcPr>
            <w:tcW w:w="4035" w:type="pct"/>
            <w:gridSpan w:val="3"/>
            <w:tcBorders>
              <w:right w:val="single" w:sz="4" w:space="0" w:color="000000"/>
            </w:tcBorders>
            <w:vAlign w:val="center"/>
          </w:tcPr>
          <w:p w14:paraId="7DE813E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Broj ispitanika koji su pozitivno odgovorili da su uglavnom ili u potpunosti informisani o dostupnosti i načinu korišćenja elektronskih usluga/ ukupan broj ispitanika X 100 </w:t>
            </w:r>
          </w:p>
          <w:p w14:paraId="4B4FDDA8"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51F748F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OPIS:</w:t>
            </w:r>
          </w:p>
          <w:p w14:paraId="16B77B9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Posmatra se broj ispitanika koji su pozitivno odgovorili da su uglavnom ili u potpunosti informisani o dostupnosti i načinu korišćenja elektronskih usluga u odnosu na ukupan broj ispitanika koji su obuhvaćeni relevantnim istraživanjem.</w:t>
            </w:r>
          </w:p>
        </w:tc>
      </w:tr>
      <w:tr w:rsidR="005B3072" w14:paraId="41CA9F1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3FC8304D" w14:textId="77777777" w:rsidR="005B3072" w:rsidRDefault="00A46913">
            <w:pPr>
              <w:widowControl w:val="0"/>
              <w:rPr>
                <w:sz w:val="18"/>
                <w:szCs w:val="18"/>
              </w:rPr>
            </w:pPr>
            <w:r>
              <w:rPr>
                <w:sz w:val="18"/>
                <w:szCs w:val="18"/>
              </w:rPr>
              <w:t xml:space="preserve">Kontakt osoba </w:t>
            </w:r>
          </w:p>
        </w:tc>
        <w:tc>
          <w:tcPr>
            <w:tcW w:w="4035" w:type="pct"/>
            <w:gridSpan w:val="3"/>
            <w:tcBorders>
              <w:right w:val="single" w:sz="4" w:space="0" w:color="000000"/>
            </w:tcBorders>
            <w:vAlign w:val="center"/>
          </w:tcPr>
          <w:p w14:paraId="7DF1D6C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Uprava za statistiku MONSTAT</w:t>
            </w:r>
          </w:p>
        </w:tc>
      </w:tr>
      <w:tr w:rsidR="005B3072" w14:paraId="06A9660E" w14:textId="77777777" w:rsidTr="005E4CCE">
        <w:tc>
          <w:tcPr>
            <w:cnfStyle w:val="001000000000" w:firstRow="0" w:lastRow="0" w:firstColumn="1" w:lastColumn="0" w:oddVBand="0" w:evenVBand="0" w:oddHBand="0" w:evenHBand="0" w:firstRowFirstColumn="0" w:firstRowLastColumn="0" w:lastRowFirstColumn="0" w:lastRowLastColumn="0"/>
            <w:tcW w:w="965" w:type="pct"/>
            <w:tcBorders>
              <w:left w:val="single" w:sz="4" w:space="0" w:color="000000"/>
            </w:tcBorders>
            <w:vAlign w:val="center"/>
          </w:tcPr>
          <w:p w14:paraId="1544F6F7" w14:textId="77777777" w:rsidR="005B3072" w:rsidRDefault="00A46913">
            <w:pPr>
              <w:widowControl w:val="0"/>
              <w:rPr>
                <w:sz w:val="18"/>
                <w:szCs w:val="18"/>
              </w:rPr>
            </w:pPr>
            <w:r>
              <w:rPr>
                <w:sz w:val="18"/>
                <w:szCs w:val="18"/>
              </w:rPr>
              <w:t>e-mail</w:t>
            </w:r>
          </w:p>
        </w:tc>
        <w:tc>
          <w:tcPr>
            <w:tcW w:w="4035" w:type="pct"/>
            <w:gridSpan w:val="3"/>
            <w:tcBorders>
              <w:right w:val="single" w:sz="4" w:space="0" w:color="000000"/>
            </w:tcBorders>
            <w:vAlign w:val="center"/>
          </w:tcPr>
          <w:p w14:paraId="11C32685"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highlight w:val="yellow"/>
              </w:rPr>
            </w:pPr>
            <w:hyperlink r:id="rId46">
              <w:r w:rsidR="00A46913">
                <w:rPr>
                  <w:color w:val="0563C1"/>
                  <w:sz w:val="18"/>
                  <w:szCs w:val="18"/>
                  <w:u w:val="single"/>
                </w:rPr>
                <w:t>contact@monstat.org</w:t>
              </w:r>
            </w:hyperlink>
            <w:r w:rsidR="00A46913">
              <w:rPr>
                <w:sz w:val="18"/>
                <w:szCs w:val="18"/>
              </w:rPr>
              <w:t xml:space="preserve"> </w:t>
            </w:r>
          </w:p>
        </w:tc>
      </w:tr>
      <w:tr w:rsidR="005B3072" w14:paraId="395D8E1A"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vMerge w:val="restart"/>
            <w:tcBorders>
              <w:left w:val="single" w:sz="4" w:space="0" w:color="000000"/>
            </w:tcBorders>
            <w:vAlign w:val="center"/>
          </w:tcPr>
          <w:p w14:paraId="2BBCE13B" w14:textId="77777777" w:rsidR="005B3072" w:rsidRDefault="00A46913">
            <w:pPr>
              <w:widowControl w:val="0"/>
              <w:rPr>
                <w:sz w:val="18"/>
                <w:szCs w:val="18"/>
              </w:rPr>
            </w:pPr>
            <w:r>
              <w:rPr>
                <w:sz w:val="18"/>
                <w:szCs w:val="18"/>
              </w:rPr>
              <w:t>Informacija o trendu i početnoj vrijednosti</w:t>
            </w:r>
          </w:p>
        </w:tc>
        <w:tc>
          <w:tcPr>
            <w:tcW w:w="618" w:type="pct"/>
            <w:vAlign w:val="center"/>
          </w:tcPr>
          <w:p w14:paraId="08196C7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05" w:type="pct"/>
            <w:vAlign w:val="center"/>
          </w:tcPr>
          <w:p w14:paraId="5263483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2019 (godina)</w:t>
            </w:r>
          </w:p>
        </w:tc>
        <w:tc>
          <w:tcPr>
            <w:tcW w:w="2711" w:type="pct"/>
            <w:tcBorders>
              <w:right w:val="single" w:sz="4" w:space="0" w:color="000000"/>
            </w:tcBorders>
            <w:vAlign w:val="center"/>
          </w:tcPr>
          <w:p w14:paraId="45D5E27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2C959D12" w14:textId="77777777" w:rsidTr="005E4CCE">
        <w:tc>
          <w:tcPr>
            <w:cnfStyle w:val="001000000000" w:firstRow="0" w:lastRow="0" w:firstColumn="1" w:lastColumn="0" w:oddVBand="0" w:evenVBand="0" w:oddHBand="0" w:evenHBand="0" w:firstRowFirstColumn="0" w:firstRowLastColumn="0" w:lastRowFirstColumn="0" w:lastRowLastColumn="0"/>
            <w:tcW w:w="965" w:type="pct"/>
            <w:vMerge/>
            <w:tcBorders>
              <w:left w:val="single" w:sz="4" w:space="0" w:color="000000"/>
            </w:tcBorders>
            <w:vAlign w:val="center"/>
          </w:tcPr>
          <w:p w14:paraId="55214EFD" w14:textId="77777777" w:rsidR="005B3072" w:rsidRDefault="005B3072">
            <w:pPr>
              <w:widowControl w:val="0"/>
              <w:pBdr>
                <w:top w:val="nil"/>
                <w:left w:val="nil"/>
                <w:bottom w:val="nil"/>
                <w:right w:val="nil"/>
                <w:between w:val="nil"/>
              </w:pBdr>
              <w:spacing w:line="276" w:lineRule="auto"/>
              <w:rPr>
                <w:sz w:val="18"/>
                <w:szCs w:val="18"/>
              </w:rPr>
            </w:pPr>
          </w:p>
        </w:tc>
        <w:tc>
          <w:tcPr>
            <w:tcW w:w="618" w:type="pct"/>
            <w:vAlign w:val="center"/>
          </w:tcPr>
          <w:p w14:paraId="79E02E0D"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416" w:type="pct"/>
            <w:gridSpan w:val="2"/>
            <w:tcBorders>
              <w:right w:val="single" w:sz="4" w:space="0" w:color="000000"/>
            </w:tcBorders>
            <w:vAlign w:val="center"/>
          </w:tcPr>
          <w:p w14:paraId="2853A96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w:t>
            </w:r>
          </w:p>
        </w:tc>
      </w:tr>
      <w:tr w:rsidR="005B3072" w14:paraId="62B5538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 w:type="pct"/>
            <w:vMerge w:val="restart"/>
            <w:tcBorders>
              <w:left w:val="single" w:sz="4" w:space="0" w:color="000000"/>
            </w:tcBorders>
            <w:vAlign w:val="center"/>
          </w:tcPr>
          <w:p w14:paraId="02B7832D" w14:textId="77777777" w:rsidR="005B3072" w:rsidRDefault="00A46913">
            <w:pPr>
              <w:widowControl w:val="0"/>
              <w:rPr>
                <w:sz w:val="18"/>
                <w:szCs w:val="18"/>
              </w:rPr>
            </w:pPr>
            <w:r>
              <w:rPr>
                <w:sz w:val="18"/>
                <w:szCs w:val="18"/>
              </w:rPr>
              <w:t>Informacija o ciljnim vrijednostima</w:t>
            </w:r>
          </w:p>
        </w:tc>
        <w:tc>
          <w:tcPr>
            <w:tcW w:w="618" w:type="pct"/>
            <w:vAlign w:val="center"/>
          </w:tcPr>
          <w:p w14:paraId="552FFB5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05" w:type="pct"/>
            <w:tcBorders>
              <w:right w:val="single" w:sz="4" w:space="0" w:color="000000"/>
            </w:tcBorders>
            <w:vAlign w:val="center"/>
          </w:tcPr>
          <w:p w14:paraId="2CC9EF9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711" w:type="pct"/>
            <w:tcBorders>
              <w:left w:val="single" w:sz="4" w:space="0" w:color="000000"/>
              <w:right w:val="single" w:sz="4" w:space="0" w:color="000000"/>
            </w:tcBorders>
            <w:vAlign w:val="center"/>
          </w:tcPr>
          <w:p w14:paraId="59F9E43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1F9E34EF" w14:textId="77777777" w:rsidTr="005E4CCE">
        <w:tc>
          <w:tcPr>
            <w:cnfStyle w:val="001000000000" w:firstRow="0" w:lastRow="0" w:firstColumn="1" w:lastColumn="0" w:oddVBand="0" w:evenVBand="0" w:oddHBand="0" w:evenHBand="0" w:firstRowFirstColumn="0" w:firstRowLastColumn="0" w:lastRowFirstColumn="0" w:lastRowLastColumn="0"/>
            <w:tcW w:w="965" w:type="pct"/>
            <w:vMerge/>
            <w:tcBorders>
              <w:left w:val="single" w:sz="4" w:space="0" w:color="000000"/>
            </w:tcBorders>
            <w:vAlign w:val="center"/>
          </w:tcPr>
          <w:p w14:paraId="6151F5F9" w14:textId="77777777" w:rsidR="005B3072" w:rsidRDefault="005B3072">
            <w:pPr>
              <w:widowControl w:val="0"/>
              <w:pBdr>
                <w:top w:val="nil"/>
                <w:left w:val="nil"/>
                <w:bottom w:val="nil"/>
                <w:right w:val="nil"/>
                <w:between w:val="nil"/>
              </w:pBdr>
              <w:spacing w:line="276" w:lineRule="auto"/>
              <w:rPr>
                <w:sz w:val="18"/>
                <w:szCs w:val="18"/>
              </w:rPr>
            </w:pPr>
          </w:p>
        </w:tc>
        <w:tc>
          <w:tcPr>
            <w:tcW w:w="618" w:type="pct"/>
            <w:tcBorders>
              <w:bottom w:val="single" w:sz="4" w:space="0" w:color="000000"/>
            </w:tcBorders>
            <w:vAlign w:val="center"/>
          </w:tcPr>
          <w:p w14:paraId="2056377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705" w:type="pct"/>
            <w:tcBorders>
              <w:bottom w:val="single" w:sz="4" w:space="0" w:color="000000"/>
              <w:right w:val="single" w:sz="4" w:space="0" w:color="000000"/>
            </w:tcBorders>
            <w:vAlign w:val="center"/>
          </w:tcPr>
          <w:p w14:paraId="26997F5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45%</w:t>
            </w:r>
          </w:p>
        </w:tc>
        <w:tc>
          <w:tcPr>
            <w:tcW w:w="2711" w:type="pct"/>
            <w:tcBorders>
              <w:bottom w:val="single" w:sz="4" w:space="0" w:color="000000"/>
              <w:right w:val="single" w:sz="4" w:space="0" w:color="000000"/>
            </w:tcBorders>
            <w:vAlign w:val="center"/>
          </w:tcPr>
          <w:p w14:paraId="69B6A9D5" w14:textId="77777777" w:rsidR="005B3072" w:rsidRDefault="00A46913">
            <w:pPr>
              <w:widowControl w:val="0"/>
              <w:ind w:left="67"/>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65%</w:t>
            </w:r>
          </w:p>
        </w:tc>
      </w:tr>
    </w:tbl>
    <w:p w14:paraId="13618586" w14:textId="77777777" w:rsidR="005B3072" w:rsidRDefault="005B3072">
      <w:pPr>
        <w:rPr>
          <w:rFonts w:ascii="Georgia" w:eastAsia="Georgia" w:hAnsi="Georgia" w:cs="Georgia"/>
          <w:color w:val="192F41"/>
        </w:rPr>
      </w:pPr>
    </w:p>
    <w:p w14:paraId="1F4C3136" w14:textId="77777777" w:rsidR="005B3072" w:rsidRDefault="005B3072">
      <w:pPr>
        <w:rPr>
          <w:rFonts w:ascii="Georgia" w:eastAsia="Georgia" w:hAnsi="Georgia" w:cs="Georgia"/>
          <w:color w:val="192F41"/>
        </w:rPr>
      </w:pPr>
    </w:p>
    <w:p w14:paraId="49089BB0" w14:textId="77777777" w:rsidR="005B3072" w:rsidRDefault="005B3072">
      <w:pPr>
        <w:rPr>
          <w:rFonts w:ascii="Georgia" w:eastAsia="Georgia" w:hAnsi="Georgia" w:cs="Georgia"/>
          <w:color w:val="192F41"/>
        </w:rPr>
      </w:pPr>
    </w:p>
    <w:tbl>
      <w:tblPr>
        <w:tblStyle w:val="aff6"/>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97"/>
        <w:gridCol w:w="1023"/>
        <w:gridCol w:w="1243"/>
        <w:gridCol w:w="6197"/>
      </w:tblGrid>
      <w:tr w:rsidR="005B3072" w14:paraId="1441FDCE"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55" w:type="pct"/>
            <w:tcBorders>
              <w:top w:val="single" w:sz="4" w:space="0" w:color="000000"/>
              <w:left w:val="single" w:sz="4" w:space="0" w:color="000000"/>
            </w:tcBorders>
            <w:vAlign w:val="center"/>
          </w:tcPr>
          <w:p w14:paraId="6A499C2E" w14:textId="77777777" w:rsidR="005B3072" w:rsidRDefault="00A46913">
            <w:pPr>
              <w:widowControl w:val="0"/>
              <w:jc w:val="center"/>
              <w:rPr>
                <w:sz w:val="18"/>
                <w:szCs w:val="18"/>
              </w:rPr>
            </w:pPr>
            <w:r>
              <w:rPr>
                <w:sz w:val="18"/>
                <w:szCs w:val="18"/>
              </w:rPr>
              <w:t>Kategorija</w:t>
            </w:r>
          </w:p>
        </w:tc>
        <w:tc>
          <w:tcPr>
            <w:tcW w:w="4045" w:type="pct"/>
            <w:gridSpan w:val="3"/>
            <w:tcBorders>
              <w:top w:val="single" w:sz="4" w:space="0" w:color="000000"/>
              <w:right w:val="single" w:sz="4" w:space="0" w:color="000000"/>
            </w:tcBorders>
            <w:vAlign w:val="center"/>
          </w:tcPr>
          <w:p w14:paraId="24F98A79"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01996A02"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42B28401" w14:textId="77777777" w:rsidR="005B3072" w:rsidRDefault="00A46913">
            <w:pPr>
              <w:widowControl w:val="0"/>
              <w:rPr>
                <w:sz w:val="18"/>
                <w:szCs w:val="18"/>
              </w:rPr>
            </w:pPr>
            <w:r>
              <w:rPr>
                <w:sz w:val="18"/>
                <w:szCs w:val="18"/>
              </w:rPr>
              <w:t>Naziv indikatora</w:t>
            </w:r>
          </w:p>
        </w:tc>
        <w:tc>
          <w:tcPr>
            <w:tcW w:w="4045" w:type="pct"/>
            <w:gridSpan w:val="3"/>
            <w:tcBorders>
              <w:right w:val="single" w:sz="4" w:space="0" w:color="000000"/>
            </w:tcBorders>
            <w:vAlign w:val="center"/>
          </w:tcPr>
          <w:p w14:paraId="557EEEB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Procenat  informisanosti privrede o dostupnosti i načinu korišćenja elektronskih usluga</w:t>
            </w:r>
          </w:p>
        </w:tc>
      </w:tr>
      <w:tr w:rsidR="005B3072" w14:paraId="1DDD3AD5" w14:textId="77777777" w:rsidTr="005E4CCE">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75847BAE" w14:textId="77777777" w:rsidR="005B3072" w:rsidRDefault="00A46913">
            <w:pPr>
              <w:widowControl w:val="0"/>
              <w:rPr>
                <w:sz w:val="18"/>
                <w:szCs w:val="18"/>
              </w:rPr>
            </w:pPr>
            <w:r>
              <w:rPr>
                <w:sz w:val="18"/>
                <w:szCs w:val="18"/>
              </w:rPr>
              <w:t>Cilj na koji se indikator odnosi</w:t>
            </w:r>
          </w:p>
        </w:tc>
        <w:tc>
          <w:tcPr>
            <w:tcW w:w="4045" w:type="pct"/>
            <w:gridSpan w:val="3"/>
            <w:tcBorders>
              <w:right w:val="single" w:sz="4" w:space="0" w:color="000000"/>
            </w:tcBorders>
            <w:vAlign w:val="center"/>
          </w:tcPr>
          <w:p w14:paraId="7689C1D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Navedenim indikatorom se prikazuje procenat privrednih lica koji su informisani odnosno upoznati sa dostupnošću i načinom korišćenja elektronskih usluga. Indikator se dobija shodno sprovedenim istraživanjima na određenom uzorku ispitanika. </w:t>
            </w:r>
          </w:p>
        </w:tc>
      </w:tr>
      <w:tr w:rsidR="005B3072" w14:paraId="1733684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4B26B101" w14:textId="77777777" w:rsidR="005B3072" w:rsidRDefault="005B3072">
            <w:pPr>
              <w:widowControl w:val="0"/>
              <w:rPr>
                <w:sz w:val="18"/>
                <w:szCs w:val="18"/>
              </w:rPr>
            </w:pPr>
          </w:p>
          <w:p w14:paraId="266152F9" w14:textId="77777777" w:rsidR="005B3072" w:rsidRDefault="00A46913">
            <w:pPr>
              <w:widowControl w:val="0"/>
              <w:rPr>
                <w:sz w:val="18"/>
                <w:szCs w:val="18"/>
              </w:rPr>
            </w:pPr>
            <w:r>
              <w:rPr>
                <w:sz w:val="18"/>
                <w:szCs w:val="18"/>
              </w:rPr>
              <w:t>Podaci koje je potrebno prikupiti</w:t>
            </w:r>
          </w:p>
        </w:tc>
        <w:tc>
          <w:tcPr>
            <w:tcW w:w="4045" w:type="pct"/>
            <w:gridSpan w:val="3"/>
            <w:tcBorders>
              <w:right w:val="single" w:sz="4" w:space="0" w:color="000000"/>
            </w:tcBorders>
            <w:vAlign w:val="center"/>
          </w:tcPr>
          <w:p w14:paraId="7EB8EB9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Posmatra se broj ispitanika koji su pozivno odgovorili da su uglavnom ili u potpunosti informisani o dostupnosti i načinu korišćenja elektronskih usluga u odnosu na ukupan broj ispitanika koji su obuhvaćeni relevantnim istraživanjem. U narednom periodu neophodno je da Uprava za statistiku MONSTAT u sklopu Modula I "Upitnik - Upotreba informaciono-komunikacionih tehnologija u preduzećima" a shodno Memorandumu o saradnji između MJUDDM-a i MONSTAT-a, vrši istraživanja za navedeni parametar.</w:t>
            </w:r>
          </w:p>
        </w:tc>
      </w:tr>
      <w:tr w:rsidR="005B3072" w14:paraId="15B7407E" w14:textId="77777777" w:rsidTr="005E4CCE">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2A347D61" w14:textId="77777777" w:rsidR="005B3072" w:rsidRDefault="00A46913">
            <w:pPr>
              <w:widowControl w:val="0"/>
              <w:rPr>
                <w:sz w:val="18"/>
                <w:szCs w:val="18"/>
              </w:rPr>
            </w:pPr>
            <w:r>
              <w:rPr>
                <w:sz w:val="18"/>
                <w:szCs w:val="18"/>
              </w:rPr>
              <w:t>Izvor podataka</w:t>
            </w:r>
          </w:p>
        </w:tc>
        <w:tc>
          <w:tcPr>
            <w:tcW w:w="4045" w:type="pct"/>
            <w:gridSpan w:val="3"/>
            <w:tcBorders>
              <w:right w:val="single" w:sz="4" w:space="0" w:color="000000"/>
            </w:tcBorders>
            <w:vAlign w:val="center"/>
          </w:tcPr>
          <w:p w14:paraId="3ABAC94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Za 2019. baznu godinu navedeni izvor podataka je IPSOS istraživanje. </w:t>
            </w:r>
          </w:p>
          <w:p w14:paraId="2AC991B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Za 2021. i 2022. godinu relevantni podatak će biti istraživanje koje sprovodi CEED u saradnji sa UNDP i Ministarstvom javne uprave, digitalnog društva i medija a u sklopu projekta “E-services and digital infrastructure as COVID-19 response measure“.</w:t>
            </w:r>
          </w:p>
          <w:p w14:paraId="11E83EA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Naredne godine, Uprava za statistiku MONSTATće preuzeti praćenje ovog indikatora kroz Modul I "Upitnik - Upotreba informaciono-komunikacionih tehnologija u preduzećima".</w:t>
            </w:r>
          </w:p>
        </w:tc>
      </w:tr>
      <w:tr w:rsidR="005B3072" w14:paraId="34F918E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3231D660" w14:textId="77777777" w:rsidR="005B3072" w:rsidRDefault="00A46913">
            <w:pPr>
              <w:widowControl w:val="0"/>
              <w:rPr>
                <w:sz w:val="18"/>
                <w:szCs w:val="18"/>
              </w:rPr>
            </w:pPr>
            <w:r>
              <w:rPr>
                <w:sz w:val="18"/>
                <w:szCs w:val="18"/>
              </w:rPr>
              <w:t>Informacija o instituciji odgovornoj za prikupljanje podataka</w:t>
            </w:r>
          </w:p>
        </w:tc>
        <w:tc>
          <w:tcPr>
            <w:tcW w:w="4045" w:type="pct"/>
            <w:gridSpan w:val="3"/>
            <w:tcBorders>
              <w:right w:val="single" w:sz="4" w:space="0" w:color="000000"/>
            </w:tcBorders>
            <w:vAlign w:val="center"/>
          </w:tcPr>
          <w:p w14:paraId="3CF9E7FC"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Uprava za statistiku MONSTAT</w:t>
            </w:r>
          </w:p>
          <w:p w14:paraId="5A45707C"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1EC08D81" w14:textId="77777777" w:rsidTr="005E4CCE">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533CC67B" w14:textId="77777777" w:rsidR="005B3072" w:rsidRDefault="00A46913">
            <w:pPr>
              <w:widowControl w:val="0"/>
              <w:rPr>
                <w:sz w:val="18"/>
                <w:szCs w:val="18"/>
              </w:rPr>
            </w:pPr>
            <w:r>
              <w:rPr>
                <w:sz w:val="18"/>
                <w:szCs w:val="18"/>
              </w:rPr>
              <w:t>Učestalost prikupljanja podataka</w:t>
            </w:r>
          </w:p>
        </w:tc>
        <w:tc>
          <w:tcPr>
            <w:tcW w:w="4045" w:type="pct"/>
            <w:gridSpan w:val="3"/>
            <w:tcBorders>
              <w:right w:val="single" w:sz="4" w:space="0" w:color="000000"/>
            </w:tcBorders>
            <w:vAlign w:val="center"/>
          </w:tcPr>
          <w:p w14:paraId="5D974CD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MJUDDM će navedeni indikator pratiti tokom 2021. i 2022. kroz istraživanje koje sprovodi CEED u saradnji sa UNDP kroz projekat “E-services and digital infrastructure as COVID-19 response measure“. Takođe, isti će biti uključen i kroz redovna godišnja statistička istraživanja Uprave za statistiku MONSTAT. </w:t>
            </w:r>
          </w:p>
          <w:p w14:paraId="106C1DD1"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6A81B92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5C0158A4" w14:textId="77777777" w:rsidR="005B3072" w:rsidRDefault="00A46913">
            <w:pPr>
              <w:widowControl w:val="0"/>
              <w:rPr>
                <w:sz w:val="18"/>
                <w:szCs w:val="18"/>
              </w:rPr>
            </w:pPr>
            <w:r>
              <w:rPr>
                <w:sz w:val="18"/>
                <w:szCs w:val="18"/>
              </w:rPr>
              <w:t>Učestalost izvještavanja o vrijednosti indikatora</w:t>
            </w:r>
          </w:p>
        </w:tc>
        <w:tc>
          <w:tcPr>
            <w:tcW w:w="4045" w:type="pct"/>
            <w:gridSpan w:val="3"/>
            <w:tcBorders>
              <w:right w:val="single" w:sz="4" w:space="0" w:color="000000"/>
            </w:tcBorders>
            <w:vAlign w:val="center"/>
          </w:tcPr>
          <w:p w14:paraId="3AB2700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33106F57" w14:textId="77777777" w:rsidTr="005E4CCE">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0DA9E95D" w14:textId="77777777" w:rsidR="005B3072" w:rsidRDefault="00A46913">
            <w:pPr>
              <w:widowControl w:val="0"/>
              <w:rPr>
                <w:sz w:val="18"/>
                <w:szCs w:val="18"/>
              </w:rPr>
            </w:pPr>
            <w:r>
              <w:rPr>
                <w:sz w:val="18"/>
                <w:szCs w:val="18"/>
              </w:rPr>
              <w:t>Kratak opis metodologije izračunavanja podataka</w:t>
            </w:r>
          </w:p>
        </w:tc>
        <w:tc>
          <w:tcPr>
            <w:tcW w:w="4045" w:type="pct"/>
            <w:gridSpan w:val="3"/>
            <w:tcBorders>
              <w:right w:val="single" w:sz="4" w:space="0" w:color="000000"/>
            </w:tcBorders>
            <w:vAlign w:val="center"/>
          </w:tcPr>
          <w:p w14:paraId="4A6A4B7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Broj ispitanika koji su pozitivno odgovorili da su uglavnom ili upotpunosti informisani o dostupnosti i načinu korišćenja elektronskih usluga/ ukupan broj ispitanika X 100 </w:t>
            </w:r>
          </w:p>
          <w:p w14:paraId="6ADE9E73"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797189C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OPIS:</w:t>
            </w:r>
          </w:p>
          <w:p w14:paraId="13BF75A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Posmatra se broj ispitanika koji su pozitivno odgovorili da su uglavnom ili u potpunosti informisani o dostupnosti i načinu korišćenja elektronskih usluga u odnosu na ukupan broj ispitanika koji su obuhvaćeni relevantnim istraživanjem.</w:t>
            </w:r>
          </w:p>
        </w:tc>
      </w:tr>
      <w:tr w:rsidR="005B3072" w14:paraId="3C6323C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188C2BE2" w14:textId="77777777" w:rsidR="005B3072" w:rsidRDefault="00A46913">
            <w:pPr>
              <w:widowControl w:val="0"/>
              <w:rPr>
                <w:sz w:val="18"/>
                <w:szCs w:val="18"/>
              </w:rPr>
            </w:pPr>
            <w:r>
              <w:rPr>
                <w:sz w:val="18"/>
                <w:szCs w:val="18"/>
              </w:rPr>
              <w:t xml:space="preserve">Kontakt osoba </w:t>
            </w:r>
          </w:p>
        </w:tc>
        <w:tc>
          <w:tcPr>
            <w:tcW w:w="4045" w:type="pct"/>
            <w:gridSpan w:val="3"/>
            <w:tcBorders>
              <w:right w:val="single" w:sz="4" w:space="0" w:color="000000"/>
            </w:tcBorders>
            <w:vAlign w:val="center"/>
          </w:tcPr>
          <w:p w14:paraId="547C375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Uprava za statistiku MONSTAT</w:t>
            </w:r>
          </w:p>
        </w:tc>
      </w:tr>
      <w:tr w:rsidR="005B3072" w14:paraId="224F3ABD" w14:textId="77777777" w:rsidTr="005E4CCE">
        <w:tc>
          <w:tcPr>
            <w:cnfStyle w:val="001000000000" w:firstRow="0" w:lastRow="0" w:firstColumn="1" w:lastColumn="0" w:oddVBand="0" w:evenVBand="0" w:oddHBand="0" w:evenHBand="0" w:firstRowFirstColumn="0" w:firstRowLastColumn="0" w:lastRowFirstColumn="0" w:lastRowLastColumn="0"/>
            <w:tcW w:w="955" w:type="pct"/>
            <w:tcBorders>
              <w:left w:val="single" w:sz="4" w:space="0" w:color="000000"/>
            </w:tcBorders>
            <w:vAlign w:val="center"/>
          </w:tcPr>
          <w:p w14:paraId="42612F3D" w14:textId="77777777" w:rsidR="005B3072" w:rsidRDefault="00A46913">
            <w:pPr>
              <w:widowControl w:val="0"/>
              <w:rPr>
                <w:sz w:val="18"/>
                <w:szCs w:val="18"/>
              </w:rPr>
            </w:pPr>
            <w:r>
              <w:rPr>
                <w:sz w:val="18"/>
                <w:szCs w:val="18"/>
              </w:rPr>
              <w:t>e-mail</w:t>
            </w:r>
          </w:p>
        </w:tc>
        <w:tc>
          <w:tcPr>
            <w:tcW w:w="4045" w:type="pct"/>
            <w:gridSpan w:val="3"/>
            <w:tcBorders>
              <w:right w:val="single" w:sz="4" w:space="0" w:color="000000"/>
            </w:tcBorders>
            <w:vAlign w:val="center"/>
          </w:tcPr>
          <w:p w14:paraId="255E00BE"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7">
              <w:r w:rsidR="00A46913">
                <w:rPr>
                  <w:color w:val="0563C1"/>
                  <w:sz w:val="18"/>
                  <w:szCs w:val="18"/>
                  <w:u w:val="single"/>
                </w:rPr>
                <w:t>contact@monstat.org</w:t>
              </w:r>
            </w:hyperlink>
            <w:r w:rsidR="00A46913">
              <w:rPr>
                <w:sz w:val="18"/>
                <w:szCs w:val="18"/>
              </w:rPr>
              <w:t xml:space="preserve"> </w:t>
            </w:r>
          </w:p>
        </w:tc>
      </w:tr>
      <w:tr w:rsidR="005B3072" w14:paraId="403BCFCE"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5" w:type="pct"/>
            <w:vMerge w:val="restart"/>
            <w:tcBorders>
              <w:left w:val="single" w:sz="4" w:space="0" w:color="000000"/>
            </w:tcBorders>
            <w:vAlign w:val="center"/>
          </w:tcPr>
          <w:p w14:paraId="548D2399" w14:textId="77777777" w:rsidR="005B3072" w:rsidRDefault="00A46913">
            <w:pPr>
              <w:widowControl w:val="0"/>
              <w:rPr>
                <w:sz w:val="18"/>
                <w:szCs w:val="18"/>
              </w:rPr>
            </w:pPr>
            <w:r>
              <w:rPr>
                <w:sz w:val="18"/>
                <w:szCs w:val="18"/>
              </w:rPr>
              <w:t>Informacija o trendu i početnoj vrijednosti</w:t>
            </w:r>
          </w:p>
        </w:tc>
        <w:tc>
          <w:tcPr>
            <w:tcW w:w="489" w:type="pct"/>
            <w:vAlign w:val="center"/>
          </w:tcPr>
          <w:p w14:paraId="459B949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594" w:type="pct"/>
            <w:vAlign w:val="center"/>
          </w:tcPr>
          <w:p w14:paraId="7CA0A09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2019.</w:t>
            </w:r>
          </w:p>
        </w:tc>
        <w:tc>
          <w:tcPr>
            <w:tcW w:w="2963" w:type="pct"/>
            <w:tcBorders>
              <w:right w:val="single" w:sz="4" w:space="0" w:color="000000"/>
            </w:tcBorders>
            <w:vAlign w:val="center"/>
          </w:tcPr>
          <w:p w14:paraId="393EFB4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5E75A905" w14:textId="77777777" w:rsidTr="005E4CCE">
        <w:tc>
          <w:tcPr>
            <w:cnfStyle w:val="001000000000" w:firstRow="0" w:lastRow="0" w:firstColumn="1" w:lastColumn="0" w:oddVBand="0" w:evenVBand="0" w:oddHBand="0" w:evenHBand="0" w:firstRowFirstColumn="0" w:firstRowLastColumn="0" w:lastRowFirstColumn="0" w:lastRowLastColumn="0"/>
            <w:tcW w:w="955" w:type="pct"/>
            <w:vMerge/>
            <w:tcBorders>
              <w:left w:val="single" w:sz="4" w:space="0" w:color="000000"/>
            </w:tcBorders>
            <w:vAlign w:val="center"/>
          </w:tcPr>
          <w:p w14:paraId="519FDDF6" w14:textId="77777777" w:rsidR="005B3072" w:rsidRDefault="005B3072">
            <w:pPr>
              <w:widowControl w:val="0"/>
              <w:pBdr>
                <w:top w:val="nil"/>
                <w:left w:val="nil"/>
                <w:bottom w:val="nil"/>
                <w:right w:val="nil"/>
                <w:between w:val="nil"/>
              </w:pBdr>
              <w:spacing w:line="276" w:lineRule="auto"/>
              <w:rPr>
                <w:sz w:val="18"/>
                <w:szCs w:val="18"/>
              </w:rPr>
            </w:pPr>
          </w:p>
        </w:tc>
        <w:tc>
          <w:tcPr>
            <w:tcW w:w="489" w:type="pct"/>
            <w:vAlign w:val="center"/>
          </w:tcPr>
          <w:p w14:paraId="7D13152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56" w:type="pct"/>
            <w:gridSpan w:val="2"/>
            <w:tcBorders>
              <w:right w:val="single" w:sz="4" w:space="0" w:color="000000"/>
            </w:tcBorders>
            <w:vAlign w:val="center"/>
          </w:tcPr>
          <w:p w14:paraId="60209EB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87%</w:t>
            </w:r>
          </w:p>
        </w:tc>
      </w:tr>
      <w:tr w:rsidR="005B3072" w14:paraId="3B01351C" w14:textId="77777777" w:rsidTr="005E4CCE">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55" w:type="pct"/>
            <w:vMerge w:val="restart"/>
            <w:tcBorders>
              <w:left w:val="single" w:sz="4" w:space="0" w:color="000000"/>
            </w:tcBorders>
            <w:vAlign w:val="center"/>
          </w:tcPr>
          <w:p w14:paraId="62E21D26" w14:textId="77777777" w:rsidR="005B3072" w:rsidRDefault="00A46913">
            <w:pPr>
              <w:widowControl w:val="0"/>
              <w:rPr>
                <w:sz w:val="18"/>
                <w:szCs w:val="18"/>
              </w:rPr>
            </w:pPr>
            <w:r>
              <w:rPr>
                <w:sz w:val="18"/>
                <w:szCs w:val="18"/>
              </w:rPr>
              <w:t>Informacija o ciljnim vrijednostima</w:t>
            </w:r>
          </w:p>
        </w:tc>
        <w:tc>
          <w:tcPr>
            <w:tcW w:w="489" w:type="pct"/>
            <w:vAlign w:val="center"/>
          </w:tcPr>
          <w:p w14:paraId="1785301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594" w:type="pct"/>
            <w:tcBorders>
              <w:right w:val="single" w:sz="4" w:space="0" w:color="000000"/>
            </w:tcBorders>
            <w:vAlign w:val="center"/>
          </w:tcPr>
          <w:p w14:paraId="6B91E04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963" w:type="pct"/>
            <w:tcBorders>
              <w:left w:val="single" w:sz="4" w:space="0" w:color="000000"/>
              <w:right w:val="single" w:sz="4" w:space="0" w:color="000000"/>
            </w:tcBorders>
            <w:vAlign w:val="center"/>
          </w:tcPr>
          <w:p w14:paraId="5655F76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47BBC51B" w14:textId="77777777" w:rsidTr="005E4CCE">
        <w:tc>
          <w:tcPr>
            <w:cnfStyle w:val="001000000000" w:firstRow="0" w:lastRow="0" w:firstColumn="1" w:lastColumn="0" w:oddVBand="0" w:evenVBand="0" w:oddHBand="0" w:evenHBand="0" w:firstRowFirstColumn="0" w:firstRowLastColumn="0" w:lastRowFirstColumn="0" w:lastRowLastColumn="0"/>
            <w:tcW w:w="955" w:type="pct"/>
            <w:vMerge/>
            <w:tcBorders>
              <w:left w:val="single" w:sz="4" w:space="0" w:color="000000"/>
            </w:tcBorders>
            <w:vAlign w:val="center"/>
          </w:tcPr>
          <w:p w14:paraId="385F5554" w14:textId="77777777" w:rsidR="005B3072" w:rsidRDefault="005B3072">
            <w:pPr>
              <w:widowControl w:val="0"/>
              <w:pBdr>
                <w:top w:val="nil"/>
                <w:left w:val="nil"/>
                <w:bottom w:val="nil"/>
                <w:right w:val="nil"/>
                <w:between w:val="nil"/>
              </w:pBdr>
              <w:spacing w:line="276" w:lineRule="auto"/>
              <w:rPr>
                <w:sz w:val="18"/>
                <w:szCs w:val="18"/>
              </w:rPr>
            </w:pPr>
          </w:p>
        </w:tc>
        <w:tc>
          <w:tcPr>
            <w:tcW w:w="489" w:type="pct"/>
            <w:tcBorders>
              <w:bottom w:val="single" w:sz="4" w:space="0" w:color="000000"/>
            </w:tcBorders>
            <w:vAlign w:val="center"/>
          </w:tcPr>
          <w:p w14:paraId="3C594F6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594" w:type="pct"/>
            <w:tcBorders>
              <w:bottom w:val="single" w:sz="4" w:space="0" w:color="000000"/>
              <w:right w:val="single" w:sz="4" w:space="0" w:color="000000"/>
            </w:tcBorders>
            <w:vAlign w:val="center"/>
          </w:tcPr>
          <w:p w14:paraId="4948251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90%</w:t>
            </w:r>
          </w:p>
        </w:tc>
        <w:tc>
          <w:tcPr>
            <w:tcW w:w="2963" w:type="pct"/>
            <w:tcBorders>
              <w:bottom w:val="single" w:sz="4" w:space="0" w:color="000000"/>
              <w:right w:val="single" w:sz="4" w:space="0" w:color="000000"/>
            </w:tcBorders>
            <w:vAlign w:val="center"/>
          </w:tcPr>
          <w:p w14:paraId="6FC3DB2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95%</w:t>
            </w:r>
          </w:p>
        </w:tc>
      </w:tr>
    </w:tbl>
    <w:p w14:paraId="0985778D" w14:textId="77777777" w:rsidR="005B3072" w:rsidRDefault="005B3072">
      <w:pPr>
        <w:rPr>
          <w:rFonts w:ascii="Georgia" w:eastAsia="Georgia" w:hAnsi="Georgia" w:cs="Georgia"/>
          <w:color w:val="192F41"/>
        </w:rPr>
      </w:pPr>
    </w:p>
    <w:p w14:paraId="60480E6C" w14:textId="77777777" w:rsidR="005B3072" w:rsidRDefault="005B3072">
      <w:pPr>
        <w:rPr>
          <w:rFonts w:ascii="Georgia" w:eastAsia="Georgia" w:hAnsi="Georgia" w:cs="Georgia"/>
          <w:color w:val="192F41"/>
        </w:rPr>
      </w:pPr>
      <w:bookmarkStart w:id="80" w:name="_1baon6m" w:colFirst="0" w:colLast="0"/>
      <w:bookmarkEnd w:id="80"/>
    </w:p>
    <w:tbl>
      <w:tblPr>
        <w:tblStyle w:val="aff7"/>
        <w:tblW w:w="5000" w:type="pct"/>
        <w:tblLook w:val="0400" w:firstRow="0" w:lastRow="0" w:firstColumn="0" w:lastColumn="0" w:noHBand="0" w:noVBand="1"/>
      </w:tblPr>
      <w:tblGrid>
        <w:gridCol w:w="2747"/>
        <w:gridCol w:w="7713"/>
      </w:tblGrid>
      <w:tr w:rsidR="005B3072" w14:paraId="20510EA7" w14:textId="77777777" w:rsidTr="005E4CCE">
        <w:trPr>
          <w:trHeight w:val="926"/>
        </w:trPr>
        <w:tc>
          <w:tcPr>
            <w:tcW w:w="1313"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475E39E6"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2.2</w:t>
            </w:r>
          </w:p>
        </w:tc>
        <w:tc>
          <w:tcPr>
            <w:tcW w:w="3687"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04DFFF48"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Unapređenje kvaliteta, količine i upotreba e-usluga</w:t>
            </w:r>
          </w:p>
        </w:tc>
      </w:tr>
    </w:tbl>
    <w:p w14:paraId="60ABD78F" w14:textId="77777777" w:rsidR="005B3072" w:rsidRDefault="005B3072">
      <w:pPr>
        <w:rPr>
          <w:rFonts w:ascii="Georgia" w:eastAsia="Georgia" w:hAnsi="Georgia" w:cs="Georgia"/>
          <w:color w:val="192F41"/>
        </w:rPr>
      </w:pPr>
    </w:p>
    <w:tbl>
      <w:tblPr>
        <w:tblStyle w:val="aff8"/>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2023"/>
        <w:gridCol w:w="1190"/>
        <w:gridCol w:w="1276"/>
        <w:gridCol w:w="5971"/>
      </w:tblGrid>
      <w:tr w:rsidR="005B3072" w14:paraId="05273867"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67" w:type="pct"/>
            <w:tcBorders>
              <w:top w:val="single" w:sz="4" w:space="0" w:color="000000"/>
              <w:left w:val="single" w:sz="4" w:space="0" w:color="000000"/>
            </w:tcBorders>
            <w:vAlign w:val="center"/>
          </w:tcPr>
          <w:p w14:paraId="3B798050" w14:textId="77777777" w:rsidR="005B3072" w:rsidRDefault="00A46913">
            <w:pPr>
              <w:widowControl w:val="0"/>
              <w:jc w:val="center"/>
              <w:rPr>
                <w:sz w:val="18"/>
                <w:szCs w:val="18"/>
              </w:rPr>
            </w:pPr>
            <w:r>
              <w:rPr>
                <w:sz w:val="18"/>
                <w:szCs w:val="18"/>
              </w:rPr>
              <w:t>Kategorija</w:t>
            </w:r>
          </w:p>
        </w:tc>
        <w:tc>
          <w:tcPr>
            <w:tcW w:w="4033" w:type="pct"/>
            <w:gridSpan w:val="3"/>
            <w:tcBorders>
              <w:top w:val="single" w:sz="4" w:space="0" w:color="000000"/>
              <w:right w:val="single" w:sz="4" w:space="0" w:color="000000"/>
            </w:tcBorders>
            <w:vAlign w:val="center"/>
          </w:tcPr>
          <w:p w14:paraId="3F3C3E1A"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6DF7BB26"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4CAB696F" w14:textId="77777777" w:rsidR="005B3072" w:rsidRDefault="00A46913">
            <w:pPr>
              <w:widowControl w:val="0"/>
              <w:rPr>
                <w:sz w:val="18"/>
                <w:szCs w:val="18"/>
              </w:rPr>
            </w:pPr>
            <w:r>
              <w:rPr>
                <w:sz w:val="18"/>
                <w:szCs w:val="18"/>
              </w:rPr>
              <w:t>Naziv indikatora</w:t>
            </w:r>
          </w:p>
        </w:tc>
        <w:tc>
          <w:tcPr>
            <w:tcW w:w="4033" w:type="pct"/>
            <w:gridSpan w:val="3"/>
            <w:tcBorders>
              <w:right w:val="single" w:sz="4" w:space="0" w:color="000000"/>
            </w:tcBorders>
            <w:vAlign w:val="center"/>
          </w:tcPr>
          <w:p w14:paraId="66F8B2F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Indeks onlajn usluga (eng. Online Service Index (OSI))</w:t>
            </w:r>
          </w:p>
        </w:tc>
      </w:tr>
      <w:tr w:rsidR="005B3072" w14:paraId="0DF2E1AF" w14:textId="77777777" w:rsidTr="005E4CCE">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53D38AD4" w14:textId="77777777" w:rsidR="005B3072" w:rsidRDefault="00A46913">
            <w:pPr>
              <w:widowControl w:val="0"/>
              <w:rPr>
                <w:sz w:val="18"/>
                <w:szCs w:val="18"/>
              </w:rPr>
            </w:pPr>
            <w:r>
              <w:rPr>
                <w:sz w:val="18"/>
                <w:szCs w:val="18"/>
              </w:rPr>
              <w:t>Cilj na koji se indikator odnosi</w:t>
            </w:r>
          </w:p>
        </w:tc>
        <w:tc>
          <w:tcPr>
            <w:tcW w:w="4033" w:type="pct"/>
            <w:gridSpan w:val="3"/>
            <w:tcBorders>
              <w:right w:val="single" w:sz="4" w:space="0" w:color="000000"/>
            </w:tcBorders>
            <w:vAlign w:val="center"/>
          </w:tcPr>
          <w:p w14:paraId="7581C1C0" w14:textId="77777777" w:rsidR="005B3072" w:rsidRDefault="00A46913">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Ovim Indikatorom se prati obuhvat i kvalitet elektronskih usluga kao i sposobnost i volja vlade da pruži usluge i komunicira sa svojim građanima/kama elektronskim putem. </w:t>
            </w:r>
          </w:p>
        </w:tc>
      </w:tr>
      <w:tr w:rsidR="005B3072" w14:paraId="76513FD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39C89EA9" w14:textId="77777777" w:rsidR="005B3072" w:rsidRDefault="005B3072">
            <w:pPr>
              <w:widowControl w:val="0"/>
              <w:rPr>
                <w:sz w:val="18"/>
                <w:szCs w:val="18"/>
              </w:rPr>
            </w:pPr>
          </w:p>
          <w:p w14:paraId="607B9A0D" w14:textId="77777777" w:rsidR="005B3072" w:rsidRDefault="00A46913">
            <w:pPr>
              <w:widowControl w:val="0"/>
              <w:rPr>
                <w:sz w:val="18"/>
                <w:szCs w:val="18"/>
              </w:rPr>
            </w:pPr>
            <w:r>
              <w:rPr>
                <w:sz w:val="18"/>
                <w:szCs w:val="18"/>
              </w:rPr>
              <w:t>Podaci koje je potrebno prikupiti</w:t>
            </w:r>
          </w:p>
        </w:tc>
        <w:tc>
          <w:tcPr>
            <w:tcW w:w="4033" w:type="pct"/>
            <w:gridSpan w:val="3"/>
            <w:tcBorders>
              <w:right w:val="single" w:sz="4" w:space="0" w:color="000000"/>
            </w:tcBorders>
            <w:vAlign w:val="center"/>
          </w:tcPr>
          <w:p w14:paraId="00D1CAB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Metodološki okvir za prikupljanje i procjenu podataka ovog istraživanja zasnovan je na holističkom pogledu na ulogu e-uprave. Anketni upitnik procjenjuje veliki broj funkcija vezanih za pružanje usluga na mreži, uključujući cjelokupne vladine pristupe, otvorene podatke o Vladi, e-Participaciju, višekanalno pružanje usluga, mobilne usluge, digitalnu podjelu, kao i inovativna partnerstva putem korištenja IKT-a.</w:t>
            </w:r>
          </w:p>
          <w:p w14:paraId="0B5A1709"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p w14:paraId="1A327E3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Parametri onlajn usluga na osnovu kojih se radi analiza, pored pružanja usluga na portalima, uzimaju u obzir između ostalog i servise lokalne samouprave, web sajtove najrelevantnijih institucija, kao i generalno web sajtove Vlada u okviru pitanja koja tretiraju sljedeće kategorije:</w:t>
            </w:r>
          </w:p>
          <w:p w14:paraId="1E2140C4" w14:textId="77777777" w:rsidR="005B3072" w:rsidRDefault="00A46913">
            <w:pPr>
              <w:widowControl w:val="0"/>
              <w:numPr>
                <w:ilvl w:val="0"/>
                <w:numId w:val="2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“informacije o” eng. information about - kao što su zakoni, politike, legislativa, razne druge informacije na sajtovima (43 parametra);</w:t>
            </w:r>
          </w:p>
          <w:p w14:paraId="7CBE582F" w14:textId="77777777" w:rsidR="005B3072" w:rsidRDefault="00A46913">
            <w:pPr>
              <w:widowControl w:val="0"/>
              <w:numPr>
                <w:ilvl w:val="0"/>
                <w:numId w:val="2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“prisustvo informacija” eng. existence of - npr. alati za društvene mreže, uputstva (eng. Tutorial), informacije na svim zvaničnim jezicima i dr. (35 parametara);</w:t>
            </w:r>
          </w:p>
          <w:p w14:paraId="2D49F561" w14:textId="77777777" w:rsidR="005B3072" w:rsidRDefault="00A46913">
            <w:pPr>
              <w:widowControl w:val="0"/>
              <w:numPr>
                <w:ilvl w:val="0"/>
                <w:numId w:val="21"/>
              </w:num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“mogućnost da” eng. ability to – ispituje mogućnosti da se npr. registruje vozilo, prijavi za posao i dr. (31 parametar). </w:t>
            </w:r>
          </w:p>
          <w:p w14:paraId="0957547F"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658A58DF" w14:textId="77777777" w:rsidTr="005E4CCE">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260ADB52" w14:textId="77777777" w:rsidR="005B3072" w:rsidRDefault="00A46913">
            <w:pPr>
              <w:widowControl w:val="0"/>
              <w:rPr>
                <w:sz w:val="18"/>
                <w:szCs w:val="18"/>
              </w:rPr>
            </w:pPr>
            <w:r>
              <w:rPr>
                <w:sz w:val="18"/>
                <w:szCs w:val="18"/>
              </w:rPr>
              <w:t>Izvor podataka</w:t>
            </w:r>
          </w:p>
        </w:tc>
        <w:tc>
          <w:tcPr>
            <w:tcW w:w="4033" w:type="pct"/>
            <w:gridSpan w:val="3"/>
            <w:tcBorders>
              <w:right w:val="single" w:sz="4" w:space="0" w:color="000000"/>
            </w:tcBorders>
            <w:vAlign w:val="center"/>
          </w:tcPr>
          <w:p w14:paraId="098CA5E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Izvještaj Ujedinjenih Nacija koji se izrađuje na osnovu istraživanja „United Nations e-Government Survey“ </w:t>
            </w:r>
          </w:p>
          <w:p w14:paraId="73C4F225"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2C978BDA"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07803E5A" w14:textId="77777777" w:rsidR="005B3072" w:rsidRDefault="00A46913">
            <w:pPr>
              <w:widowControl w:val="0"/>
              <w:rPr>
                <w:sz w:val="18"/>
                <w:szCs w:val="18"/>
              </w:rPr>
            </w:pPr>
            <w:r>
              <w:rPr>
                <w:sz w:val="18"/>
                <w:szCs w:val="18"/>
              </w:rPr>
              <w:t>Informacija o instituciji odgovornoj za prikupljanje podataka</w:t>
            </w:r>
          </w:p>
        </w:tc>
        <w:tc>
          <w:tcPr>
            <w:tcW w:w="4033" w:type="pct"/>
            <w:gridSpan w:val="3"/>
            <w:tcBorders>
              <w:right w:val="single" w:sz="4" w:space="0" w:color="000000"/>
            </w:tcBorders>
            <w:vAlign w:val="center"/>
          </w:tcPr>
          <w:p w14:paraId="5DE4C64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Podatke prikuplja grupa istraživača pod nadzorom UNDESA kroz primarno istraživanje. Pored osnovnog prikupljanja podataka sa zvaničnih adresa datih u metodološkom pristupu istraživanju, prikupljanje podataka za Crnu Goru za onlajn usluge vršeno je slanjem upitnika koji su verifikovani od strane institucija u Crnoj Gori, uključujući Ministarstvo javne uprave, digitalnog društva i medija.</w:t>
            </w:r>
          </w:p>
        </w:tc>
      </w:tr>
      <w:tr w:rsidR="005B3072" w14:paraId="59ED9CF4" w14:textId="77777777" w:rsidTr="005E4CCE">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4CDCFFEA" w14:textId="77777777" w:rsidR="005B3072" w:rsidRDefault="00A46913">
            <w:pPr>
              <w:widowControl w:val="0"/>
              <w:rPr>
                <w:sz w:val="18"/>
                <w:szCs w:val="18"/>
              </w:rPr>
            </w:pPr>
            <w:r>
              <w:rPr>
                <w:sz w:val="18"/>
                <w:szCs w:val="18"/>
              </w:rPr>
              <w:t>Učestalost prikupljanja podataka</w:t>
            </w:r>
          </w:p>
        </w:tc>
        <w:tc>
          <w:tcPr>
            <w:tcW w:w="4033" w:type="pct"/>
            <w:gridSpan w:val="3"/>
            <w:tcBorders>
              <w:right w:val="single" w:sz="4" w:space="0" w:color="000000"/>
            </w:tcBorders>
            <w:vAlign w:val="center"/>
          </w:tcPr>
          <w:p w14:paraId="5552860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dvogodišnjem nivou</w:t>
            </w:r>
          </w:p>
        </w:tc>
      </w:tr>
      <w:tr w:rsidR="005B3072" w14:paraId="4E14ED7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0BAB1CA1" w14:textId="77777777" w:rsidR="005B3072" w:rsidRDefault="00A46913">
            <w:pPr>
              <w:widowControl w:val="0"/>
              <w:rPr>
                <w:sz w:val="18"/>
                <w:szCs w:val="18"/>
              </w:rPr>
            </w:pPr>
            <w:r>
              <w:rPr>
                <w:sz w:val="18"/>
                <w:szCs w:val="18"/>
              </w:rPr>
              <w:t>Učestalost izvještavanja o vrijednosti indikatora</w:t>
            </w:r>
          </w:p>
        </w:tc>
        <w:tc>
          <w:tcPr>
            <w:tcW w:w="4033" w:type="pct"/>
            <w:gridSpan w:val="3"/>
            <w:tcBorders>
              <w:right w:val="single" w:sz="4" w:space="0" w:color="000000"/>
            </w:tcBorders>
            <w:vAlign w:val="center"/>
          </w:tcPr>
          <w:p w14:paraId="3E75F3C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029D8735" w14:textId="77777777" w:rsidTr="005E4CCE">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13E774A2" w14:textId="77777777" w:rsidR="005B3072" w:rsidRDefault="00A46913">
            <w:pPr>
              <w:widowControl w:val="0"/>
              <w:rPr>
                <w:sz w:val="18"/>
                <w:szCs w:val="18"/>
              </w:rPr>
            </w:pPr>
            <w:r>
              <w:rPr>
                <w:sz w:val="18"/>
                <w:szCs w:val="18"/>
              </w:rPr>
              <w:t>Kratak opis metodologije izračunavanja podataka</w:t>
            </w:r>
          </w:p>
        </w:tc>
        <w:tc>
          <w:tcPr>
            <w:tcW w:w="4033" w:type="pct"/>
            <w:gridSpan w:val="3"/>
            <w:tcBorders>
              <w:right w:val="single" w:sz="4" w:space="0" w:color="000000"/>
            </w:tcBorders>
            <w:vAlign w:val="center"/>
          </w:tcPr>
          <w:p w14:paraId="3172226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Indeks OSI (posebno razrađena zvanična metodologija UN-a)</w:t>
            </w:r>
          </w:p>
        </w:tc>
      </w:tr>
      <w:tr w:rsidR="005B3072" w14:paraId="2320624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7058B6EC" w14:textId="77777777" w:rsidR="005B3072" w:rsidRDefault="00A46913">
            <w:pPr>
              <w:widowControl w:val="0"/>
              <w:rPr>
                <w:sz w:val="18"/>
                <w:szCs w:val="18"/>
              </w:rPr>
            </w:pPr>
            <w:r>
              <w:rPr>
                <w:sz w:val="18"/>
                <w:szCs w:val="18"/>
              </w:rPr>
              <w:t xml:space="preserve">Kontakt osoba </w:t>
            </w:r>
          </w:p>
        </w:tc>
        <w:tc>
          <w:tcPr>
            <w:tcW w:w="4033" w:type="pct"/>
            <w:gridSpan w:val="3"/>
            <w:tcBorders>
              <w:right w:val="single" w:sz="4" w:space="0" w:color="000000"/>
            </w:tcBorders>
            <w:vAlign w:val="center"/>
          </w:tcPr>
          <w:p w14:paraId="166E5E32"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Izvještaj se objavljuje svake druge godine i podaci o indikatoru su javni</w:t>
            </w:r>
          </w:p>
        </w:tc>
      </w:tr>
      <w:tr w:rsidR="005B3072" w14:paraId="0AC78E9A" w14:textId="77777777" w:rsidTr="005E4CCE">
        <w:tc>
          <w:tcPr>
            <w:cnfStyle w:val="001000000000" w:firstRow="0" w:lastRow="0" w:firstColumn="1" w:lastColumn="0" w:oddVBand="0" w:evenVBand="0" w:oddHBand="0" w:evenHBand="0" w:firstRowFirstColumn="0" w:firstRowLastColumn="0" w:lastRowFirstColumn="0" w:lastRowLastColumn="0"/>
            <w:tcW w:w="967" w:type="pct"/>
            <w:tcBorders>
              <w:left w:val="single" w:sz="4" w:space="0" w:color="000000"/>
            </w:tcBorders>
            <w:vAlign w:val="center"/>
          </w:tcPr>
          <w:p w14:paraId="2C672DE3" w14:textId="77777777" w:rsidR="005B3072" w:rsidRDefault="00A46913">
            <w:pPr>
              <w:widowControl w:val="0"/>
              <w:rPr>
                <w:sz w:val="18"/>
                <w:szCs w:val="18"/>
              </w:rPr>
            </w:pPr>
            <w:r>
              <w:rPr>
                <w:sz w:val="18"/>
                <w:szCs w:val="18"/>
              </w:rPr>
              <w:t>e-mail</w:t>
            </w:r>
          </w:p>
        </w:tc>
        <w:tc>
          <w:tcPr>
            <w:tcW w:w="4033" w:type="pct"/>
            <w:gridSpan w:val="3"/>
            <w:tcBorders>
              <w:right w:val="single" w:sz="4" w:space="0" w:color="000000"/>
            </w:tcBorders>
            <w:vAlign w:val="center"/>
          </w:tcPr>
          <w:p w14:paraId="0D582D1E"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26DFC553"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vMerge w:val="restart"/>
            <w:tcBorders>
              <w:left w:val="single" w:sz="4" w:space="0" w:color="000000"/>
            </w:tcBorders>
            <w:vAlign w:val="center"/>
          </w:tcPr>
          <w:p w14:paraId="24B64DFD" w14:textId="77777777" w:rsidR="005B3072" w:rsidRDefault="00A46913">
            <w:pPr>
              <w:widowControl w:val="0"/>
              <w:rPr>
                <w:sz w:val="18"/>
                <w:szCs w:val="18"/>
              </w:rPr>
            </w:pPr>
            <w:r>
              <w:rPr>
                <w:sz w:val="18"/>
                <w:szCs w:val="18"/>
              </w:rPr>
              <w:t>Informacija o trendu i početnoj vrijednosti</w:t>
            </w:r>
          </w:p>
        </w:tc>
        <w:tc>
          <w:tcPr>
            <w:tcW w:w="569" w:type="pct"/>
            <w:vAlign w:val="center"/>
          </w:tcPr>
          <w:p w14:paraId="00DAA48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10" w:type="pct"/>
            <w:vAlign w:val="center"/>
          </w:tcPr>
          <w:p w14:paraId="5EE76D3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2020.</w:t>
            </w:r>
          </w:p>
        </w:tc>
        <w:tc>
          <w:tcPr>
            <w:tcW w:w="2855" w:type="pct"/>
            <w:tcBorders>
              <w:right w:val="single" w:sz="4" w:space="0" w:color="000000"/>
            </w:tcBorders>
            <w:vAlign w:val="center"/>
          </w:tcPr>
          <w:p w14:paraId="6F54E4F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5418D299" w14:textId="77777777" w:rsidTr="005E4CCE">
        <w:tc>
          <w:tcPr>
            <w:cnfStyle w:val="001000000000" w:firstRow="0" w:lastRow="0" w:firstColumn="1" w:lastColumn="0" w:oddVBand="0" w:evenVBand="0" w:oddHBand="0" w:evenHBand="0" w:firstRowFirstColumn="0" w:firstRowLastColumn="0" w:lastRowFirstColumn="0" w:lastRowLastColumn="0"/>
            <w:tcW w:w="967" w:type="pct"/>
            <w:vMerge/>
            <w:tcBorders>
              <w:left w:val="single" w:sz="4" w:space="0" w:color="000000"/>
            </w:tcBorders>
            <w:vAlign w:val="center"/>
          </w:tcPr>
          <w:p w14:paraId="71A1B79F" w14:textId="77777777" w:rsidR="005B3072" w:rsidRDefault="005B3072">
            <w:pPr>
              <w:widowControl w:val="0"/>
              <w:pBdr>
                <w:top w:val="nil"/>
                <w:left w:val="nil"/>
                <w:bottom w:val="nil"/>
                <w:right w:val="nil"/>
                <w:between w:val="nil"/>
              </w:pBdr>
              <w:spacing w:line="276" w:lineRule="auto"/>
              <w:rPr>
                <w:sz w:val="18"/>
                <w:szCs w:val="18"/>
              </w:rPr>
            </w:pPr>
          </w:p>
        </w:tc>
        <w:tc>
          <w:tcPr>
            <w:tcW w:w="569" w:type="pct"/>
            <w:vAlign w:val="center"/>
          </w:tcPr>
          <w:p w14:paraId="640E50F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464" w:type="pct"/>
            <w:gridSpan w:val="2"/>
            <w:tcBorders>
              <w:right w:val="single" w:sz="4" w:space="0" w:color="000000"/>
            </w:tcBorders>
            <w:vAlign w:val="center"/>
          </w:tcPr>
          <w:p w14:paraId="1445C81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0.5412</w:t>
            </w:r>
          </w:p>
        </w:tc>
      </w:tr>
      <w:tr w:rsidR="005B3072" w14:paraId="64CB9DE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 w:type="pct"/>
            <w:vMerge w:val="restart"/>
            <w:tcBorders>
              <w:left w:val="single" w:sz="4" w:space="0" w:color="000000"/>
            </w:tcBorders>
            <w:vAlign w:val="center"/>
          </w:tcPr>
          <w:p w14:paraId="575407AE" w14:textId="77777777" w:rsidR="005B3072" w:rsidRDefault="00A46913">
            <w:pPr>
              <w:widowControl w:val="0"/>
              <w:rPr>
                <w:sz w:val="18"/>
                <w:szCs w:val="18"/>
              </w:rPr>
            </w:pPr>
            <w:r>
              <w:rPr>
                <w:sz w:val="18"/>
                <w:szCs w:val="18"/>
              </w:rPr>
              <w:t>Informacija o ciljnim vrijednostima</w:t>
            </w:r>
          </w:p>
        </w:tc>
        <w:tc>
          <w:tcPr>
            <w:tcW w:w="569" w:type="pct"/>
            <w:vAlign w:val="center"/>
          </w:tcPr>
          <w:p w14:paraId="4DB77EB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610" w:type="pct"/>
            <w:tcBorders>
              <w:right w:val="single" w:sz="4" w:space="0" w:color="000000"/>
            </w:tcBorders>
            <w:vAlign w:val="center"/>
          </w:tcPr>
          <w:p w14:paraId="138530E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855" w:type="pct"/>
            <w:tcBorders>
              <w:left w:val="single" w:sz="4" w:space="0" w:color="000000"/>
              <w:right w:val="single" w:sz="4" w:space="0" w:color="000000"/>
            </w:tcBorders>
            <w:vAlign w:val="center"/>
          </w:tcPr>
          <w:p w14:paraId="77B1385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6A29F7F9" w14:textId="77777777" w:rsidTr="005E4CCE">
        <w:tc>
          <w:tcPr>
            <w:cnfStyle w:val="001000000000" w:firstRow="0" w:lastRow="0" w:firstColumn="1" w:lastColumn="0" w:oddVBand="0" w:evenVBand="0" w:oddHBand="0" w:evenHBand="0" w:firstRowFirstColumn="0" w:firstRowLastColumn="0" w:lastRowFirstColumn="0" w:lastRowLastColumn="0"/>
            <w:tcW w:w="967" w:type="pct"/>
            <w:vMerge/>
            <w:tcBorders>
              <w:left w:val="single" w:sz="4" w:space="0" w:color="000000"/>
            </w:tcBorders>
            <w:vAlign w:val="center"/>
          </w:tcPr>
          <w:p w14:paraId="72756C39" w14:textId="77777777" w:rsidR="005B3072" w:rsidRDefault="005B3072">
            <w:pPr>
              <w:widowControl w:val="0"/>
              <w:pBdr>
                <w:top w:val="nil"/>
                <w:left w:val="nil"/>
                <w:bottom w:val="nil"/>
                <w:right w:val="nil"/>
                <w:between w:val="nil"/>
              </w:pBdr>
              <w:spacing w:line="276" w:lineRule="auto"/>
              <w:rPr>
                <w:sz w:val="18"/>
                <w:szCs w:val="18"/>
              </w:rPr>
            </w:pPr>
          </w:p>
        </w:tc>
        <w:tc>
          <w:tcPr>
            <w:tcW w:w="569" w:type="pct"/>
            <w:tcBorders>
              <w:bottom w:val="single" w:sz="4" w:space="0" w:color="000000"/>
            </w:tcBorders>
            <w:vAlign w:val="center"/>
          </w:tcPr>
          <w:p w14:paraId="1DC5C79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610" w:type="pct"/>
            <w:tcBorders>
              <w:bottom w:val="single" w:sz="4" w:space="0" w:color="000000"/>
              <w:right w:val="single" w:sz="4" w:space="0" w:color="000000"/>
            </w:tcBorders>
            <w:vAlign w:val="center"/>
          </w:tcPr>
          <w:p w14:paraId="47868927"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10%</w:t>
            </w:r>
          </w:p>
        </w:tc>
        <w:tc>
          <w:tcPr>
            <w:tcW w:w="2855" w:type="pct"/>
            <w:tcBorders>
              <w:bottom w:val="single" w:sz="4" w:space="0" w:color="000000"/>
              <w:right w:val="single" w:sz="4" w:space="0" w:color="000000"/>
            </w:tcBorders>
            <w:vAlign w:val="center"/>
          </w:tcPr>
          <w:p w14:paraId="0F4877D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r>
    </w:tbl>
    <w:p w14:paraId="671B043D" w14:textId="77777777" w:rsidR="005B3072" w:rsidRDefault="005B3072">
      <w:pPr>
        <w:rPr>
          <w:rFonts w:ascii="Georgia" w:eastAsia="Georgia" w:hAnsi="Georgia" w:cs="Georgia"/>
          <w:color w:val="192F41"/>
        </w:rPr>
      </w:pPr>
    </w:p>
    <w:p w14:paraId="127E90DF" w14:textId="77777777" w:rsidR="005B3072" w:rsidRDefault="005B3072">
      <w:pPr>
        <w:rPr>
          <w:rFonts w:ascii="Georgia" w:eastAsia="Georgia" w:hAnsi="Georgia" w:cs="Georgia"/>
          <w:color w:val="192F41"/>
        </w:rPr>
      </w:pPr>
    </w:p>
    <w:tbl>
      <w:tblPr>
        <w:tblStyle w:val="aff9"/>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887"/>
        <w:gridCol w:w="975"/>
        <w:gridCol w:w="1640"/>
        <w:gridCol w:w="5958"/>
      </w:tblGrid>
      <w:tr w:rsidR="005B3072" w14:paraId="40868924"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02" w:type="pct"/>
            <w:tcBorders>
              <w:top w:val="single" w:sz="4" w:space="0" w:color="000000"/>
              <w:left w:val="single" w:sz="4" w:space="0" w:color="000000"/>
            </w:tcBorders>
            <w:vAlign w:val="center"/>
          </w:tcPr>
          <w:p w14:paraId="1C888664" w14:textId="77777777" w:rsidR="005B3072" w:rsidRDefault="00A46913">
            <w:pPr>
              <w:widowControl w:val="0"/>
              <w:jc w:val="center"/>
              <w:rPr>
                <w:sz w:val="18"/>
                <w:szCs w:val="18"/>
              </w:rPr>
            </w:pPr>
            <w:r>
              <w:rPr>
                <w:sz w:val="18"/>
                <w:szCs w:val="18"/>
              </w:rPr>
              <w:t>Kategorija</w:t>
            </w:r>
          </w:p>
        </w:tc>
        <w:tc>
          <w:tcPr>
            <w:tcW w:w="4098" w:type="pct"/>
            <w:gridSpan w:val="3"/>
            <w:tcBorders>
              <w:top w:val="single" w:sz="4" w:space="0" w:color="000000"/>
              <w:right w:val="single" w:sz="4" w:space="0" w:color="000000"/>
            </w:tcBorders>
            <w:vAlign w:val="center"/>
          </w:tcPr>
          <w:p w14:paraId="3C9879D4"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063169E3"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0447FCBA" w14:textId="77777777" w:rsidR="005B3072" w:rsidRDefault="00A46913">
            <w:pPr>
              <w:widowControl w:val="0"/>
              <w:rPr>
                <w:sz w:val="18"/>
                <w:szCs w:val="18"/>
              </w:rPr>
            </w:pPr>
            <w:r>
              <w:rPr>
                <w:sz w:val="18"/>
                <w:szCs w:val="18"/>
              </w:rPr>
              <w:t>Naziv indikatora</w:t>
            </w:r>
          </w:p>
        </w:tc>
        <w:tc>
          <w:tcPr>
            <w:tcW w:w="4098" w:type="pct"/>
            <w:gridSpan w:val="3"/>
            <w:tcBorders>
              <w:right w:val="single" w:sz="4" w:space="0" w:color="000000"/>
            </w:tcBorders>
            <w:vAlign w:val="center"/>
          </w:tcPr>
          <w:p w14:paraId="58B72C7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Udio jedinstvenih korisnika/ca koji su koristili ličnu kartu za identifikaciju/potpis prilikom korišćenja elektronskih usluga</w:t>
            </w:r>
          </w:p>
        </w:tc>
      </w:tr>
      <w:tr w:rsidR="005B3072" w14:paraId="3F594B5E" w14:textId="77777777" w:rsidTr="005E4CCE">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30B7D3BA" w14:textId="77777777" w:rsidR="005B3072" w:rsidRDefault="00A46913">
            <w:pPr>
              <w:widowControl w:val="0"/>
              <w:rPr>
                <w:sz w:val="18"/>
                <w:szCs w:val="18"/>
              </w:rPr>
            </w:pPr>
            <w:r>
              <w:rPr>
                <w:sz w:val="18"/>
                <w:szCs w:val="18"/>
              </w:rPr>
              <w:t>Cilj na koji se indikator odnosi</w:t>
            </w:r>
          </w:p>
        </w:tc>
        <w:tc>
          <w:tcPr>
            <w:tcW w:w="4098" w:type="pct"/>
            <w:gridSpan w:val="3"/>
            <w:tcBorders>
              <w:right w:val="single" w:sz="4" w:space="0" w:color="000000"/>
            </w:tcBorders>
            <w:vAlign w:val="center"/>
          </w:tcPr>
          <w:p w14:paraId="17424B22"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Ovaj indikator će pratiti upotrebu nove lične karte, na elektronskim uslugama koje zahtijevaju autentifikaciju sa istom. Uspostavljanjem novih elektronskih usluga zahtijeva postojanje široko rasprostranjenog i prihvaćenog digitalnog identiteta za sve stanovnike, a koji je bitan preduslov digitalne transformacije društva.</w:t>
            </w:r>
          </w:p>
          <w:p w14:paraId="6549128B"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tc>
      </w:tr>
      <w:tr w:rsidR="005B3072" w14:paraId="7E3EA6DB"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5FAD2C10" w14:textId="77777777" w:rsidR="005B3072" w:rsidRDefault="005B3072">
            <w:pPr>
              <w:widowControl w:val="0"/>
              <w:rPr>
                <w:sz w:val="18"/>
                <w:szCs w:val="18"/>
              </w:rPr>
            </w:pPr>
          </w:p>
          <w:p w14:paraId="118056A1" w14:textId="77777777" w:rsidR="005B3072" w:rsidRDefault="00A46913">
            <w:pPr>
              <w:widowControl w:val="0"/>
              <w:rPr>
                <w:sz w:val="18"/>
                <w:szCs w:val="18"/>
              </w:rPr>
            </w:pPr>
            <w:r>
              <w:rPr>
                <w:sz w:val="18"/>
                <w:szCs w:val="18"/>
              </w:rPr>
              <w:t>Podaci koje je potrebno prikupiti</w:t>
            </w:r>
          </w:p>
        </w:tc>
        <w:tc>
          <w:tcPr>
            <w:tcW w:w="4098" w:type="pct"/>
            <w:gridSpan w:val="3"/>
            <w:tcBorders>
              <w:right w:val="single" w:sz="4" w:space="0" w:color="000000"/>
            </w:tcBorders>
            <w:vAlign w:val="center"/>
          </w:tcPr>
          <w:p w14:paraId="038818C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Ukupan broj korisnika koji posjeduju novu ličnu kartu;</w:t>
            </w:r>
          </w:p>
          <w:p w14:paraId="172B96A3"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Broj korisnika/ca koji su koristili novu ličnu kartu kao digitalni identitet prilikom korišćenja  elektronskih usluga koje zahtijevaju autentifikaciju istom.</w:t>
            </w:r>
          </w:p>
        </w:tc>
      </w:tr>
      <w:tr w:rsidR="005B3072" w14:paraId="6AAF3176" w14:textId="77777777" w:rsidTr="005E4CCE">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44940FE0" w14:textId="77777777" w:rsidR="005B3072" w:rsidRDefault="00A46913">
            <w:pPr>
              <w:widowControl w:val="0"/>
              <w:rPr>
                <w:sz w:val="18"/>
                <w:szCs w:val="18"/>
              </w:rPr>
            </w:pPr>
            <w:r>
              <w:rPr>
                <w:sz w:val="18"/>
                <w:szCs w:val="18"/>
              </w:rPr>
              <w:t>Izvor podataka</w:t>
            </w:r>
          </w:p>
        </w:tc>
        <w:tc>
          <w:tcPr>
            <w:tcW w:w="4098" w:type="pct"/>
            <w:gridSpan w:val="3"/>
            <w:tcBorders>
              <w:right w:val="single" w:sz="4" w:space="0" w:color="000000"/>
            </w:tcBorders>
            <w:vAlign w:val="center"/>
          </w:tcPr>
          <w:p w14:paraId="7F31E90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Ministarstvo unutrašnjih poslova (za ukupan broj izdatih novih ličnih karti)</w:t>
            </w:r>
          </w:p>
          <w:p w14:paraId="38C4A30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Institucije koje pružaju elektronske usluge koje zahtijevaju autentifikaciju sa novom ličnom kartom, do uspostavljanja sistema za elektronski identitet NS-eID</w:t>
            </w:r>
          </w:p>
        </w:tc>
      </w:tr>
      <w:tr w:rsidR="005B3072" w14:paraId="2BBF309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5E09679D" w14:textId="77777777" w:rsidR="005B3072" w:rsidRDefault="00A46913">
            <w:pPr>
              <w:widowControl w:val="0"/>
              <w:rPr>
                <w:sz w:val="18"/>
                <w:szCs w:val="18"/>
              </w:rPr>
            </w:pPr>
            <w:r>
              <w:rPr>
                <w:sz w:val="18"/>
                <w:szCs w:val="18"/>
              </w:rPr>
              <w:t>Informacija o instituciji odgovornoj za prikupljanje podataka</w:t>
            </w:r>
          </w:p>
        </w:tc>
        <w:tc>
          <w:tcPr>
            <w:tcW w:w="4098" w:type="pct"/>
            <w:gridSpan w:val="3"/>
            <w:tcBorders>
              <w:right w:val="single" w:sz="4" w:space="0" w:color="000000"/>
            </w:tcBorders>
            <w:vAlign w:val="center"/>
          </w:tcPr>
          <w:p w14:paraId="29D8D38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unutrašnjih poslova,</w:t>
            </w:r>
          </w:p>
          <w:p w14:paraId="7E3754D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 putem sistema NS-eID</w:t>
            </w:r>
          </w:p>
        </w:tc>
      </w:tr>
      <w:tr w:rsidR="005B3072" w14:paraId="0A0E45BB" w14:textId="77777777" w:rsidTr="005E4CCE">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60B82BBB" w14:textId="77777777" w:rsidR="005B3072" w:rsidRDefault="00A46913">
            <w:pPr>
              <w:widowControl w:val="0"/>
              <w:rPr>
                <w:sz w:val="18"/>
                <w:szCs w:val="18"/>
              </w:rPr>
            </w:pPr>
            <w:r>
              <w:rPr>
                <w:sz w:val="18"/>
                <w:szCs w:val="18"/>
              </w:rPr>
              <w:t>Učestalost prikupljanja podataka</w:t>
            </w:r>
          </w:p>
        </w:tc>
        <w:tc>
          <w:tcPr>
            <w:tcW w:w="4098" w:type="pct"/>
            <w:gridSpan w:val="3"/>
            <w:tcBorders>
              <w:right w:val="single" w:sz="4" w:space="0" w:color="000000"/>
            </w:tcBorders>
            <w:vAlign w:val="center"/>
          </w:tcPr>
          <w:p w14:paraId="1472901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godišnjem nivou</w:t>
            </w:r>
          </w:p>
        </w:tc>
      </w:tr>
      <w:tr w:rsidR="005B3072" w14:paraId="29B1CE9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6095D114" w14:textId="77777777" w:rsidR="005B3072" w:rsidRDefault="00A46913">
            <w:pPr>
              <w:widowControl w:val="0"/>
              <w:rPr>
                <w:sz w:val="18"/>
                <w:szCs w:val="18"/>
              </w:rPr>
            </w:pPr>
            <w:r>
              <w:rPr>
                <w:sz w:val="18"/>
                <w:szCs w:val="18"/>
              </w:rPr>
              <w:t>Učestalost izvještavanja o vrijednosti indikatora</w:t>
            </w:r>
          </w:p>
        </w:tc>
        <w:tc>
          <w:tcPr>
            <w:tcW w:w="4098" w:type="pct"/>
            <w:gridSpan w:val="3"/>
            <w:tcBorders>
              <w:right w:val="single" w:sz="4" w:space="0" w:color="000000"/>
            </w:tcBorders>
            <w:vAlign w:val="center"/>
          </w:tcPr>
          <w:p w14:paraId="6E82C44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2DA1125B" w14:textId="77777777" w:rsidTr="005E4CCE">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254F19D9" w14:textId="77777777" w:rsidR="005B3072" w:rsidRDefault="00A46913">
            <w:pPr>
              <w:widowControl w:val="0"/>
              <w:rPr>
                <w:sz w:val="18"/>
                <w:szCs w:val="18"/>
              </w:rPr>
            </w:pPr>
            <w:r>
              <w:rPr>
                <w:sz w:val="18"/>
                <w:szCs w:val="18"/>
              </w:rPr>
              <w:t>Kratak opis metodologije izračunavanja podataka</w:t>
            </w:r>
          </w:p>
        </w:tc>
        <w:tc>
          <w:tcPr>
            <w:tcW w:w="4098" w:type="pct"/>
            <w:gridSpan w:val="3"/>
            <w:tcBorders>
              <w:right w:val="single" w:sz="4" w:space="0" w:color="000000"/>
            </w:tcBorders>
            <w:vAlign w:val="center"/>
          </w:tcPr>
          <w:p w14:paraId="669F6D0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Udio jedinstvenih korisnika/ca koji su koristili ličnu kartu za identifikaciju/potpis prilikom korišćenja elektronskih usluga = Broj korisnika/ca koji su koristili novu ličnu kartu za elektronsku identifikaciju prilikom korišćenja elektronskih usluga / ukupan broj građana/ki koji posjeduju novu ličnu kartu X 100 </w:t>
            </w:r>
          </w:p>
          <w:p w14:paraId="0D258AAB" w14:textId="77777777" w:rsidR="005B3072" w:rsidRDefault="005B3072">
            <w:pPr>
              <w:widowControl w:val="0"/>
              <w:cnfStyle w:val="000000000000" w:firstRow="0" w:lastRow="0" w:firstColumn="0" w:lastColumn="0" w:oddVBand="0" w:evenVBand="0" w:oddHBand="0" w:evenHBand="0" w:firstRowFirstColumn="0" w:firstRowLastColumn="0" w:lastRowFirstColumn="0" w:lastRowLastColumn="0"/>
              <w:rPr>
                <w:sz w:val="18"/>
                <w:szCs w:val="18"/>
              </w:rPr>
            </w:pPr>
          </w:p>
          <w:p w14:paraId="74458AA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OPIS:</w:t>
            </w:r>
          </w:p>
          <w:p w14:paraId="2AE4FBEA"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Posmatra se Broj korisnika/ca koji su koristili novu ličnu kartu za elektronsku identifikaciju prilikom korišćenja elektronskih usluga u odnosu na ukupan broj građana/ki koji posjeduju novu ličnu kartu </w:t>
            </w:r>
          </w:p>
        </w:tc>
      </w:tr>
      <w:tr w:rsidR="005B3072" w14:paraId="1B0C96F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1749F870" w14:textId="77777777" w:rsidR="005B3072" w:rsidRDefault="00A46913">
            <w:pPr>
              <w:widowControl w:val="0"/>
              <w:rPr>
                <w:sz w:val="18"/>
                <w:szCs w:val="18"/>
              </w:rPr>
            </w:pPr>
            <w:r>
              <w:rPr>
                <w:sz w:val="18"/>
                <w:szCs w:val="18"/>
              </w:rPr>
              <w:t xml:space="preserve">Kontakt osoba </w:t>
            </w:r>
          </w:p>
        </w:tc>
        <w:tc>
          <w:tcPr>
            <w:tcW w:w="4098" w:type="pct"/>
            <w:gridSpan w:val="3"/>
            <w:tcBorders>
              <w:right w:val="single" w:sz="4" w:space="0" w:color="000000"/>
            </w:tcBorders>
            <w:vAlign w:val="center"/>
          </w:tcPr>
          <w:p w14:paraId="0BCCB03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Ministarstvo javne uprave, digitalnog društva i medija, </w:t>
            </w:r>
          </w:p>
          <w:p w14:paraId="468FF09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Direktorat za digitalizaciju i eServise</w:t>
            </w:r>
          </w:p>
        </w:tc>
      </w:tr>
      <w:tr w:rsidR="005B3072" w14:paraId="2A81B6E6" w14:textId="77777777" w:rsidTr="005E4CCE">
        <w:tc>
          <w:tcPr>
            <w:cnfStyle w:val="001000000000" w:firstRow="0" w:lastRow="0" w:firstColumn="1" w:lastColumn="0" w:oddVBand="0" w:evenVBand="0" w:oddHBand="0" w:evenHBand="0" w:firstRowFirstColumn="0" w:firstRowLastColumn="0" w:lastRowFirstColumn="0" w:lastRowLastColumn="0"/>
            <w:tcW w:w="902" w:type="pct"/>
            <w:tcBorders>
              <w:left w:val="single" w:sz="4" w:space="0" w:color="000000"/>
            </w:tcBorders>
            <w:vAlign w:val="center"/>
          </w:tcPr>
          <w:p w14:paraId="4D081C41" w14:textId="77777777" w:rsidR="005B3072" w:rsidRDefault="00A46913">
            <w:pPr>
              <w:widowControl w:val="0"/>
              <w:rPr>
                <w:sz w:val="18"/>
                <w:szCs w:val="18"/>
              </w:rPr>
            </w:pPr>
            <w:r>
              <w:rPr>
                <w:sz w:val="18"/>
                <w:szCs w:val="18"/>
              </w:rPr>
              <w:t>e-mail</w:t>
            </w:r>
          </w:p>
        </w:tc>
        <w:tc>
          <w:tcPr>
            <w:tcW w:w="4098" w:type="pct"/>
            <w:gridSpan w:val="3"/>
            <w:tcBorders>
              <w:right w:val="single" w:sz="4" w:space="0" w:color="000000"/>
            </w:tcBorders>
            <w:vAlign w:val="center"/>
          </w:tcPr>
          <w:p w14:paraId="4B30CEF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Direktorat za digitalizaciju i eServise</w:t>
            </w:r>
          </w:p>
        </w:tc>
      </w:tr>
      <w:tr w:rsidR="005B3072" w14:paraId="2826D63C"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tcBorders>
              <w:left w:val="single" w:sz="4" w:space="0" w:color="000000"/>
            </w:tcBorders>
            <w:vAlign w:val="center"/>
          </w:tcPr>
          <w:p w14:paraId="4D525A1D" w14:textId="77777777" w:rsidR="005B3072" w:rsidRDefault="00A46913">
            <w:pPr>
              <w:widowControl w:val="0"/>
              <w:rPr>
                <w:sz w:val="18"/>
                <w:szCs w:val="18"/>
              </w:rPr>
            </w:pPr>
            <w:r>
              <w:rPr>
                <w:sz w:val="18"/>
                <w:szCs w:val="18"/>
              </w:rPr>
              <w:t>Informacija o trendu i početnoj vrijednosti</w:t>
            </w:r>
          </w:p>
        </w:tc>
        <w:tc>
          <w:tcPr>
            <w:tcW w:w="466" w:type="pct"/>
            <w:vAlign w:val="center"/>
          </w:tcPr>
          <w:p w14:paraId="6B57EC1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84" w:type="pct"/>
            <w:vAlign w:val="center"/>
          </w:tcPr>
          <w:p w14:paraId="27091B3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2021.</w:t>
            </w:r>
          </w:p>
        </w:tc>
        <w:tc>
          <w:tcPr>
            <w:tcW w:w="2848" w:type="pct"/>
            <w:tcBorders>
              <w:right w:val="single" w:sz="4" w:space="0" w:color="000000"/>
            </w:tcBorders>
            <w:vAlign w:val="center"/>
          </w:tcPr>
          <w:p w14:paraId="2366571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535A1F02" w14:textId="77777777" w:rsidTr="005E4CCE">
        <w:tc>
          <w:tcPr>
            <w:cnfStyle w:val="001000000000" w:firstRow="0" w:lastRow="0" w:firstColumn="1" w:lastColumn="0" w:oddVBand="0" w:evenVBand="0" w:oddHBand="0" w:evenHBand="0" w:firstRowFirstColumn="0" w:firstRowLastColumn="0" w:lastRowFirstColumn="0" w:lastRowLastColumn="0"/>
            <w:tcW w:w="902" w:type="pct"/>
            <w:vMerge/>
            <w:tcBorders>
              <w:left w:val="single" w:sz="4" w:space="0" w:color="000000"/>
            </w:tcBorders>
            <w:vAlign w:val="center"/>
          </w:tcPr>
          <w:p w14:paraId="74F571F8" w14:textId="77777777" w:rsidR="005B3072" w:rsidRDefault="005B3072">
            <w:pPr>
              <w:widowControl w:val="0"/>
              <w:pBdr>
                <w:top w:val="nil"/>
                <w:left w:val="nil"/>
                <w:bottom w:val="nil"/>
                <w:right w:val="nil"/>
                <w:between w:val="nil"/>
              </w:pBdr>
              <w:spacing w:line="276" w:lineRule="auto"/>
              <w:rPr>
                <w:sz w:val="18"/>
                <w:szCs w:val="18"/>
              </w:rPr>
            </w:pPr>
          </w:p>
        </w:tc>
        <w:tc>
          <w:tcPr>
            <w:tcW w:w="466" w:type="pct"/>
            <w:vAlign w:val="center"/>
          </w:tcPr>
          <w:p w14:paraId="07221D7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632" w:type="pct"/>
            <w:gridSpan w:val="2"/>
            <w:tcBorders>
              <w:right w:val="single" w:sz="4" w:space="0" w:color="000000"/>
            </w:tcBorders>
            <w:vAlign w:val="center"/>
          </w:tcPr>
          <w:p w14:paraId="42D07D0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w:t>
            </w:r>
          </w:p>
        </w:tc>
      </w:tr>
      <w:tr w:rsidR="005B3072" w14:paraId="1EDB806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vMerge w:val="restart"/>
            <w:tcBorders>
              <w:left w:val="single" w:sz="4" w:space="0" w:color="000000"/>
            </w:tcBorders>
            <w:vAlign w:val="center"/>
          </w:tcPr>
          <w:p w14:paraId="43646DE9" w14:textId="77777777" w:rsidR="005B3072" w:rsidRDefault="00A46913">
            <w:pPr>
              <w:widowControl w:val="0"/>
              <w:rPr>
                <w:sz w:val="18"/>
                <w:szCs w:val="18"/>
              </w:rPr>
            </w:pPr>
            <w:r>
              <w:rPr>
                <w:sz w:val="18"/>
                <w:szCs w:val="18"/>
              </w:rPr>
              <w:t>Informacija o ciljnim vrijednostima</w:t>
            </w:r>
          </w:p>
        </w:tc>
        <w:tc>
          <w:tcPr>
            <w:tcW w:w="466" w:type="pct"/>
            <w:vAlign w:val="center"/>
          </w:tcPr>
          <w:p w14:paraId="7ED969D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784" w:type="pct"/>
            <w:tcBorders>
              <w:right w:val="single" w:sz="4" w:space="0" w:color="000000"/>
            </w:tcBorders>
            <w:vAlign w:val="center"/>
          </w:tcPr>
          <w:p w14:paraId="75BE7A6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848" w:type="pct"/>
            <w:tcBorders>
              <w:left w:val="single" w:sz="4" w:space="0" w:color="000000"/>
              <w:right w:val="single" w:sz="4" w:space="0" w:color="000000"/>
            </w:tcBorders>
            <w:vAlign w:val="center"/>
          </w:tcPr>
          <w:p w14:paraId="2769BF4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17164F1D" w14:textId="77777777" w:rsidTr="005E4CCE">
        <w:tc>
          <w:tcPr>
            <w:cnfStyle w:val="001000000000" w:firstRow="0" w:lastRow="0" w:firstColumn="1" w:lastColumn="0" w:oddVBand="0" w:evenVBand="0" w:oddHBand="0" w:evenHBand="0" w:firstRowFirstColumn="0" w:firstRowLastColumn="0" w:lastRowFirstColumn="0" w:lastRowLastColumn="0"/>
            <w:tcW w:w="902" w:type="pct"/>
            <w:vMerge/>
            <w:tcBorders>
              <w:left w:val="single" w:sz="4" w:space="0" w:color="000000"/>
            </w:tcBorders>
            <w:vAlign w:val="center"/>
          </w:tcPr>
          <w:p w14:paraId="65DA9E93" w14:textId="77777777" w:rsidR="005B3072" w:rsidRDefault="005B3072">
            <w:pPr>
              <w:widowControl w:val="0"/>
              <w:pBdr>
                <w:top w:val="nil"/>
                <w:left w:val="nil"/>
                <w:bottom w:val="nil"/>
                <w:right w:val="nil"/>
                <w:between w:val="nil"/>
              </w:pBdr>
              <w:spacing w:line="276" w:lineRule="auto"/>
              <w:rPr>
                <w:sz w:val="18"/>
                <w:szCs w:val="18"/>
              </w:rPr>
            </w:pPr>
          </w:p>
        </w:tc>
        <w:tc>
          <w:tcPr>
            <w:tcW w:w="466" w:type="pct"/>
            <w:tcBorders>
              <w:bottom w:val="single" w:sz="4" w:space="0" w:color="000000"/>
            </w:tcBorders>
            <w:vAlign w:val="center"/>
          </w:tcPr>
          <w:p w14:paraId="0F026A7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784" w:type="pct"/>
            <w:tcBorders>
              <w:bottom w:val="single" w:sz="4" w:space="0" w:color="000000"/>
              <w:right w:val="single" w:sz="4" w:space="0" w:color="000000"/>
            </w:tcBorders>
            <w:vAlign w:val="center"/>
          </w:tcPr>
          <w:p w14:paraId="6ABAEA69"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p>
        </w:tc>
        <w:tc>
          <w:tcPr>
            <w:tcW w:w="2848" w:type="pct"/>
            <w:tcBorders>
              <w:bottom w:val="single" w:sz="4" w:space="0" w:color="000000"/>
              <w:right w:val="single" w:sz="4" w:space="0" w:color="000000"/>
            </w:tcBorders>
            <w:vAlign w:val="center"/>
          </w:tcPr>
          <w:p w14:paraId="1FBFAB2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50%</w:t>
            </w:r>
          </w:p>
        </w:tc>
      </w:tr>
    </w:tbl>
    <w:p w14:paraId="4DE5D1BE" w14:textId="77777777" w:rsidR="005B3072" w:rsidRDefault="005B3072">
      <w:pPr>
        <w:rPr>
          <w:rFonts w:ascii="Georgia" w:eastAsia="Georgia" w:hAnsi="Georgia" w:cs="Georgia"/>
          <w:color w:val="192F41"/>
        </w:rPr>
      </w:pPr>
    </w:p>
    <w:tbl>
      <w:tblPr>
        <w:tblStyle w:val="affa"/>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818"/>
        <w:gridCol w:w="1109"/>
        <w:gridCol w:w="1780"/>
        <w:gridCol w:w="5753"/>
      </w:tblGrid>
      <w:tr w:rsidR="005B3072" w14:paraId="24E3A15A"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69" w:type="pct"/>
            <w:tcBorders>
              <w:top w:val="single" w:sz="4" w:space="0" w:color="000000"/>
              <w:left w:val="single" w:sz="4" w:space="0" w:color="000000"/>
            </w:tcBorders>
            <w:vAlign w:val="center"/>
          </w:tcPr>
          <w:p w14:paraId="04AC476F" w14:textId="77777777" w:rsidR="005B3072" w:rsidRDefault="00A46913">
            <w:pPr>
              <w:widowControl w:val="0"/>
              <w:jc w:val="center"/>
              <w:rPr>
                <w:sz w:val="18"/>
                <w:szCs w:val="18"/>
              </w:rPr>
            </w:pPr>
            <w:r>
              <w:rPr>
                <w:sz w:val="18"/>
                <w:szCs w:val="18"/>
              </w:rPr>
              <w:t>Kategorija</w:t>
            </w:r>
          </w:p>
        </w:tc>
        <w:tc>
          <w:tcPr>
            <w:tcW w:w="4131" w:type="pct"/>
            <w:gridSpan w:val="3"/>
            <w:tcBorders>
              <w:top w:val="single" w:sz="4" w:space="0" w:color="000000"/>
              <w:right w:val="single" w:sz="4" w:space="0" w:color="000000"/>
            </w:tcBorders>
            <w:vAlign w:val="center"/>
          </w:tcPr>
          <w:p w14:paraId="603D25E5"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4547C627"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4BB1C765" w14:textId="77777777" w:rsidR="005B3072" w:rsidRDefault="00A46913">
            <w:pPr>
              <w:widowControl w:val="0"/>
              <w:rPr>
                <w:sz w:val="18"/>
                <w:szCs w:val="18"/>
              </w:rPr>
            </w:pPr>
            <w:r>
              <w:rPr>
                <w:sz w:val="18"/>
                <w:szCs w:val="18"/>
              </w:rPr>
              <w:t>Naziv indikatora</w:t>
            </w:r>
          </w:p>
        </w:tc>
        <w:tc>
          <w:tcPr>
            <w:tcW w:w="4131" w:type="pct"/>
            <w:gridSpan w:val="3"/>
            <w:tcBorders>
              <w:right w:val="single" w:sz="4" w:space="0" w:color="000000"/>
            </w:tcBorders>
            <w:vAlign w:val="center"/>
          </w:tcPr>
          <w:p w14:paraId="7E3B556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Ukupan broj korisnika elektronske identifikacije i usluga od povjerenja (izuzev MUP-a)</w:t>
            </w:r>
          </w:p>
        </w:tc>
      </w:tr>
      <w:tr w:rsidR="005B3072" w14:paraId="36037A09" w14:textId="77777777" w:rsidTr="005E4CCE">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6D89A480" w14:textId="77777777" w:rsidR="005B3072" w:rsidRDefault="00A46913">
            <w:pPr>
              <w:widowControl w:val="0"/>
              <w:rPr>
                <w:sz w:val="18"/>
                <w:szCs w:val="18"/>
              </w:rPr>
            </w:pPr>
            <w:r>
              <w:rPr>
                <w:sz w:val="18"/>
                <w:szCs w:val="18"/>
              </w:rPr>
              <w:t>Cilj na koji se indikator odnosi</w:t>
            </w:r>
          </w:p>
        </w:tc>
        <w:tc>
          <w:tcPr>
            <w:tcW w:w="4131" w:type="pct"/>
            <w:gridSpan w:val="3"/>
            <w:tcBorders>
              <w:right w:val="single" w:sz="4" w:space="0" w:color="000000"/>
            </w:tcBorders>
            <w:vAlign w:val="center"/>
          </w:tcPr>
          <w:p w14:paraId="5478B6A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U cilju unapređenja primjene eID-a i elektronskih usluga od povjerenja te daljeg razvoja i masovnog korišćenja e-usluga, ovim indikatorom će se pratiti ukupan broj korisnika elektronske identifikacije i usluga od povjerenja. </w:t>
            </w:r>
          </w:p>
        </w:tc>
      </w:tr>
      <w:tr w:rsidR="005B3072" w14:paraId="4F6E0072"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3E6D778C" w14:textId="77777777" w:rsidR="005B3072" w:rsidRDefault="005B3072">
            <w:pPr>
              <w:widowControl w:val="0"/>
              <w:rPr>
                <w:sz w:val="18"/>
                <w:szCs w:val="18"/>
              </w:rPr>
            </w:pPr>
          </w:p>
          <w:p w14:paraId="08900C41" w14:textId="77777777" w:rsidR="005B3072" w:rsidRDefault="00A46913">
            <w:pPr>
              <w:widowControl w:val="0"/>
              <w:rPr>
                <w:sz w:val="18"/>
                <w:szCs w:val="18"/>
              </w:rPr>
            </w:pPr>
            <w:r>
              <w:rPr>
                <w:sz w:val="18"/>
                <w:szCs w:val="18"/>
              </w:rPr>
              <w:t>Podaci koje je potrebno prikupiti</w:t>
            </w:r>
          </w:p>
        </w:tc>
        <w:tc>
          <w:tcPr>
            <w:tcW w:w="4131" w:type="pct"/>
            <w:gridSpan w:val="3"/>
            <w:tcBorders>
              <w:right w:val="single" w:sz="4" w:space="0" w:color="000000"/>
            </w:tcBorders>
            <w:vAlign w:val="center"/>
          </w:tcPr>
          <w:p w14:paraId="1932DDA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Informacija o ukupnom  broju izdatih digitalnih certifikata kvalifikovanih davaoca elektronskih usluga od povjerenja (izuzev MUP-a)</w:t>
            </w:r>
          </w:p>
        </w:tc>
      </w:tr>
      <w:tr w:rsidR="005B3072" w14:paraId="328BEC06" w14:textId="77777777" w:rsidTr="005E4CCE">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4A13F8C5" w14:textId="77777777" w:rsidR="005B3072" w:rsidRDefault="00A46913">
            <w:pPr>
              <w:widowControl w:val="0"/>
              <w:rPr>
                <w:sz w:val="18"/>
                <w:szCs w:val="18"/>
              </w:rPr>
            </w:pPr>
            <w:r>
              <w:rPr>
                <w:sz w:val="18"/>
                <w:szCs w:val="18"/>
              </w:rPr>
              <w:t>Izvor podataka</w:t>
            </w:r>
          </w:p>
        </w:tc>
        <w:tc>
          <w:tcPr>
            <w:tcW w:w="4131" w:type="pct"/>
            <w:gridSpan w:val="3"/>
            <w:tcBorders>
              <w:right w:val="single" w:sz="4" w:space="0" w:color="000000"/>
            </w:tcBorders>
            <w:vAlign w:val="center"/>
          </w:tcPr>
          <w:p w14:paraId="7B3B71D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Podaci se prikupljaju po zahtjevu od kvalifikovanih davaoca elektronskih usluga od povjerenja koji su upisani u Registar kvalifikovanih davalaca elektronskih usluga povjerenja MJUDDM-a</w:t>
            </w:r>
          </w:p>
        </w:tc>
      </w:tr>
      <w:tr w:rsidR="005B3072" w14:paraId="1F6D614D"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3CEA799F" w14:textId="77777777" w:rsidR="005B3072" w:rsidRDefault="00A46913">
            <w:pPr>
              <w:widowControl w:val="0"/>
              <w:rPr>
                <w:sz w:val="18"/>
                <w:szCs w:val="18"/>
              </w:rPr>
            </w:pPr>
            <w:r>
              <w:rPr>
                <w:sz w:val="18"/>
                <w:szCs w:val="18"/>
              </w:rPr>
              <w:t>Informacija o instituciji odgovornoj za prikupljanje podataka</w:t>
            </w:r>
          </w:p>
        </w:tc>
        <w:tc>
          <w:tcPr>
            <w:tcW w:w="4131" w:type="pct"/>
            <w:gridSpan w:val="3"/>
            <w:tcBorders>
              <w:right w:val="single" w:sz="4" w:space="0" w:color="000000"/>
            </w:tcBorders>
            <w:vAlign w:val="center"/>
          </w:tcPr>
          <w:p w14:paraId="0A48A1A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 zahtjevu Ministarstva javne uprave, digitalnog društva i medija</w:t>
            </w:r>
          </w:p>
        </w:tc>
      </w:tr>
      <w:tr w:rsidR="005B3072" w14:paraId="792214A0" w14:textId="77777777" w:rsidTr="005E4CCE">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423A8936" w14:textId="77777777" w:rsidR="005B3072" w:rsidRDefault="00A46913">
            <w:pPr>
              <w:widowControl w:val="0"/>
              <w:rPr>
                <w:sz w:val="18"/>
                <w:szCs w:val="18"/>
              </w:rPr>
            </w:pPr>
            <w:r>
              <w:rPr>
                <w:sz w:val="18"/>
                <w:szCs w:val="18"/>
              </w:rPr>
              <w:t>Učestalost prikupljanja podataka</w:t>
            </w:r>
          </w:p>
        </w:tc>
        <w:tc>
          <w:tcPr>
            <w:tcW w:w="4131" w:type="pct"/>
            <w:gridSpan w:val="3"/>
            <w:tcBorders>
              <w:right w:val="single" w:sz="4" w:space="0" w:color="000000"/>
            </w:tcBorders>
            <w:vAlign w:val="center"/>
          </w:tcPr>
          <w:p w14:paraId="5AAEA5F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 godišnjem niovu, po potrebi i češće</w:t>
            </w:r>
          </w:p>
        </w:tc>
      </w:tr>
      <w:tr w:rsidR="005B3072" w14:paraId="434A21E9"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2B7E2FCB" w14:textId="77777777" w:rsidR="005B3072" w:rsidRDefault="00A46913">
            <w:pPr>
              <w:widowControl w:val="0"/>
              <w:rPr>
                <w:sz w:val="18"/>
                <w:szCs w:val="18"/>
              </w:rPr>
            </w:pPr>
            <w:r>
              <w:rPr>
                <w:sz w:val="18"/>
                <w:szCs w:val="18"/>
              </w:rPr>
              <w:t>Učestalost izvještavanja o vrijednosti indikatora</w:t>
            </w:r>
          </w:p>
        </w:tc>
        <w:tc>
          <w:tcPr>
            <w:tcW w:w="4131" w:type="pct"/>
            <w:gridSpan w:val="3"/>
            <w:tcBorders>
              <w:right w:val="single" w:sz="4" w:space="0" w:color="000000"/>
            </w:tcBorders>
            <w:vAlign w:val="center"/>
          </w:tcPr>
          <w:p w14:paraId="22FC475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313B7C4A" w14:textId="77777777" w:rsidTr="005E4CCE">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0E03B5CC" w14:textId="77777777" w:rsidR="005B3072" w:rsidRDefault="00A46913">
            <w:pPr>
              <w:widowControl w:val="0"/>
              <w:rPr>
                <w:sz w:val="18"/>
                <w:szCs w:val="18"/>
              </w:rPr>
            </w:pPr>
            <w:r>
              <w:rPr>
                <w:sz w:val="18"/>
                <w:szCs w:val="18"/>
              </w:rPr>
              <w:t>Kratak opis metodologije izračunavanja podataka</w:t>
            </w:r>
          </w:p>
        </w:tc>
        <w:tc>
          <w:tcPr>
            <w:tcW w:w="4131" w:type="pct"/>
            <w:gridSpan w:val="3"/>
            <w:tcBorders>
              <w:right w:val="single" w:sz="4" w:space="0" w:color="000000"/>
            </w:tcBorders>
            <w:vAlign w:val="center"/>
          </w:tcPr>
          <w:p w14:paraId="3F6217E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korisnika elektronske identifikacije i usluga od povjerenja za posmatranu godinu</w:t>
            </w:r>
          </w:p>
        </w:tc>
      </w:tr>
      <w:tr w:rsidR="005B3072" w14:paraId="78E45F6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521C0364" w14:textId="77777777" w:rsidR="005B3072" w:rsidRDefault="00A46913">
            <w:pPr>
              <w:widowControl w:val="0"/>
              <w:rPr>
                <w:sz w:val="18"/>
                <w:szCs w:val="18"/>
              </w:rPr>
            </w:pPr>
            <w:r>
              <w:rPr>
                <w:sz w:val="18"/>
                <w:szCs w:val="18"/>
              </w:rPr>
              <w:t xml:space="preserve">Kontakt osoba </w:t>
            </w:r>
          </w:p>
        </w:tc>
        <w:tc>
          <w:tcPr>
            <w:tcW w:w="4131" w:type="pct"/>
            <w:gridSpan w:val="3"/>
            <w:tcBorders>
              <w:right w:val="single" w:sz="4" w:space="0" w:color="000000"/>
            </w:tcBorders>
            <w:vAlign w:val="center"/>
          </w:tcPr>
          <w:p w14:paraId="17BAEB5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Ministarstvo javne uprave, digitalnog društva i medija, Direkcija za normativu i standardizaciju</w:t>
            </w:r>
          </w:p>
        </w:tc>
      </w:tr>
      <w:tr w:rsidR="005B3072" w14:paraId="592AEAE4" w14:textId="77777777" w:rsidTr="005E4CCE">
        <w:tc>
          <w:tcPr>
            <w:cnfStyle w:val="001000000000" w:firstRow="0" w:lastRow="0" w:firstColumn="1" w:lastColumn="0" w:oddVBand="0" w:evenVBand="0" w:oddHBand="0" w:evenHBand="0" w:firstRowFirstColumn="0" w:firstRowLastColumn="0" w:lastRowFirstColumn="0" w:lastRowLastColumn="0"/>
            <w:tcW w:w="869" w:type="pct"/>
            <w:tcBorders>
              <w:left w:val="single" w:sz="4" w:space="0" w:color="000000"/>
            </w:tcBorders>
            <w:vAlign w:val="center"/>
          </w:tcPr>
          <w:p w14:paraId="6C2C9542" w14:textId="77777777" w:rsidR="005B3072" w:rsidRDefault="00A46913">
            <w:pPr>
              <w:widowControl w:val="0"/>
              <w:rPr>
                <w:sz w:val="18"/>
                <w:szCs w:val="18"/>
              </w:rPr>
            </w:pPr>
            <w:r>
              <w:rPr>
                <w:sz w:val="18"/>
                <w:szCs w:val="18"/>
              </w:rPr>
              <w:t>e-mail</w:t>
            </w:r>
          </w:p>
        </w:tc>
        <w:tc>
          <w:tcPr>
            <w:tcW w:w="4131" w:type="pct"/>
            <w:gridSpan w:val="3"/>
            <w:tcBorders>
              <w:right w:val="single" w:sz="4" w:space="0" w:color="000000"/>
            </w:tcBorders>
            <w:vAlign w:val="center"/>
          </w:tcPr>
          <w:p w14:paraId="0566F0A7"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8">
              <w:r w:rsidR="00A46913">
                <w:rPr>
                  <w:color w:val="0563C1"/>
                  <w:sz w:val="18"/>
                  <w:szCs w:val="18"/>
                  <w:u w:val="single"/>
                </w:rPr>
                <w:t>jelena.knezevic@mju.gov.me</w:t>
              </w:r>
            </w:hyperlink>
            <w:r w:rsidR="00A46913">
              <w:rPr>
                <w:sz w:val="18"/>
                <w:szCs w:val="18"/>
              </w:rPr>
              <w:t xml:space="preserve"> </w:t>
            </w:r>
          </w:p>
        </w:tc>
      </w:tr>
      <w:tr w:rsidR="005B3072" w14:paraId="4C2E826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vMerge w:val="restart"/>
            <w:tcBorders>
              <w:left w:val="single" w:sz="4" w:space="0" w:color="000000"/>
            </w:tcBorders>
            <w:vAlign w:val="center"/>
          </w:tcPr>
          <w:p w14:paraId="5E821DD2" w14:textId="77777777" w:rsidR="005B3072" w:rsidRDefault="00A46913">
            <w:pPr>
              <w:widowControl w:val="0"/>
              <w:rPr>
                <w:sz w:val="18"/>
                <w:szCs w:val="18"/>
              </w:rPr>
            </w:pPr>
            <w:r>
              <w:rPr>
                <w:sz w:val="18"/>
                <w:szCs w:val="18"/>
              </w:rPr>
              <w:t>Informacija o trendu i početnoj vrijednosti</w:t>
            </w:r>
          </w:p>
        </w:tc>
        <w:tc>
          <w:tcPr>
            <w:tcW w:w="530" w:type="pct"/>
            <w:vAlign w:val="center"/>
          </w:tcPr>
          <w:p w14:paraId="40BED7D5"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51" w:type="pct"/>
            <w:vAlign w:val="center"/>
          </w:tcPr>
          <w:p w14:paraId="746AD85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2020.</w:t>
            </w:r>
          </w:p>
        </w:tc>
        <w:tc>
          <w:tcPr>
            <w:tcW w:w="2750" w:type="pct"/>
            <w:tcBorders>
              <w:right w:val="single" w:sz="4" w:space="0" w:color="000000"/>
            </w:tcBorders>
            <w:vAlign w:val="center"/>
          </w:tcPr>
          <w:p w14:paraId="41FAC39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08A674DE" w14:textId="77777777" w:rsidTr="005E4CCE">
        <w:tc>
          <w:tcPr>
            <w:cnfStyle w:val="001000000000" w:firstRow="0" w:lastRow="0" w:firstColumn="1" w:lastColumn="0" w:oddVBand="0" w:evenVBand="0" w:oddHBand="0" w:evenHBand="0" w:firstRowFirstColumn="0" w:firstRowLastColumn="0" w:lastRowFirstColumn="0" w:lastRowLastColumn="0"/>
            <w:tcW w:w="869" w:type="pct"/>
            <w:vMerge/>
            <w:tcBorders>
              <w:left w:val="single" w:sz="4" w:space="0" w:color="000000"/>
            </w:tcBorders>
            <w:vAlign w:val="center"/>
          </w:tcPr>
          <w:p w14:paraId="2F4D5747" w14:textId="77777777" w:rsidR="005B3072" w:rsidRDefault="005B3072">
            <w:pPr>
              <w:widowControl w:val="0"/>
              <w:pBdr>
                <w:top w:val="nil"/>
                <w:left w:val="nil"/>
                <w:bottom w:val="nil"/>
                <w:right w:val="nil"/>
                <w:between w:val="nil"/>
              </w:pBdr>
              <w:spacing w:line="276" w:lineRule="auto"/>
              <w:rPr>
                <w:sz w:val="18"/>
                <w:szCs w:val="18"/>
              </w:rPr>
            </w:pPr>
          </w:p>
        </w:tc>
        <w:tc>
          <w:tcPr>
            <w:tcW w:w="530" w:type="pct"/>
            <w:vAlign w:val="center"/>
          </w:tcPr>
          <w:p w14:paraId="4519F89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601" w:type="pct"/>
            <w:gridSpan w:val="2"/>
            <w:tcBorders>
              <w:right w:val="single" w:sz="4" w:space="0" w:color="000000"/>
            </w:tcBorders>
            <w:vAlign w:val="center"/>
          </w:tcPr>
          <w:p w14:paraId="106187E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20.519</w:t>
            </w:r>
          </w:p>
        </w:tc>
      </w:tr>
      <w:tr w:rsidR="005B3072" w14:paraId="45BF7F7F"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9" w:type="pct"/>
            <w:vMerge w:val="restart"/>
            <w:tcBorders>
              <w:left w:val="single" w:sz="4" w:space="0" w:color="000000"/>
            </w:tcBorders>
            <w:vAlign w:val="center"/>
          </w:tcPr>
          <w:p w14:paraId="74DE2FFA" w14:textId="77777777" w:rsidR="005B3072" w:rsidRDefault="00A46913">
            <w:pPr>
              <w:widowControl w:val="0"/>
              <w:rPr>
                <w:sz w:val="18"/>
                <w:szCs w:val="18"/>
              </w:rPr>
            </w:pPr>
            <w:r>
              <w:rPr>
                <w:sz w:val="18"/>
                <w:szCs w:val="18"/>
              </w:rPr>
              <w:t>Informacija o ciljnim vrijednostima</w:t>
            </w:r>
          </w:p>
        </w:tc>
        <w:tc>
          <w:tcPr>
            <w:tcW w:w="530" w:type="pct"/>
            <w:vAlign w:val="center"/>
          </w:tcPr>
          <w:p w14:paraId="0AE3870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51" w:type="pct"/>
            <w:tcBorders>
              <w:right w:val="single" w:sz="4" w:space="0" w:color="000000"/>
            </w:tcBorders>
            <w:vAlign w:val="center"/>
          </w:tcPr>
          <w:p w14:paraId="55BFDF1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750" w:type="pct"/>
            <w:tcBorders>
              <w:left w:val="single" w:sz="4" w:space="0" w:color="000000"/>
              <w:right w:val="single" w:sz="4" w:space="0" w:color="000000"/>
            </w:tcBorders>
            <w:vAlign w:val="center"/>
          </w:tcPr>
          <w:p w14:paraId="3CDEADD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763B6734" w14:textId="77777777" w:rsidTr="005E4CCE">
        <w:tc>
          <w:tcPr>
            <w:cnfStyle w:val="001000000000" w:firstRow="0" w:lastRow="0" w:firstColumn="1" w:lastColumn="0" w:oddVBand="0" w:evenVBand="0" w:oddHBand="0" w:evenHBand="0" w:firstRowFirstColumn="0" w:firstRowLastColumn="0" w:lastRowFirstColumn="0" w:lastRowLastColumn="0"/>
            <w:tcW w:w="869" w:type="pct"/>
            <w:vMerge/>
            <w:tcBorders>
              <w:left w:val="single" w:sz="4" w:space="0" w:color="000000"/>
            </w:tcBorders>
            <w:vAlign w:val="center"/>
          </w:tcPr>
          <w:p w14:paraId="5E8B110A" w14:textId="77777777" w:rsidR="005B3072" w:rsidRDefault="005B3072">
            <w:pPr>
              <w:widowControl w:val="0"/>
              <w:pBdr>
                <w:top w:val="nil"/>
                <w:left w:val="nil"/>
                <w:bottom w:val="nil"/>
                <w:right w:val="nil"/>
                <w:between w:val="nil"/>
              </w:pBdr>
              <w:spacing w:line="276" w:lineRule="auto"/>
              <w:rPr>
                <w:sz w:val="18"/>
                <w:szCs w:val="18"/>
              </w:rPr>
            </w:pPr>
          </w:p>
        </w:tc>
        <w:tc>
          <w:tcPr>
            <w:tcW w:w="530" w:type="pct"/>
            <w:tcBorders>
              <w:bottom w:val="single" w:sz="4" w:space="0" w:color="000000"/>
            </w:tcBorders>
            <w:vAlign w:val="center"/>
          </w:tcPr>
          <w:p w14:paraId="181987A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851" w:type="pct"/>
            <w:tcBorders>
              <w:bottom w:val="single" w:sz="4" w:space="0" w:color="000000"/>
              <w:right w:val="single" w:sz="4" w:space="0" w:color="000000"/>
            </w:tcBorders>
            <w:vAlign w:val="center"/>
          </w:tcPr>
          <w:p w14:paraId="26769F9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22570</w:t>
            </w:r>
          </w:p>
        </w:tc>
        <w:tc>
          <w:tcPr>
            <w:tcW w:w="2750" w:type="pct"/>
            <w:tcBorders>
              <w:bottom w:val="single" w:sz="4" w:space="0" w:color="000000"/>
              <w:right w:val="single" w:sz="4" w:space="0" w:color="000000"/>
            </w:tcBorders>
            <w:vAlign w:val="center"/>
          </w:tcPr>
          <w:p w14:paraId="2FD4152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27084</w:t>
            </w:r>
          </w:p>
        </w:tc>
      </w:tr>
    </w:tbl>
    <w:p w14:paraId="5FF33C63" w14:textId="77777777" w:rsidR="005B3072" w:rsidRDefault="005B3072">
      <w:pPr>
        <w:rPr>
          <w:rFonts w:ascii="Georgia" w:eastAsia="Georgia" w:hAnsi="Georgia" w:cs="Georgia"/>
          <w:color w:val="192F41"/>
        </w:rPr>
      </w:pPr>
    </w:p>
    <w:tbl>
      <w:tblPr>
        <w:tblStyle w:val="affb"/>
        <w:tblW w:w="5000" w:type="pct"/>
        <w:tblLook w:val="0400" w:firstRow="0" w:lastRow="0" w:firstColumn="0" w:lastColumn="0" w:noHBand="0" w:noVBand="1"/>
      </w:tblPr>
      <w:tblGrid>
        <w:gridCol w:w="2732"/>
        <w:gridCol w:w="7728"/>
      </w:tblGrid>
      <w:tr w:rsidR="005B3072" w14:paraId="71BD74BB" w14:textId="77777777" w:rsidTr="005E4CCE">
        <w:trPr>
          <w:trHeight w:val="881"/>
        </w:trPr>
        <w:tc>
          <w:tcPr>
            <w:tcW w:w="1306"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11607D9B"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OPERATIVNI CILJ 2.3</w:t>
            </w:r>
          </w:p>
        </w:tc>
        <w:tc>
          <w:tcPr>
            <w:tcW w:w="3694" w:type="pct"/>
            <w:tcBorders>
              <w:top w:val="single" w:sz="4" w:space="0" w:color="FFFFFF"/>
              <w:left w:val="single" w:sz="4" w:space="0" w:color="FFFFFF"/>
              <w:bottom w:val="single" w:sz="4" w:space="0" w:color="D9D9D9"/>
              <w:right w:val="single" w:sz="4" w:space="0" w:color="FFFFFF"/>
            </w:tcBorders>
            <w:shd w:val="clear" w:color="auto" w:fill="1F4E79"/>
            <w:vAlign w:val="center"/>
          </w:tcPr>
          <w:p w14:paraId="3DBF5C68" w14:textId="77777777" w:rsidR="005B3072" w:rsidRDefault="005B3072">
            <w:pPr>
              <w:rPr>
                <w:rFonts w:ascii="Times New Roman" w:eastAsia="Times New Roman" w:hAnsi="Times New Roman" w:cs="Times New Roman"/>
                <w:sz w:val="24"/>
                <w:szCs w:val="24"/>
              </w:rPr>
            </w:pPr>
          </w:p>
          <w:p w14:paraId="7148C4FD" w14:textId="77777777" w:rsidR="005B3072" w:rsidRDefault="00A46913">
            <w:pPr>
              <w:spacing w:before="40" w:after="40"/>
              <w:ind w:right="144" w:hanging="144"/>
              <w:jc w:val="center"/>
              <w:rPr>
                <w:rFonts w:ascii="Times New Roman" w:eastAsia="Times New Roman" w:hAnsi="Times New Roman" w:cs="Times New Roman"/>
                <w:sz w:val="24"/>
                <w:szCs w:val="24"/>
              </w:rPr>
            </w:pPr>
            <w:r>
              <w:rPr>
                <w:rFonts w:ascii="Sitka Text" w:eastAsia="Sitka Text" w:hAnsi="Sitka Text" w:cs="Sitka Text"/>
                <w:b/>
                <w:color w:val="FFFFFF"/>
                <w:sz w:val="24"/>
                <w:szCs w:val="24"/>
              </w:rPr>
              <w:t xml:space="preserve">              Unapređenje i razvoj IKT ekonomije </w:t>
            </w:r>
          </w:p>
          <w:p w14:paraId="0FBA1B7E" w14:textId="77777777" w:rsidR="005B3072" w:rsidRDefault="005B3072">
            <w:pPr>
              <w:rPr>
                <w:rFonts w:ascii="Times New Roman" w:eastAsia="Times New Roman" w:hAnsi="Times New Roman" w:cs="Times New Roman"/>
                <w:sz w:val="24"/>
                <w:szCs w:val="24"/>
              </w:rPr>
            </w:pPr>
          </w:p>
        </w:tc>
      </w:tr>
    </w:tbl>
    <w:p w14:paraId="0C342079" w14:textId="77777777" w:rsidR="005B3072" w:rsidRDefault="005B3072">
      <w:pPr>
        <w:rPr>
          <w:rFonts w:ascii="Georgia" w:eastAsia="Georgia" w:hAnsi="Georgia" w:cs="Georgia"/>
          <w:color w:val="192F41"/>
        </w:rPr>
      </w:pPr>
    </w:p>
    <w:tbl>
      <w:tblPr>
        <w:tblStyle w:val="affc"/>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86"/>
        <w:gridCol w:w="1278"/>
        <w:gridCol w:w="1849"/>
        <w:gridCol w:w="5347"/>
      </w:tblGrid>
      <w:tr w:rsidR="005B3072" w14:paraId="660ECFE8"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49" w:type="pct"/>
            <w:tcBorders>
              <w:top w:val="single" w:sz="4" w:space="0" w:color="000000"/>
              <w:left w:val="single" w:sz="4" w:space="0" w:color="000000"/>
            </w:tcBorders>
            <w:vAlign w:val="center"/>
          </w:tcPr>
          <w:p w14:paraId="46CE8338" w14:textId="77777777" w:rsidR="005B3072" w:rsidRDefault="00A46913">
            <w:pPr>
              <w:widowControl w:val="0"/>
              <w:jc w:val="center"/>
              <w:rPr>
                <w:sz w:val="18"/>
                <w:szCs w:val="18"/>
              </w:rPr>
            </w:pPr>
            <w:r>
              <w:rPr>
                <w:sz w:val="18"/>
                <w:szCs w:val="18"/>
              </w:rPr>
              <w:t>Kategorija</w:t>
            </w:r>
          </w:p>
        </w:tc>
        <w:tc>
          <w:tcPr>
            <w:tcW w:w="4051" w:type="pct"/>
            <w:gridSpan w:val="3"/>
            <w:tcBorders>
              <w:top w:val="single" w:sz="4" w:space="0" w:color="000000"/>
              <w:right w:val="single" w:sz="4" w:space="0" w:color="000000"/>
            </w:tcBorders>
            <w:vAlign w:val="center"/>
          </w:tcPr>
          <w:p w14:paraId="7B8CDD32"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00F4B172"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614AE426" w14:textId="77777777" w:rsidR="005B3072" w:rsidRDefault="00A46913">
            <w:pPr>
              <w:widowControl w:val="0"/>
              <w:rPr>
                <w:sz w:val="18"/>
                <w:szCs w:val="18"/>
              </w:rPr>
            </w:pPr>
            <w:r>
              <w:rPr>
                <w:sz w:val="18"/>
                <w:szCs w:val="18"/>
              </w:rPr>
              <w:t>Naziv indikatora</w:t>
            </w:r>
          </w:p>
        </w:tc>
        <w:tc>
          <w:tcPr>
            <w:tcW w:w="4051" w:type="pct"/>
            <w:gridSpan w:val="3"/>
            <w:tcBorders>
              <w:right w:val="single" w:sz="4" w:space="0" w:color="000000"/>
            </w:tcBorders>
            <w:vAlign w:val="center"/>
          </w:tcPr>
          <w:p w14:paraId="111F8317"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color w:val="FF0000"/>
                <w:sz w:val="18"/>
                <w:szCs w:val="18"/>
              </w:rPr>
            </w:pPr>
            <w:r>
              <w:rPr>
                <w:rFonts w:ascii="Sitka Text" w:eastAsia="Sitka Text" w:hAnsi="Sitka Text" w:cs="Sitka Text"/>
                <w:b/>
                <w:color w:val="1F4E79"/>
                <w:sz w:val="20"/>
                <w:szCs w:val="20"/>
              </w:rPr>
              <w:t xml:space="preserve">Broj aktivnih IKT kompanija  </w:t>
            </w:r>
          </w:p>
        </w:tc>
      </w:tr>
      <w:tr w:rsidR="005B3072" w14:paraId="53BEC1B0" w14:textId="77777777" w:rsidTr="005E4CCE">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46481CB5" w14:textId="77777777" w:rsidR="005B3072" w:rsidRDefault="00A46913">
            <w:pPr>
              <w:widowControl w:val="0"/>
              <w:rPr>
                <w:sz w:val="18"/>
                <w:szCs w:val="18"/>
              </w:rPr>
            </w:pPr>
            <w:r>
              <w:rPr>
                <w:sz w:val="18"/>
                <w:szCs w:val="18"/>
              </w:rPr>
              <w:t>Cilj na koji se indikator odnosi</w:t>
            </w:r>
          </w:p>
        </w:tc>
        <w:tc>
          <w:tcPr>
            <w:tcW w:w="4051" w:type="pct"/>
            <w:gridSpan w:val="3"/>
            <w:tcBorders>
              <w:right w:val="single" w:sz="4" w:space="0" w:color="000000"/>
            </w:tcBorders>
            <w:vAlign w:val="center"/>
          </w:tcPr>
          <w:p w14:paraId="578231BB" w14:textId="77777777" w:rsidR="005B3072" w:rsidRDefault="00A46913">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Aktivne IKT kompanije su one koje ostvaruju ekonomsku aktivnost u fiskalnoj godini i predaju poslovne bilanse Upravi prihoda i carina, odnsono CRPS-u. </w:t>
            </w:r>
          </w:p>
          <w:p w14:paraId="38BAC068" w14:textId="77777777" w:rsidR="005B3072" w:rsidRDefault="00A46913">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Razvoj IKT sektora direktno je proporcionalan stepenu i brzini razvoja informacionog društva i potrebama građana/ki i privrede. Kao segment IKT sektora, IKT sektor u Crnoj Gori nije konkurentan na regionalnom nivou, a za predstojeće aktivnosti na lokalnom nivou neophodan je njegov dodatni razvoj. </w:t>
            </w:r>
          </w:p>
          <w:p w14:paraId="6F7417B7" w14:textId="77777777" w:rsidR="005B3072" w:rsidRDefault="00A46913">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Za uspješnu digitalnu transformaciju Crne Gore potrebno je povećati broj aktivnih IT kompanija i ojačati IKT sektor kao jednu od pretpostavki razvoja društva na polju digitalne transformacije. </w:t>
            </w:r>
          </w:p>
        </w:tc>
      </w:tr>
      <w:tr w:rsidR="005B3072" w14:paraId="0B47BCE5"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581960AA" w14:textId="77777777" w:rsidR="005B3072" w:rsidRDefault="005B3072">
            <w:pPr>
              <w:widowControl w:val="0"/>
              <w:rPr>
                <w:sz w:val="18"/>
                <w:szCs w:val="18"/>
              </w:rPr>
            </w:pPr>
          </w:p>
          <w:p w14:paraId="609E50E4" w14:textId="77777777" w:rsidR="005B3072" w:rsidRDefault="00A46913">
            <w:pPr>
              <w:widowControl w:val="0"/>
              <w:rPr>
                <w:sz w:val="18"/>
                <w:szCs w:val="18"/>
              </w:rPr>
            </w:pPr>
            <w:r>
              <w:rPr>
                <w:sz w:val="18"/>
                <w:szCs w:val="18"/>
              </w:rPr>
              <w:t>Podaci koje je potrebno prikupiti</w:t>
            </w:r>
          </w:p>
        </w:tc>
        <w:tc>
          <w:tcPr>
            <w:tcW w:w="4051" w:type="pct"/>
            <w:gridSpan w:val="3"/>
            <w:tcBorders>
              <w:right w:val="single" w:sz="4" w:space="0" w:color="000000"/>
            </w:tcBorders>
            <w:vAlign w:val="center"/>
          </w:tcPr>
          <w:p w14:paraId="349233B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Neophodno je pratiti i sakupljati informacije o svim kompanijama koje kao osnovnu (pretežnu) šifru djelatnosti imaju one koje definišu aktivnosti IKT sektora.  </w:t>
            </w:r>
          </w:p>
          <w:p w14:paraId="67D5C040"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Za praćenje IKT sektora koristi se OECD-ova klasifikacija, koja se temelji na ISIC-u Rev. 4, prema kojoj  ICT sektor obuhvata sljedeće:</w:t>
            </w:r>
          </w:p>
          <w:p w14:paraId="0E3D44E0"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IKT proizvodna industrija koja sadrži ISIC kodove 2611, 2620, 2630, 2640, 2680</w:t>
            </w:r>
          </w:p>
          <w:p w14:paraId="5F87EEE2"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IKT trgovina koja sadrži ISIC kodove 4651 i 4652 (dopunjeno sa 4741 I 4742)</w:t>
            </w:r>
          </w:p>
          <w:p w14:paraId="7CE44610"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IKT usluga koja se dijeli na telekomunikacije (sadrži ISIC kodove 6110, 6120, 6130, 6190), kompjutersko programiranje, konsultantske i druge srodne djelatnosti, informaciono uslužne djelatnosti i popravku (sadrži ISIC kodove 5820, 6201, 6202, 6209, 6311, 6312, 9511, 9512).</w:t>
            </w:r>
          </w:p>
          <w:p w14:paraId="5C60DE94"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09C5A0FF" w14:textId="77777777" w:rsidTr="005E4CCE">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5A264A99" w14:textId="77777777" w:rsidR="005B3072" w:rsidRDefault="00A46913">
            <w:pPr>
              <w:widowControl w:val="0"/>
              <w:rPr>
                <w:sz w:val="18"/>
                <w:szCs w:val="18"/>
              </w:rPr>
            </w:pPr>
            <w:r>
              <w:rPr>
                <w:sz w:val="18"/>
                <w:szCs w:val="18"/>
              </w:rPr>
              <w:t>Izvor podataka</w:t>
            </w:r>
          </w:p>
        </w:tc>
        <w:tc>
          <w:tcPr>
            <w:tcW w:w="4051" w:type="pct"/>
            <w:gridSpan w:val="3"/>
            <w:tcBorders>
              <w:right w:val="single" w:sz="4" w:space="0" w:color="000000"/>
            </w:tcBorders>
            <w:vAlign w:val="center"/>
          </w:tcPr>
          <w:p w14:paraId="0A08AC4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Pouzdan i mjerljiv izvor podataka za praćenje vrijednosti indikatora su izvještaji o predatim poslovnim bilanasima IKT na kraju fiskalne godine. Vlasnik ovih podataka je Uprava prihoda i carina, odnosno CRPS. </w:t>
            </w:r>
          </w:p>
        </w:tc>
      </w:tr>
      <w:tr w:rsidR="005B3072" w14:paraId="5667CC4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7DBE0683" w14:textId="77777777" w:rsidR="005B3072" w:rsidRDefault="00A46913">
            <w:pPr>
              <w:widowControl w:val="0"/>
              <w:rPr>
                <w:sz w:val="18"/>
                <w:szCs w:val="18"/>
              </w:rPr>
            </w:pPr>
            <w:r>
              <w:rPr>
                <w:sz w:val="18"/>
                <w:szCs w:val="18"/>
              </w:rPr>
              <w:t>Informacija o instituciji odgovornoj za prikupljanje podataka</w:t>
            </w:r>
          </w:p>
        </w:tc>
        <w:tc>
          <w:tcPr>
            <w:tcW w:w="4051" w:type="pct"/>
            <w:gridSpan w:val="3"/>
            <w:tcBorders>
              <w:right w:val="single" w:sz="4" w:space="0" w:color="000000"/>
            </w:tcBorders>
            <w:vAlign w:val="center"/>
          </w:tcPr>
          <w:p w14:paraId="7E0CD26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Potrebne podatke u skladu sa Zaknom o Privrednoj komori godinama unazad od Uprave prihoda i carina dobija Privredna komora Crne Gore i analitički (softverski) ih obrađuje po raznim kriterijumima formirajući zvanični godišnji izvještaj o stanju IKT sektora u Crnoj Gori. Podaci se obrađuju u okviru Odbora udruženja za IKT.</w:t>
            </w:r>
          </w:p>
          <w:p w14:paraId="4CF10C0A"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35548C9B" w14:textId="77777777" w:rsidTr="005E4CCE">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67138D50" w14:textId="77777777" w:rsidR="005B3072" w:rsidRDefault="00A46913">
            <w:pPr>
              <w:widowControl w:val="0"/>
              <w:rPr>
                <w:sz w:val="18"/>
                <w:szCs w:val="18"/>
              </w:rPr>
            </w:pPr>
            <w:r>
              <w:rPr>
                <w:sz w:val="18"/>
                <w:szCs w:val="18"/>
              </w:rPr>
              <w:t>Učestalost prikupljanja podataka</w:t>
            </w:r>
          </w:p>
        </w:tc>
        <w:tc>
          <w:tcPr>
            <w:tcW w:w="4051" w:type="pct"/>
            <w:gridSpan w:val="3"/>
            <w:tcBorders>
              <w:right w:val="single" w:sz="4" w:space="0" w:color="000000"/>
            </w:tcBorders>
            <w:vAlign w:val="center"/>
          </w:tcPr>
          <w:p w14:paraId="74211CA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 u aprilu, nakon predaje i obrade poslovnih bilansa IKT kompanija.</w:t>
            </w:r>
          </w:p>
        </w:tc>
      </w:tr>
      <w:tr w:rsidR="005B3072" w14:paraId="3BE74004"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07A2E5A9" w14:textId="77777777" w:rsidR="005B3072" w:rsidRDefault="00A46913">
            <w:pPr>
              <w:widowControl w:val="0"/>
              <w:rPr>
                <w:sz w:val="18"/>
                <w:szCs w:val="18"/>
              </w:rPr>
            </w:pPr>
            <w:r>
              <w:rPr>
                <w:sz w:val="18"/>
                <w:szCs w:val="18"/>
              </w:rPr>
              <w:t>Učestalost izvještavanja o vrijednosti indikatora</w:t>
            </w:r>
          </w:p>
        </w:tc>
        <w:tc>
          <w:tcPr>
            <w:tcW w:w="4051" w:type="pct"/>
            <w:gridSpan w:val="3"/>
            <w:tcBorders>
              <w:right w:val="single" w:sz="4" w:space="0" w:color="000000"/>
            </w:tcBorders>
            <w:vAlign w:val="center"/>
          </w:tcPr>
          <w:p w14:paraId="0F514596"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 godišnjem nivou</w:t>
            </w:r>
          </w:p>
        </w:tc>
      </w:tr>
      <w:tr w:rsidR="005B3072" w14:paraId="57190468" w14:textId="77777777" w:rsidTr="005E4CCE">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318FBFF5" w14:textId="77777777" w:rsidR="005B3072" w:rsidRDefault="00A46913">
            <w:pPr>
              <w:widowControl w:val="0"/>
              <w:rPr>
                <w:sz w:val="18"/>
                <w:szCs w:val="18"/>
              </w:rPr>
            </w:pPr>
            <w:r>
              <w:rPr>
                <w:sz w:val="18"/>
                <w:szCs w:val="18"/>
              </w:rPr>
              <w:t>Kratak opis metodologije izračunavanja podataka</w:t>
            </w:r>
          </w:p>
        </w:tc>
        <w:tc>
          <w:tcPr>
            <w:tcW w:w="4051" w:type="pct"/>
            <w:gridSpan w:val="3"/>
            <w:tcBorders>
              <w:right w:val="single" w:sz="4" w:space="0" w:color="000000"/>
            </w:tcBorders>
            <w:vAlign w:val="center"/>
          </w:tcPr>
          <w:p w14:paraId="72C3E00F"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 obzirom na to da se ovaj indikator iskazuje u apsolutnoj vrijednosti - broj aktivnih IKT kompanija i nema procentnog računa. </w:t>
            </w:r>
          </w:p>
          <w:p w14:paraId="5F77994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Izračunavanje se vrši na sljedeći način:</w:t>
            </w:r>
          </w:p>
          <w:p w14:paraId="0A40467C" w14:textId="77777777" w:rsidR="005B3072" w:rsidRDefault="00A46913">
            <w:pPr>
              <w:widowControl w:val="0"/>
              <w:numPr>
                <w:ilvl w:val="0"/>
                <w:numId w:val="37"/>
              </w:numPr>
              <w:ind w:hanging="16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Obuhvat svih aktivnih kompanija razvrstanih u IKT sektoru pripadajuće ISIC kodove.</w:t>
            </w:r>
          </w:p>
          <w:p w14:paraId="5EDCC907" w14:textId="77777777" w:rsidR="005B3072" w:rsidRDefault="00A46913">
            <w:pPr>
              <w:widowControl w:val="0"/>
              <w:numPr>
                <w:ilvl w:val="0"/>
                <w:numId w:val="37"/>
              </w:numPr>
              <w:ind w:hanging="16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Određivanje ukupne sume sabiranjem broja IKT kompanija koje su razvrstane za svaki ISIC kod.</w:t>
            </w:r>
          </w:p>
        </w:tc>
      </w:tr>
      <w:tr w:rsidR="005B3072" w14:paraId="68E50850"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75CAF513" w14:textId="77777777" w:rsidR="005B3072" w:rsidRDefault="00A46913">
            <w:pPr>
              <w:widowControl w:val="0"/>
              <w:rPr>
                <w:sz w:val="18"/>
                <w:szCs w:val="18"/>
              </w:rPr>
            </w:pPr>
            <w:r>
              <w:rPr>
                <w:sz w:val="18"/>
                <w:szCs w:val="18"/>
              </w:rPr>
              <w:t xml:space="preserve">Kontakt osoba </w:t>
            </w:r>
          </w:p>
        </w:tc>
        <w:tc>
          <w:tcPr>
            <w:tcW w:w="4051" w:type="pct"/>
            <w:gridSpan w:val="3"/>
            <w:tcBorders>
              <w:right w:val="single" w:sz="4" w:space="0" w:color="000000"/>
            </w:tcBorders>
            <w:vAlign w:val="center"/>
          </w:tcPr>
          <w:p w14:paraId="0628DE4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Privredna komora Crne Gore, Odbor udruženja za IKT, Nada Rakočević</w:t>
            </w:r>
          </w:p>
        </w:tc>
      </w:tr>
      <w:tr w:rsidR="005B3072" w14:paraId="66CAA89B" w14:textId="77777777" w:rsidTr="005E4CCE">
        <w:tc>
          <w:tcPr>
            <w:cnfStyle w:val="001000000000" w:firstRow="0" w:lastRow="0" w:firstColumn="1" w:lastColumn="0" w:oddVBand="0" w:evenVBand="0" w:oddHBand="0" w:evenHBand="0" w:firstRowFirstColumn="0" w:firstRowLastColumn="0" w:lastRowFirstColumn="0" w:lastRowLastColumn="0"/>
            <w:tcW w:w="949" w:type="pct"/>
            <w:tcBorders>
              <w:left w:val="single" w:sz="4" w:space="0" w:color="000000"/>
            </w:tcBorders>
            <w:vAlign w:val="center"/>
          </w:tcPr>
          <w:p w14:paraId="357CC4D2" w14:textId="77777777" w:rsidR="005B3072" w:rsidRDefault="00A46913">
            <w:pPr>
              <w:widowControl w:val="0"/>
              <w:rPr>
                <w:sz w:val="18"/>
                <w:szCs w:val="18"/>
              </w:rPr>
            </w:pPr>
            <w:r>
              <w:rPr>
                <w:sz w:val="18"/>
                <w:szCs w:val="18"/>
              </w:rPr>
              <w:t>e-mail</w:t>
            </w:r>
          </w:p>
        </w:tc>
        <w:tc>
          <w:tcPr>
            <w:tcW w:w="4051" w:type="pct"/>
            <w:gridSpan w:val="3"/>
            <w:tcBorders>
              <w:right w:val="single" w:sz="4" w:space="0" w:color="000000"/>
            </w:tcBorders>
            <w:vAlign w:val="center"/>
          </w:tcPr>
          <w:p w14:paraId="0E978B60"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49">
              <w:r w:rsidR="00A46913">
                <w:rPr>
                  <w:color w:val="0563C1"/>
                  <w:sz w:val="18"/>
                  <w:szCs w:val="18"/>
                  <w:u w:val="single"/>
                </w:rPr>
                <w:t>nrakocevic@pkcg.me</w:t>
              </w:r>
            </w:hyperlink>
            <w:r w:rsidR="00A46913">
              <w:rPr>
                <w:sz w:val="18"/>
                <w:szCs w:val="18"/>
              </w:rPr>
              <w:t xml:space="preserve"> </w:t>
            </w:r>
          </w:p>
        </w:tc>
      </w:tr>
      <w:tr w:rsidR="005B3072" w14:paraId="586E5C2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tcBorders>
              <w:left w:val="single" w:sz="4" w:space="0" w:color="000000"/>
            </w:tcBorders>
            <w:vAlign w:val="center"/>
          </w:tcPr>
          <w:p w14:paraId="07B32E22" w14:textId="77777777" w:rsidR="005B3072" w:rsidRDefault="00A46913">
            <w:pPr>
              <w:widowControl w:val="0"/>
              <w:rPr>
                <w:sz w:val="18"/>
                <w:szCs w:val="18"/>
              </w:rPr>
            </w:pPr>
            <w:r>
              <w:rPr>
                <w:sz w:val="18"/>
                <w:szCs w:val="18"/>
              </w:rPr>
              <w:t>Informacija o trendu i početnoj vrijednosti</w:t>
            </w:r>
          </w:p>
        </w:tc>
        <w:tc>
          <w:tcPr>
            <w:tcW w:w="611" w:type="pct"/>
            <w:vAlign w:val="center"/>
          </w:tcPr>
          <w:p w14:paraId="7FFD906F"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84" w:type="pct"/>
            <w:vAlign w:val="center"/>
          </w:tcPr>
          <w:p w14:paraId="3D9AFA7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(2020)</w:t>
            </w:r>
          </w:p>
        </w:tc>
        <w:tc>
          <w:tcPr>
            <w:tcW w:w="2556" w:type="pct"/>
            <w:tcBorders>
              <w:right w:val="single" w:sz="4" w:space="0" w:color="000000"/>
            </w:tcBorders>
            <w:vAlign w:val="center"/>
          </w:tcPr>
          <w:p w14:paraId="7D87A914"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68233AB5" w14:textId="77777777" w:rsidTr="005E4CCE">
        <w:tc>
          <w:tcPr>
            <w:cnfStyle w:val="001000000000" w:firstRow="0" w:lastRow="0" w:firstColumn="1" w:lastColumn="0" w:oddVBand="0" w:evenVBand="0" w:oddHBand="0" w:evenHBand="0" w:firstRowFirstColumn="0" w:firstRowLastColumn="0" w:lastRowFirstColumn="0" w:lastRowLastColumn="0"/>
            <w:tcW w:w="949" w:type="pct"/>
            <w:vMerge/>
            <w:tcBorders>
              <w:left w:val="single" w:sz="4" w:space="0" w:color="000000"/>
            </w:tcBorders>
            <w:vAlign w:val="center"/>
          </w:tcPr>
          <w:p w14:paraId="1CD20FA0" w14:textId="77777777" w:rsidR="005B3072" w:rsidRDefault="005B3072">
            <w:pPr>
              <w:widowControl w:val="0"/>
              <w:pBdr>
                <w:top w:val="nil"/>
                <w:left w:val="nil"/>
                <w:bottom w:val="nil"/>
                <w:right w:val="nil"/>
                <w:between w:val="nil"/>
              </w:pBdr>
              <w:spacing w:line="276" w:lineRule="auto"/>
              <w:rPr>
                <w:sz w:val="18"/>
                <w:szCs w:val="18"/>
              </w:rPr>
            </w:pPr>
          </w:p>
        </w:tc>
        <w:tc>
          <w:tcPr>
            <w:tcW w:w="611" w:type="pct"/>
            <w:vAlign w:val="center"/>
          </w:tcPr>
          <w:p w14:paraId="41AE1D3B"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440" w:type="pct"/>
            <w:gridSpan w:val="2"/>
            <w:tcBorders>
              <w:right w:val="single" w:sz="4" w:space="0" w:color="000000"/>
            </w:tcBorders>
            <w:vAlign w:val="center"/>
          </w:tcPr>
          <w:p w14:paraId="4FA42B70"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970</w:t>
            </w:r>
          </w:p>
        </w:tc>
      </w:tr>
      <w:tr w:rsidR="005B3072" w14:paraId="3E89DA5F"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vMerge w:val="restart"/>
            <w:tcBorders>
              <w:left w:val="single" w:sz="4" w:space="0" w:color="000000"/>
            </w:tcBorders>
            <w:vAlign w:val="center"/>
          </w:tcPr>
          <w:p w14:paraId="2A90157C" w14:textId="77777777" w:rsidR="005B3072" w:rsidRDefault="00A46913">
            <w:pPr>
              <w:widowControl w:val="0"/>
              <w:rPr>
                <w:sz w:val="18"/>
                <w:szCs w:val="18"/>
              </w:rPr>
            </w:pPr>
            <w:r>
              <w:rPr>
                <w:sz w:val="18"/>
                <w:szCs w:val="18"/>
              </w:rPr>
              <w:t>Informacija o ciljnim vrijednostima</w:t>
            </w:r>
          </w:p>
        </w:tc>
        <w:tc>
          <w:tcPr>
            <w:tcW w:w="611" w:type="pct"/>
            <w:vAlign w:val="center"/>
          </w:tcPr>
          <w:p w14:paraId="749506D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84" w:type="pct"/>
            <w:tcBorders>
              <w:right w:val="single" w:sz="4" w:space="0" w:color="000000"/>
            </w:tcBorders>
            <w:vAlign w:val="center"/>
          </w:tcPr>
          <w:p w14:paraId="143378C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556" w:type="pct"/>
            <w:tcBorders>
              <w:left w:val="single" w:sz="4" w:space="0" w:color="000000"/>
              <w:right w:val="single" w:sz="4" w:space="0" w:color="000000"/>
            </w:tcBorders>
            <w:vAlign w:val="center"/>
          </w:tcPr>
          <w:p w14:paraId="15AD9069"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7F4B4CAC" w14:textId="77777777" w:rsidTr="005E4CCE">
        <w:tc>
          <w:tcPr>
            <w:cnfStyle w:val="001000000000" w:firstRow="0" w:lastRow="0" w:firstColumn="1" w:lastColumn="0" w:oddVBand="0" w:evenVBand="0" w:oddHBand="0" w:evenHBand="0" w:firstRowFirstColumn="0" w:firstRowLastColumn="0" w:lastRowFirstColumn="0" w:lastRowLastColumn="0"/>
            <w:tcW w:w="949" w:type="pct"/>
            <w:vMerge/>
            <w:tcBorders>
              <w:left w:val="single" w:sz="4" w:space="0" w:color="000000"/>
            </w:tcBorders>
            <w:vAlign w:val="center"/>
          </w:tcPr>
          <w:p w14:paraId="498B3A44" w14:textId="77777777" w:rsidR="005B3072" w:rsidRDefault="005B3072">
            <w:pPr>
              <w:widowControl w:val="0"/>
              <w:pBdr>
                <w:top w:val="nil"/>
                <w:left w:val="nil"/>
                <w:bottom w:val="nil"/>
                <w:right w:val="nil"/>
                <w:between w:val="nil"/>
              </w:pBdr>
              <w:spacing w:line="276" w:lineRule="auto"/>
              <w:rPr>
                <w:sz w:val="18"/>
                <w:szCs w:val="18"/>
              </w:rPr>
            </w:pPr>
          </w:p>
        </w:tc>
        <w:tc>
          <w:tcPr>
            <w:tcW w:w="611" w:type="pct"/>
            <w:tcBorders>
              <w:bottom w:val="single" w:sz="4" w:space="0" w:color="000000"/>
            </w:tcBorders>
            <w:vAlign w:val="center"/>
          </w:tcPr>
          <w:p w14:paraId="7D470EAD"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884" w:type="pct"/>
            <w:tcBorders>
              <w:bottom w:val="single" w:sz="4" w:space="0" w:color="000000"/>
              <w:right w:val="single" w:sz="4" w:space="0" w:color="000000"/>
            </w:tcBorders>
            <w:vAlign w:val="center"/>
          </w:tcPr>
          <w:p w14:paraId="2A0B0A18"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1.115</w:t>
            </w:r>
          </w:p>
        </w:tc>
        <w:tc>
          <w:tcPr>
            <w:tcW w:w="2556" w:type="pct"/>
            <w:tcBorders>
              <w:bottom w:val="single" w:sz="4" w:space="0" w:color="000000"/>
              <w:right w:val="single" w:sz="4" w:space="0" w:color="000000"/>
            </w:tcBorders>
            <w:vAlign w:val="center"/>
          </w:tcPr>
          <w:p w14:paraId="048F0F51"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1.230</w:t>
            </w:r>
          </w:p>
        </w:tc>
      </w:tr>
    </w:tbl>
    <w:p w14:paraId="06C94FCF" w14:textId="77777777" w:rsidR="005B3072" w:rsidRDefault="005B3072">
      <w:pPr>
        <w:rPr>
          <w:rFonts w:ascii="Georgia" w:eastAsia="Georgia" w:hAnsi="Georgia" w:cs="Georgia"/>
          <w:color w:val="192F41"/>
        </w:rPr>
      </w:pPr>
    </w:p>
    <w:tbl>
      <w:tblPr>
        <w:tblStyle w:val="affd"/>
        <w:tblW w:w="5000" w:type="pct"/>
        <w:tblBorders>
          <w:top w:val="single" w:sz="4" w:space="0" w:color="8EAADB"/>
          <w:left w:val="single" w:sz="4" w:space="0" w:color="000000"/>
          <w:bottom w:val="single" w:sz="4" w:space="0" w:color="8EAADB"/>
          <w:right w:val="single" w:sz="4" w:space="0" w:color="000000"/>
          <w:insideH w:val="single" w:sz="4" w:space="0" w:color="8EAADB"/>
          <w:insideV w:val="single" w:sz="4" w:space="0" w:color="8EAADB"/>
        </w:tblBorders>
        <w:tblLook w:val="04A0" w:firstRow="1" w:lastRow="0" w:firstColumn="1" w:lastColumn="0" w:noHBand="0" w:noVBand="1"/>
      </w:tblPr>
      <w:tblGrid>
        <w:gridCol w:w="1931"/>
        <w:gridCol w:w="1023"/>
        <w:gridCol w:w="1690"/>
        <w:gridCol w:w="5816"/>
      </w:tblGrid>
      <w:tr w:rsidR="005B3072" w14:paraId="136D1FFC" w14:textId="77777777" w:rsidTr="005E4CCE">
        <w:trPr>
          <w:cnfStyle w:val="100000000000" w:firstRow="1" w:lastRow="0" w:firstColumn="0" w:lastColumn="0" w:oddVBand="0" w:evenVBand="0" w:oddHBand="0"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923" w:type="pct"/>
            <w:tcBorders>
              <w:top w:val="single" w:sz="4" w:space="0" w:color="000000"/>
              <w:left w:val="single" w:sz="4" w:space="0" w:color="000000"/>
            </w:tcBorders>
            <w:vAlign w:val="center"/>
          </w:tcPr>
          <w:p w14:paraId="74076C46" w14:textId="77777777" w:rsidR="005B3072" w:rsidRDefault="00A46913">
            <w:pPr>
              <w:widowControl w:val="0"/>
              <w:jc w:val="center"/>
              <w:rPr>
                <w:sz w:val="18"/>
                <w:szCs w:val="18"/>
              </w:rPr>
            </w:pPr>
            <w:r>
              <w:rPr>
                <w:sz w:val="18"/>
                <w:szCs w:val="18"/>
              </w:rPr>
              <w:t>Kategorija</w:t>
            </w:r>
          </w:p>
        </w:tc>
        <w:tc>
          <w:tcPr>
            <w:tcW w:w="4077" w:type="pct"/>
            <w:gridSpan w:val="3"/>
            <w:tcBorders>
              <w:top w:val="single" w:sz="4" w:space="0" w:color="000000"/>
              <w:right w:val="single" w:sz="4" w:space="0" w:color="000000"/>
            </w:tcBorders>
            <w:vAlign w:val="center"/>
          </w:tcPr>
          <w:p w14:paraId="5BD19C7C" w14:textId="77777777" w:rsidR="005B3072" w:rsidRDefault="00A46913">
            <w:pPr>
              <w:widowControl w:val="0"/>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Opis</w:t>
            </w:r>
          </w:p>
        </w:tc>
      </w:tr>
      <w:tr w:rsidR="005B3072" w14:paraId="21AE67D3" w14:textId="77777777" w:rsidTr="005E4CCE">
        <w:trPr>
          <w:cnfStyle w:val="000000100000" w:firstRow="0" w:lastRow="0" w:firstColumn="0" w:lastColumn="0" w:oddVBand="0" w:evenVBand="0" w:oddHBand="1" w:evenHBand="0" w:firstRowFirstColumn="0" w:firstRowLastColumn="0" w:lastRowFirstColumn="0" w:lastRowLastColumn="0"/>
          <w:trHeight w:val="738"/>
        </w:trPr>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5C70BF57" w14:textId="77777777" w:rsidR="005B3072" w:rsidRDefault="00A46913">
            <w:pPr>
              <w:widowControl w:val="0"/>
              <w:rPr>
                <w:sz w:val="18"/>
                <w:szCs w:val="18"/>
              </w:rPr>
            </w:pPr>
            <w:r>
              <w:rPr>
                <w:sz w:val="18"/>
                <w:szCs w:val="18"/>
              </w:rPr>
              <w:t>Naziv indikatora</w:t>
            </w:r>
          </w:p>
        </w:tc>
        <w:tc>
          <w:tcPr>
            <w:tcW w:w="4077" w:type="pct"/>
            <w:gridSpan w:val="3"/>
            <w:tcBorders>
              <w:right w:val="single" w:sz="4" w:space="0" w:color="000000"/>
            </w:tcBorders>
            <w:vAlign w:val="center"/>
          </w:tcPr>
          <w:p w14:paraId="6C6960AB"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rFonts w:ascii="Sitka Text" w:eastAsia="Sitka Text" w:hAnsi="Sitka Text" w:cs="Sitka Text"/>
                <w:b/>
                <w:color w:val="1F4E79"/>
                <w:sz w:val="20"/>
                <w:szCs w:val="20"/>
              </w:rPr>
              <w:t xml:space="preserve">Broj zaposlenih u IKT kompanijama   </w:t>
            </w:r>
          </w:p>
        </w:tc>
      </w:tr>
      <w:tr w:rsidR="005B3072" w14:paraId="44C522EB" w14:textId="77777777" w:rsidTr="005E4CCE">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3AD1CC1D" w14:textId="77777777" w:rsidR="005B3072" w:rsidRDefault="00A46913">
            <w:pPr>
              <w:widowControl w:val="0"/>
              <w:rPr>
                <w:sz w:val="18"/>
                <w:szCs w:val="18"/>
              </w:rPr>
            </w:pPr>
            <w:r>
              <w:rPr>
                <w:sz w:val="18"/>
                <w:szCs w:val="18"/>
              </w:rPr>
              <w:t>Cilj na koji se indikator odnosi</w:t>
            </w:r>
          </w:p>
        </w:tc>
        <w:tc>
          <w:tcPr>
            <w:tcW w:w="4077" w:type="pct"/>
            <w:gridSpan w:val="3"/>
            <w:tcBorders>
              <w:right w:val="single" w:sz="4" w:space="0" w:color="000000"/>
            </w:tcBorders>
            <w:vAlign w:val="center"/>
          </w:tcPr>
          <w:p w14:paraId="1D9052CC"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Broj zaposlenih (žena i muškaraca) u IKT kompanijama, njihovo znanje, energija i poslovna upotrebljivost su značajni za kvalitet i broj usluga koje ovaj sektor pruža, a samim tim i potencijalni katalizator procesa digitalne transformacije u Crnoj Gori. Broj i kvalitativna struktura zaposlenih se moraju povećavati u cilju izvršenja predviđenih aktivnosti na digitalnoj transformaciji.</w:t>
            </w:r>
          </w:p>
        </w:tc>
      </w:tr>
      <w:tr w:rsidR="005B3072" w14:paraId="0A69E7DA"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59D95DCC" w14:textId="77777777" w:rsidR="005B3072" w:rsidRDefault="005B3072">
            <w:pPr>
              <w:widowControl w:val="0"/>
              <w:rPr>
                <w:sz w:val="18"/>
                <w:szCs w:val="18"/>
              </w:rPr>
            </w:pPr>
          </w:p>
          <w:p w14:paraId="02F03F71" w14:textId="77777777" w:rsidR="005B3072" w:rsidRDefault="00A46913">
            <w:pPr>
              <w:widowControl w:val="0"/>
              <w:rPr>
                <w:sz w:val="18"/>
                <w:szCs w:val="18"/>
              </w:rPr>
            </w:pPr>
            <w:r>
              <w:rPr>
                <w:sz w:val="18"/>
                <w:szCs w:val="18"/>
              </w:rPr>
              <w:t>Podaci koje je potrebno prikupiti</w:t>
            </w:r>
          </w:p>
        </w:tc>
        <w:tc>
          <w:tcPr>
            <w:tcW w:w="4077" w:type="pct"/>
            <w:gridSpan w:val="3"/>
            <w:tcBorders>
              <w:right w:val="single" w:sz="4" w:space="0" w:color="000000"/>
            </w:tcBorders>
            <w:vAlign w:val="center"/>
          </w:tcPr>
          <w:p w14:paraId="55BE8DD8" w14:textId="77777777" w:rsidR="005B3072" w:rsidRDefault="00A46913">
            <w:pPr>
              <w:widowControl w:val="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Neophodno je pratiti i sakupljati informacije o broju zaposlenih muškaraca i žena u svim kompanijama koje kao osnovnu (pretežnu) šifru djelatnosti imaju one koje definišu aktivnosti IKT sektora.  </w:t>
            </w:r>
          </w:p>
          <w:p w14:paraId="0A546F5E"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Za praćenje IKT sektora koristi se OECD-ova klasifikacija, koja se temelji na ISIC-u Rev. 4, prema kojoj  ICT sektor obuhvata sljedeće:</w:t>
            </w:r>
          </w:p>
          <w:p w14:paraId="64410FBC"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IKT proizvodna industrija koja sadrži ISIC kodove 2611, 2620, 2630, 2640, 2680</w:t>
            </w:r>
          </w:p>
          <w:p w14:paraId="2F058E0B"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IKT trgovina koja sadrži ISIC kodove 4651 i 4652 (dopunjeno sa 4741 I 4742)</w:t>
            </w:r>
          </w:p>
          <w:p w14:paraId="0327014F" w14:textId="77777777" w:rsidR="005B3072" w:rsidRDefault="00A46913">
            <w:pPr>
              <w:widowControl w:val="0"/>
              <w:spacing w:line="276" w:lineRule="auto"/>
              <w:ind w:right="62"/>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IKT usluga koja se dijeli na telekomunikacije (sadrži ISIC kodove 6110, 6120, 6130, 6190), kompjutersko programiranje, konsultantske i druge srodne djelatnosti, informaciono uslužne djelatnosti i popravku (sadrži ISIC kodove 5820, 6201, 6202, 6209, 6311, 6312, 9511, 9512).</w:t>
            </w:r>
          </w:p>
        </w:tc>
      </w:tr>
      <w:tr w:rsidR="005B3072" w14:paraId="12422118" w14:textId="77777777" w:rsidTr="005E4CCE">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1BF059DC" w14:textId="77777777" w:rsidR="005B3072" w:rsidRDefault="00A46913">
            <w:pPr>
              <w:widowControl w:val="0"/>
              <w:rPr>
                <w:sz w:val="18"/>
                <w:szCs w:val="18"/>
              </w:rPr>
            </w:pPr>
            <w:r>
              <w:rPr>
                <w:sz w:val="18"/>
                <w:szCs w:val="18"/>
              </w:rPr>
              <w:t>Izvor podataka</w:t>
            </w:r>
          </w:p>
        </w:tc>
        <w:tc>
          <w:tcPr>
            <w:tcW w:w="4077" w:type="pct"/>
            <w:gridSpan w:val="3"/>
            <w:tcBorders>
              <w:right w:val="single" w:sz="4" w:space="0" w:color="000000"/>
            </w:tcBorders>
            <w:vAlign w:val="center"/>
          </w:tcPr>
          <w:p w14:paraId="6EB41837" w14:textId="77777777" w:rsidR="005B3072" w:rsidRDefault="00A46913">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Pozdan i mjerljiv izvor podataka za praćenje vrijednosti indikatora su izvještaji o predatim poslovnim bilanasima IKT na kraju fiskalne godine, koji sadrže i prosječan broj zaposlenih u toku fiskalne godine. </w:t>
            </w:r>
          </w:p>
          <w:p w14:paraId="0E11D5A1" w14:textId="77777777" w:rsidR="005B3072" w:rsidRDefault="00A46913">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Takođe, svaka kompanija elektronski predaje podatke o isplati zarada, poreza i doprinosa zaposlenih i na osnovu tih dokumenata se jasno dobija informacija o broju zaposlenih u svakoj od IKT kompanija. Ova statistika se može pratiti na mjesečnom ili godišnjem nivou. </w:t>
            </w:r>
          </w:p>
          <w:p w14:paraId="5D3D430D" w14:textId="77777777" w:rsidR="005B3072" w:rsidRDefault="00A46913">
            <w:pPr>
              <w:widowControl w:val="0"/>
              <w:jc w:val="both"/>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Vlasnik ovih podataka je Uprava prihoda i carina, odnosno CRPS.</w:t>
            </w:r>
          </w:p>
        </w:tc>
      </w:tr>
      <w:tr w:rsidR="005B3072" w14:paraId="03E6841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0DFC4141" w14:textId="77777777" w:rsidR="005B3072" w:rsidRDefault="00A46913">
            <w:pPr>
              <w:widowControl w:val="0"/>
              <w:rPr>
                <w:sz w:val="18"/>
                <w:szCs w:val="18"/>
              </w:rPr>
            </w:pPr>
            <w:r>
              <w:rPr>
                <w:sz w:val="18"/>
                <w:szCs w:val="18"/>
              </w:rPr>
              <w:t>Informacija o instituciji odgovornoj za prikupljanje podataka</w:t>
            </w:r>
          </w:p>
        </w:tc>
        <w:tc>
          <w:tcPr>
            <w:tcW w:w="4077" w:type="pct"/>
            <w:gridSpan w:val="3"/>
            <w:tcBorders>
              <w:right w:val="single" w:sz="4" w:space="0" w:color="000000"/>
            </w:tcBorders>
            <w:vAlign w:val="center"/>
          </w:tcPr>
          <w:p w14:paraId="2160228C" w14:textId="77777777" w:rsidR="005B3072" w:rsidRDefault="00A46913">
            <w:pPr>
              <w:widowControl w:val="0"/>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Potrebne podatke u skladu sa Zakonom o Privrednoj komori godinama unazad od Uprave prihoda i carina dobija Privredna komora Crne Gore i analitički (softverski) ih obrađuje po raznim kriterijumima formirajući zvanični godišnji izvještaj o stanju IKT sektora u Crnoj Gori. Podaci se obrađuju u okviru Odbora udruženja za IKT.</w:t>
            </w:r>
          </w:p>
          <w:p w14:paraId="001A16BA" w14:textId="77777777" w:rsidR="005B3072" w:rsidRDefault="005B3072">
            <w:pPr>
              <w:widowControl w:val="0"/>
              <w:cnfStyle w:val="000000100000" w:firstRow="0" w:lastRow="0" w:firstColumn="0" w:lastColumn="0" w:oddVBand="0" w:evenVBand="0" w:oddHBand="1" w:evenHBand="0" w:firstRowFirstColumn="0" w:firstRowLastColumn="0" w:lastRowFirstColumn="0" w:lastRowLastColumn="0"/>
              <w:rPr>
                <w:sz w:val="18"/>
                <w:szCs w:val="18"/>
              </w:rPr>
            </w:pPr>
          </w:p>
        </w:tc>
      </w:tr>
      <w:tr w:rsidR="005B3072" w14:paraId="6F789AFB" w14:textId="77777777" w:rsidTr="005E4CCE">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3D660168" w14:textId="77777777" w:rsidR="005B3072" w:rsidRDefault="00A46913">
            <w:pPr>
              <w:widowControl w:val="0"/>
              <w:rPr>
                <w:sz w:val="18"/>
                <w:szCs w:val="18"/>
              </w:rPr>
            </w:pPr>
            <w:r>
              <w:rPr>
                <w:sz w:val="18"/>
                <w:szCs w:val="18"/>
              </w:rPr>
              <w:t>Učestalost prikupljanja podataka</w:t>
            </w:r>
          </w:p>
        </w:tc>
        <w:tc>
          <w:tcPr>
            <w:tcW w:w="4077" w:type="pct"/>
            <w:gridSpan w:val="3"/>
            <w:tcBorders>
              <w:right w:val="single" w:sz="4" w:space="0" w:color="000000"/>
            </w:tcBorders>
            <w:vAlign w:val="center"/>
          </w:tcPr>
          <w:p w14:paraId="0D50CA96"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Jednom godišnje, u aprilu, nakon predaje i obrade poslovnih bilansa IKT kompanija.</w:t>
            </w:r>
          </w:p>
        </w:tc>
      </w:tr>
      <w:tr w:rsidR="005B3072" w14:paraId="623EB91F"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00DE7BC2" w14:textId="77777777" w:rsidR="005B3072" w:rsidRDefault="00A46913">
            <w:pPr>
              <w:widowControl w:val="0"/>
              <w:rPr>
                <w:sz w:val="18"/>
                <w:szCs w:val="18"/>
              </w:rPr>
            </w:pPr>
            <w:r>
              <w:rPr>
                <w:sz w:val="18"/>
                <w:szCs w:val="18"/>
              </w:rPr>
              <w:t>Učestalost izvještavanja o vrijednosti indikatora</w:t>
            </w:r>
          </w:p>
        </w:tc>
        <w:tc>
          <w:tcPr>
            <w:tcW w:w="4077" w:type="pct"/>
            <w:gridSpan w:val="3"/>
            <w:tcBorders>
              <w:right w:val="single" w:sz="4" w:space="0" w:color="000000"/>
            </w:tcBorders>
            <w:vAlign w:val="center"/>
          </w:tcPr>
          <w:p w14:paraId="723E7C98"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bookmarkStart w:id="81" w:name="_3vac5uf" w:colFirst="0" w:colLast="0"/>
            <w:bookmarkEnd w:id="81"/>
            <w:r>
              <w:rPr>
                <w:sz w:val="18"/>
                <w:szCs w:val="18"/>
              </w:rPr>
              <w:t>Na godišnjem nivou</w:t>
            </w:r>
          </w:p>
        </w:tc>
      </w:tr>
      <w:tr w:rsidR="005B3072" w14:paraId="02EFF6EA" w14:textId="77777777" w:rsidTr="005E4CCE">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1B50C0D7" w14:textId="77777777" w:rsidR="005B3072" w:rsidRDefault="00A46913">
            <w:pPr>
              <w:widowControl w:val="0"/>
              <w:rPr>
                <w:sz w:val="18"/>
                <w:szCs w:val="18"/>
              </w:rPr>
            </w:pPr>
            <w:r>
              <w:rPr>
                <w:sz w:val="18"/>
                <w:szCs w:val="18"/>
              </w:rPr>
              <w:t>Kratak opis metodologije izračunavanja podataka</w:t>
            </w:r>
          </w:p>
        </w:tc>
        <w:tc>
          <w:tcPr>
            <w:tcW w:w="4077" w:type="pct"/>
            <w:gridSpan w:val="3"/>
            <w:tcBorders>
              <w:right w:val="single" w:sz="4" w:space="0" w:color="000000"/>
            </w:tcBorders>
            <w:vAlign w:val="center"/>
          </w:tcPr>
          <w:p w14:paraId="0402C52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 obzirom na to da se ovaj indikator iskazuje u apsolutnoj vrijednosti - broj zaposlenih u aktivnim IKT kompanijama, nema procentnog računa. </w:t>
            </w:r>
          </w:p>
          <w:p w14:paraId="795178B3"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Izračunavanje se vrši na sledeći način:</w:t>
            </w:r>
          </w:p>
          <w:p w14:paraId="45905294" w14:textId="77777777" w:rsidR="005B3072" w:rsidRDefault="00A46913">
            <w:pPr>
              <w:widowControl w:val="0"/>
              <w:numPr>
                <w:ilvl w:val="0"/>
                <w:numId w:val="37"/>
              </w:numPr>
              <w:ind w:hanging="16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Obuhvat svih aktivnih kompanija razvrstanih u IKT sektoru pripadajuće ISIC kodove i analiza broja zaposlenih u njima.</w:t>
            </w:r>
          </w:p>
          <w:p w14:paraId="4CBCD2CE" w14:textId="77777777" w:rsidR="005B3072" w:rsidRDefault="00A46913">
            <w:pPr>
              <w:widowControl w:val="0"/>
              <w:numPr>
                <w:ilvl w:val="0"/>
                <w:numId w:val="37"/>
              </w:numPr>
              <w:ind w:hanging="166"/>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Određivanje ukupne sume sabiranjem broja zaposlenih u IKT kompanijama koje su razvrstane za svaki ISIC kod.</w:t>
            </w:r>
          </w:p>
        </w:tc>
      </w:tr>
      <w:tr w:rsidR="005B3072" w14:paraId="31BE5826"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4AE02CD3" w14:textId="77777777" w:rsidR="005B3072" w:rsidRDefault="00A46913">
            <w:pPr>
              <w:widowControl w:val="0"/>
              <w:rPr>
                <w:sz w:val="18"/>
                <w:szCs w:val="18"/>
              </w:rPr>
            </w:pPr>
            <w:r>
              <w:rPr>
                <w:sz w:val="18"/>
                <w:szCs w:val="18"/>
              </w:rPr>
              <w:t xml:space="preserve">Kontakt osoba </w:t>
            </w:r>
          </w:p>
        </w:tc>
        <w:tc>
          <w:tcPr>
            <w:tcW w:w="4077" w:type="pct"/>
            <w:gridSpan w:val="3"/>
            <w:tcBorders>
              <w:right w:val="single" w:sz="4" w:space="0" w:color="000000"/>
            </w:tcBorders>
            <w:vAlign w:val="center"/>
          </w:tcPr>
          <w:p w14:paraId="15246EE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Privredna komora Crne Gore, Odbor udruženja za IKT, Nada Rakočević</w:t>
            </w:r>
          </w:p>
        </w:tc>
      </w:tr>
      <w:tr w:rsidR="005B3072" w14:paraId="301B3124" w14:textId="77777777" w:rsidTr="005E4CCE">
        <w:tc>
          <w:tcPr>
            <w:cnfStyle w:val="001000000000" w:firstRow="0" w:lastRow="0" w:firstColumn="1" w:lastColumn="0" w:oddVBand="0" w:evenVBand="0" w:oddHBand="0" w:evenHBand="0" w:firstRowFirstColumn="0" w:firstRowLastColumn="0" w:lastRowFirstColumn="0" w:lastRowLastColumn="0"/>
            <w:tcW w:w="923" w:type="pct"/>
            <w:tcBorders>
              <w:left w:val="single" w:sz="4" w:space="0" w:color="000000"/>
            </w:tcBorders>
            <w:vAlign w:val="center"/>
          </w:tcPr>
          <w:p w14:paraId="6E487C4C" w14:textId="77777777" w:rsidR="005B3072" w:rsidRDefault="00A46913">
            <w:pPr>
              <w:widowControl w:val="0"/>
              <w:rPr>
                <w:sz w:val="18"/>
                <w:szCs w:val="18"/>
              </w:rPr>
            </w:pPr>
            <w:r>
              <w:rPr>
                <w:sz w:val="18"/>
                <w:szCs w:val="18"/>
              </w:rPr>
              <w:t>e-mail</w:t>
            </w:r>
          </w:p>
        </w:tc>
        <w:tc>
          <w:tcPr>
            <w:tcW w:w="4077" w:type="pct"/>
            <w:gridSpan w:val="3"/>
            <w:tcBorders>
              <w:right w:val="single" w:sz="4" w:space="0" w:color="000000"/>
            </w:tcBorders>
            <w:vAlign w:val="center"/>
          </w:tcPr>
          <w:p w14:paraId="6DD56F49" w14:textId="77777777" w:rsidR="005B3072" w:rsidRDefault="00F348F7">
            <w:pPr>
              <w:widowControl w:val="0"/>
              <w:cnfStyle w:val="000000000000" w:firstRow="0" w:lastRow="0" w:firstColumn="0" w:lastColumn="0" w:oddVBand="0" w:evenVBand="0" w:oddHBand="0" w:evenHBand="0" w:firstRowFirstColumn="0" w:firstRowLastColumn="0" w:lastRowFirstColumn="0" w:lastRowLastColumn="0"/>
              <w:rPr>
                <w:sz w:val="18"/>
                <w:szCs w:val="18"/>
              </w:rPr>
            </w:pPr>
            <w:hyperlink r:id="rId50">
              <w:r w:rsidR="00A46913">
                <w:rPr>
                  <w:color w:val="0563C1"/>
                  <w:sz w:val="18"/>
                  <w:szCs w:val="18"/>
                  <w:u w:val="single"/>
                </w:rPr>
                <w:t>nrakocevic@pkcg.me</w:t>
              </w:r>
            </w:hyperlink>
            <w:r w:rsidR="00A46913">
              <w:rPr>
                <w:sz w:val="18"/>
                <w:szCs w:val="18"/>
              </w:rPr>
              <w:t xml:space="preserve"> </w:t>
            </w:r>
          </w:p>
        </w:tc>
      </w:tr>
      <w:tr w:rsidR="005B3072" w14:paraId="50A389D8"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vMerge w:val="restart"/>
            <w:tcBorders>
              <w:left w:val="single" w:sz="4" w:space="0" w:color="000000"/>
            </w:tcBorders>
            <w:vAlign w:val="center"/>
          </w:tcPr>
          <w:p w14:paraId="1E390207" w14:textId="77777777" w:rsidR="005B3072" w:rsidRDefault="00A46913">
            <w:pPr>
              <w:widowControl w:val="0"/>
              <w:rPr>
                <w:sz w:val="18"/>
                <w:szCs w:val="18"/>
              </w:rPr>
            </w:pPr>
            <w:r>
              <w:rPr>
                <w:sz w:val="18"/>
                <w:szCs w:val="18"/>
              </w:rPr>
              <w:t>Informacija o trendu i početnoj vrijednosti</w:t>
            </w:r>
          </w:p>
        </w:tc>
        <w:tc>
          <w:tcPr>
            <w:tcW w:w="489" w:type="pct"/>
            <w:vAlign w:val="center"/>
          </w:tcPr>
          <w:p w14:paraId="0C0F991E"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08" w:type="pct"/>
            <w:vAlign w:val="center"/>
          </w:tcPr>
          <w:p w14:paraId="4D71CDD1"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(2020.)</w:t>
            </w:r>
          </w:p>
        </w:tc>
        <w:tc>
          <w:tcPr>
            <w:tcW w:w="2780" w:type="pct"/>
            <w:tcBorders>
              <w:right w:val="single" w:sz="4" w:space="0" w:color="000000"/>
            </w:tcBorders>
            <w:vAlign w:val="center"/>
          </w:tcPr>
          <w:p w14:paraId="21F1B46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Trend (godina)</w:t>
            </w:r>
          </w:p>
        </w:tc>
      </w:tr>
      <w:tr w:rsidR="005B3072" w14:paraId="1BC60DE8" w14:textId="77777777" w:rsidTr="005E4CCE">
        <w:tc>
          <w:tcPr>
            <w:cnfStyle w:val="001000000000" w:firstRow="0" w:lastRow="0" w:firstColumn="1" w:lastColumn="0" w:oddVBand="0" w:evenVBand="0" w:oddHBand="0" w:evenHBand="0" w:firstRowFirstColumn="0" w:firstRowLastColumn="0" w:lastRowFirstColumn="0" w:lastRowLastColumn="0"/>
            <w:tcW w:w="923" w:type="pct"/>
            <w:vMerge/>
            <w:tcBorders>
              <w:left w:val="single" w:sz="4" w:space="0" w:color="000000"/>
            </w:tcBorders>
            <w:vAlign w:val="center"/>
          </w:tcPr>
          <w:p w14:paraId="2CEC11EA" w14:textId="77777777" w:rsidR="005B3072" w:rsidRDefault="005B3072">
            <w:pPr>
              <w:widowControl w:val="0"/>
              <w:pBdr>
                <w:top w:val="nil"/>
                <w:left w:val="nil"/>
                <w:bottom w:val="nil"/>
                <w:right w:val="nil"/>
                <w:between w:val="nil"/>
              </w:pBdr>
              <w:spacing w:line="276" w:lineRule="auto"/>
              <w:rPr>
                <w:sz w:val="18"/>
                <w:szCs w:val="18"/>
              </w:rPr>
            </w:pPr>
          </w:p>
        </w:tc>
        <w:tc>
          <w:tcPr>
            <w:tcW w:w="489" w:type="pct"/>
            <w:vAlign w:val="center"/>
          </w:tcPr>
          <w:p w14:paraId="77780DC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3589" w:type="pct"/>
            <w:gridSpan w:val="2"/>
            <w:tcBorders>
              <w:right w:val="single" w:sz="4" w:space="0" w:color="000000"/>
            </w:tcBorders>
            <w:vAlign w:val="center"/>
          </w:tcPr>
          <w:p w14:paraId="53B682D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4.441</w:t>
            </w:r>
          </w:p>
        </w:tc>
      </w:tr>
      <w:tr w:rsidR="005B3072" w14:paraId="19719583" w14:textId="77777777" w:rsidTr="005E4C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vMerge w:val="restart"/>
            <w:tcBorders>
              <w:left w:val="single" w:sz="4" w:space="0" w:color="000000"/>
            </w:tcBorders>
            <w:vAlign w:val="center"/>
          </w:tcPr>
          <w:p w14:paraId="18103FAC" w14:textId="77777777" w:rsidR="005B3072" w:rsidRDefault="00A46913">
            <w:pPr>
              <w:widowControl w:val="0"/>
              <w:rPr>
                <w:sz w:val="18"/>
                <w:szCs w:val="18"/>
              </w:rPr>
            </w:pPr>
            <w:r>
              <w:rPr>
                <w:sz w:val="18"/>
                <w:szCs w:val="18"/>
              </w:rPr>
              <w:t>Informacija o ciljnim vrijednostima</w:t>
            </w:r>
          </w:p>
        </w:tc>
        <w:tc>
          <w:tcPr>
            <w:tcW w:w="489" w:type="pct"/>
            <w:vAlign w:val="center"/>
          </w:tcPr>
          <w:p w14:paraId="42675A6A"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Godina</w:t>
            </w:r>
          </w:p>
        </w:tc>
        <w:tc>
          <w:tcPr>
            <w:tcW w:w="808" w:type="pct"/>
            <w:tcBorders>
              <w:right w:val="single" w:sz="4" w:space="0" w:color="000000"/>
            </w:tcBorders>
            <w:vAlign w:val="center"/>
          </w:tcPr>
          <w:p w14:paraId="12045F70"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2024</w:t>
            </w:r>
          </w:p>
        </w:tc>
        <w:tc>
          <w:tcPr>
            <w:tcW w:w="2780" w:type="pct"/>
            <w:tcBorders>
              <w:left w:val="single" w:sz="4" w:space="0" w:color="000000"/>
              <w:right w:val="single" w:sz="4" w:space="0" w:color="000000"/>
            </w:tcBorders>
            <w:vAlign w:val="center"/>
          </w:tcPr>
          <w:p w14:paraId="4CCE17BD" w14:textId="77777777" w:rsidR="005B3072" w:rsidRDefault="00A46913">
            <w:pPr>
              <w:widowControl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2026</w:t>
            </w:r>
          </w:p>
        </w:tc>
      </w:tr>
      <w:tr w:rsidR="005B3072" w14:paraId="46AB4602" w14:textId="77777777" w:rsidTr="005E4CCE">
        <w:tc>
          <w:tcPr>
            <w:cnfStyle w:val="001000000000" w:firstRow="0" w:lastRow="0" w:firstColumn="1" w:lastColumn="0" w:oddVBand="0" w:evenVBand="0" w:oddHBand="0" w:evenHBand="0" w:firstRowFirstColumn="0" w:firstRowLastColumn="0" w:lastRowFirstColumn="0" w:lastRowLastColumn="0"/>
            <w:tcW w:w="923" w:type="pct"/>
            <w:vMerge/>
            <w:tcBorders>
              <w:left w:val="single" w:sz="4" w:space="0" w:color="000000"/>
            </w:tcBorders>
            <w:vAlign w:val="center"/>
          </w:tcPr>
          <w:p w14:paraId="358192FD" w14:textId="77777777" w:rsidR="005B3072" w:rsidRDefault="005B3072">
            <w:pPr>
              <w:widowControl w:val="0"/>
              <w:pBdr>
                <w:top w:val="nil"/>
                <w:left w:val="nil"/>
                <w:bottom w:val="nil"/>
                <w:right w:val="nil"/>
                <w:between w:val="nil"/>
              </w:pBdr>
              <w:spacing w:line="276" w:lineRule="auto"/>
              <w:rPr>
                <w:sz w:val="18"/>
                <w:szCs w:val="18"/>
              </w:rPr>
            </w:pPr>
          </w:p>
        </w:tc>
        <w:tc>
          <w:tcPr>
            <w:tcW w:w="489" w:type="pct"/>
            <w:vAlign w:val="center"/>
          </w:tcPr>
          <w:p w14:paraId="46F0C9EE"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Vrijednost</w:t>
            </w:r>
          </w:p>
        </w:tc>
        <w:tc>
          <w:tcPr>
            <w:tcW w:w="808" w:type="pct"/>
            <w:tcBorders>
              <w:right w:val="single" w:sz="4" w:space="0" w:color="000000"/>
            </w:tcBorders>
            <w:vAlign w:val="center"/>
          </w:tcPr>
          <w:p w14:paraId="1E7F7705" w14:textId="77777777" w:rsidR="005B3072" w:rsidRDefault="00A46913">
            <w:pPr>
              <w:widowControl w:val="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4.885</w:t>
            </w:r>
          </w:p>
        </w:tc>
        <w:tc>
          <w:tcPr>
            <w:tcW w:w="2780" w:type="pct"/>
            <w:tcBorders>
              <w:right w:val="single" w:sz="4" w:space="0" w:color="000000"/>
            </w:tcBorders>
            <w:vAlign w:val="center"/>
          </w:tcPr>
          <w:p w14:paraId="1B05C034" w14:textId="77777777" w:rsidR="005B3072" w:rsidRDefault="00A46913">
            <w:pPr>
              <w:widowControl w:val="0"/>
              <w:ind w:left="5"/>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5.500</w:t>
            </w:r>
          </w:p>
        </w:tc>
      </w:tr>
    </w:tbl>
    <w:p w14:paraId="33A9A0A1" w14:textId="77777777" w:rsidR="005B3072" w:rsidRDefault="005B3072">
      <w:pPr>
        <w:spacing w:before="240" w:after="40"/>
        <w:rPr>
          <w:rFonts w:ascii="Sitka Text" w:eastAsia="Sitka Text" w:hAnsi="Sitka Text" w:cs="Sitka Text"/>
          <w:b/>
          <w:color w:val="1F4E79"/>
          <w:sz w:val="24"/>
          <w:szCs w:val="24"/>
        </w:rPr>
      </w:pPr>
    </w:p>
    <w:p w14:paraId="0D841B88" w14:textId="77777777" w:rsidR="005B3072" w:rsidRDefault="005B3072">
      <w:pPr>
        <w:spacing w:before="240" w:after="40"/>
        <w:rPr>
          <w:rFonts w:ascii="Sitka Text" w:eastAsia="Sitka Text" w:hAnsi="Sitka Text" w:cs="Sitka Text"/>
          <w:b/>
          <w:color w:val="1F4E79"/>
          <w:sz w:val="24"/>
          <w:szCs w:val="24"/>
        </w:rPr>
      </w:pPr>
    </w:p>
    <w:p w14:paraId="2020D81F" w14:textId="77777777" w:rsidR="005B3072" w:rsidRDefault="005B3072">
      <w:pPr>
        <w:spacing w:before="240" w:after="40"/>
        <w:rPr>
          <w:rFonts w:ascii="Sitka Text" w:eastAsia="Sitka Text" w:hAnsi="Sitka Text" w:cs="Sitka Text"/>
          <w:b/>
          <w:color w:val="1F4E79"/>
          <w:sz w:val="24"/>
          <w:szCs w:val="24"/>
        </w:rPr>
      </w:pPr>
    </w:p>
    <w:p w14:paraId="270FDB14" w14:textId="77777777" w:rsidR="005E4CCE" w:rsidRDefault="005E4CCE">
      <w:pPr>
        <w:spacing w:before="240" w:after="40"/>
        <w:rPr>
          <w:rFonts w:ascii="Sitka Text" w:eastAsia="Sitka Text" w:hAnsi="Sitka Text" w:cs="Sitka Text"/>
          <w:b/>
          <w:color w:val="1F4E79"/>
          <w:sz w:val="24"/>
          <w:szCs w:val="24"/>
        </w:rPr>
        <w:sectPr w:rsidR="005E4CCE" w:rsidSect="005E4CCE">
          <w:headerReference w:type="first" r:id="rId51"/>
          <w:footerReference w:type="first" r:id="rId52"/>
          <w:pgSz w:w="12240" w:h="15840"/>
          <w:pgMar w:top="1276" w:right="630" w:bottom="1440" w:left="1140" w:header="720" w:footer="624" w:gutter="0"/>
          <w:cols w:space="720"/>
          <w:titlePg/>
          <w:docGrid w:linePitch="299"/>
        </w:sectPr>
      </w:pPr>
    </w:p>
    <w:p w14:paraId="2654627D" w14:textId="77777777" w:rsidR="005B3072" w:rsidRDefault="004750C4">
      <w:pPr>
        <w:spacing w:before="240" w:after="40"/>
        <w:rPr>
          <w:rFonts w:ascii="Sitka Text" w:eastAsia="Sitka Text" w:hAnsi="Sitka Text" w:cs="Sitka Text"/>
          <w:b/>
          <w:color w:val="1F4E79"/>
          <w:sz w:val="24"/>
          <w:szCs w:val="24"/>
        </w:rPr>
      </w:pPr>
      <w:r>
        <w:rPr>
          <w:rFonts w:ascii="Sitka Text" w:eastAsia="Sitka Text" w:hAnsi="Sitka Text" w:cs="Sitka Text"/>
          <w:b/>
          <w:color w:val="1F4E79"/>
          <w:sz w:val="24"/>
          <w:szCs w:val="24"/>
        </w:rPr>
        <w:t>Šema infrastrukture</w:t>
      </w:r>
    </w:p>
    <w:p w14:paraId="0E530F2F" w14:textId="77777777" w:rsidR="00B66795" w:rsidRDefault="004750C4">
      <w:pPr>
        <w:spacing w:before="240" w:after="40"/>
        <w:rPr>
          <w:rFonts w:ascii="Sitka Text" w:eastAsia="Sitka Text" w:hAnsi="Sitka Text" w:cs="Sitka Text"/>
          <w:b/>
          <w:color w:val="1F4E79"/>
          <w:sz w:val="24"/>
          <w:szCs w:val="24"/>
        </w:rPr>
      </w:pPr>
      <w:r w:rsidRPr="004750C4">
        <w:rPr>
          <w:rFonts w:ascii="Sitka Text" w:eastAsia="Sitka Text" w:hAnsi="Sitka Text" w:cs="Sitka Text"/>
          <w:b/>
          <w:noProof/>
          <w:color w:val="1F4E79"/>
          <w:sz w:val="24"/>
          <w:szCs w:val="24"/>
        </w:rPr>
        <w:drawing>
          <wp:inline distT="0" distB="0" distL="0" distR="0" wp14:anchorId="4660C37E" wp14:editId="0938A5B9">
            <wp:extent cx="6096528" cy="34292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6528" cy="3429297"/>
                    </a:xfrm>
                    <a:prstGeom prst="rect">
                      <a:avLst/>
                    </a:prstGeom>
                  </pic:spPr>
                </pic:pic>
              </a:graphicData>
            </a:graphic>
          </wp:inline>
        </w:drawing>
      </w:r>
    </w:p>
    <w:p w14:paraId="237A3346" w14:textId="77777777" w:rsidR="00B66795" w:rsidRDefault="00B66795">
      <w:pPr>
        <w:spacing w:before="240" w:after="40"/>
        <w:rPr>
          <w:rFonts w:ascii="Sitka Text" w:eastAsia="Sitka Text" w:hAnsi="Sitka Text" w:cs="Sitka Text"/>
          <w:b/>
          <w:color w:val="1F4E79"/>
          <w:sz w:val="24"/>
          <w:szCs w:val="24"/>
        </w:rPr>
      </w:pPr>
    </w:p>
    <w:p w14:paraId="220DDCEC" w14:textId="77777777" w:rsidR="00B66795" w:rsidRDefault="00B66795">
      <w:pPr>
        <w:spacing w:before="240" w:after="40"/>
        <w:rPr>
          <w:rFonts w:ascii="Sitka Text" w:eastAsia="Sitka Text" w:hAnsi="Sitka Text" w:cs="Sitka Text"/>
          <w:b/>
          <w:color w:val="1F4E79"/>
          <w:sz w:val="24"/>
          <w:szCs w:val="24"/>
        </w:rPr>
      </w:pPr>
    </w:p>
    <w:p w14:paraId="08E11112" w14:textId="77777777" w:rsidR="00B66795" w:rsidRDefault="00B66795">
      <w:pPr>
        <w:spacing w:before="240" w:after="40"/>
        <w:rPr>
          <w:rFonts w:ascii="Sitka Text" w:eastAsia="Sitka Text" w:hAnsi="Sitka Text" w:cs="Sitka Text"/>
          <w:b/>
          <w:color w:val="1F4E79"/>
          <w:sz w:val="24"/>
          <w:szCs w:val="24"/>
        </w:rPr>
      </w:pPr>
    </w:p>
    <w:p w14:paraId="3D589005" w14:textId="77777777" w:rsidR="00B66795" w:rsidRDefault="00B66795">
      <w:pPr>
        <w:spacing w:before="240" w:after="40"/>
        <w:rPr>
          <w:rFonts w:ascii="Sitka Text" w:eastAsia="Sitka Text" w:hAnsi="Sitka Text" w:cs="Sitka Text"/>
          <w:b/>
          <w:color w:val="1F4E79"/>
          <w:sz w:val="24"/>
          <w:szCs w:val="24"/>
        </w:rPr>
      </w:pPr>
    </w:p>
    <w:p w14:paraId="0999D74D" w14:textId="77777777" w:rsidR="00B66795" w:rsidRDefault="00B66795">
      <w:pPr>
        <w:spacing w:before="240" w:after="40"/>
        <w:rPr>
          <w:rFonts w:ascii="Sitka Text" w:eastAsia="Sitka Text" w:hAnsi="Sitka Text" w:cs="Sitka Text"/>
          <w:b/>
          <w:color w:val="1F4E79"/>
          <w:sz w:val="24"/>
          <w:szCs w:val="24"/>
        </w:rPr>
      </w:pPr>
    </w:p>
    <w:p w14:paraId="6DE56363" w14:textId="77777777" w:rsidR="00B66795" w:rsidRDefault="00B66795">
      <w:pPr>
        <w:spacing w:before="240" w:after="40"/>
        <w:rPr>
          <w:rFonts w:ascii="Sitka Text" w:eastAsia="Sitka Text" w:hAnsi="Sitka Text" w:cs="Sitka Text"/>
          <w:b/>
          <w:color w:val="1F4E79"/>
          <w:sz w:val="24"/>
          <w:szCs w:val="24"/>
        </w:rPr>
      </w:pPr>
    </w:p>
    <w:p w14:paraId="1422B292" w14:textId="77777777" w:rsidR="00B66795" w:rsidRDefault="00B66795">
      <w:pPr>
        <w:spacing w:before="240" w:after="40"/>
        <w:rPr>
          <w:rFonts w:ascii="Sitka Text" w:eastAsia="Sitka Text" w:hAnsi="Sitka Text" w:cs="Sitka Text"/>
          <w:b/>
          <w:color w:val="1F4E79"/>
          <w:sz w:val="24"/>
          <w:szCs w:val="24"/>
        </w:rPr>
      </w:pPr>
    </w:p>
    <w:p w14:paraId="12294A35" w14:textId="77777777" w:rsidR="005B3072" w:rsidRDefault="005B3072">
      <w:pPr>
        <w:spacing w:before="240" w:after="40"/>
        <w:rPr>
          <w:rFonts w:ascii="Sitka Text" w:eastAsia="Sitka Text" w:hAnsi="Sitka Text" w:cs="Sitka Text"/>
          <w:b/>
          <w:color w:val="1F4E79"/>
          <w:sz w:val="24"/>
          <w:szCs w:val="24"/>
        </w:rPr>
      </w:pPr>
    </w:p>
    <w:p w14:paraId="55108B73" w14:textId="77777777" w:rsidR="005B3072" w:rsidRDefault="005B3072">
      <w:pPr>
        <w:spacing w:before="240" w:after="40"/>
        <w:rPr>
          <w:rFonts w:ascii="Sitka Text" w:eastAsia="Sitka Text" w:hAnsi="Sitka Text" w:cs="Sitka Text"/>
          <w:b/>
          <w:color w:val="1F4E79"/>
          <w:sz w:val="24"/>
          <w:szCs w:val="24"/>
        </w:rPr>
      </w:pPr>
    </w:p>
    <w:p w14:paraId="76C29D74" w14:textId="77777777" w:rsidR="0042366A" w:rsidRDefault="0042366A">
      <w:pPr>
        <w:spacing w:before="240" w:after="40"/>
        <w:rPr>
          <w:rFonts w:ascii="Sitka Text" w:eastAsia="Sitka Text" w:hAnsi="Sitka Text" w:cs="Sitka Text"/>
          <w:b/>
          <w:color w:val="1F4E79"/>
          <w:sz w:val="24"/>
          <w:szCs w:val="24"/>
        </w:rPr>
      </w:pPr>
    </w:p>
    <w:p w14:paraId="231F73D0" w14:textId="77777777" w:rsidR="0042366A" w:rsidRDefault="0042366A">
      <w:pPr>
        <w:spacing w:before="240" w:after="40"/>
        <w:rPr>
          <w:rFonts w:ascii="Sitka Text" w:eastAsia="Sitka Text" w:hAnsi="Sitka Text" w:cs="Sitka Text"/>
          <w:b/>
          <w:color w:val="1F4E79"/>
          <w:sz w:val="24"/>
          <w:szCs w:val="24"/>
        </w:rPr>
      </w:pPr>
    </w:p>
    <w:p w14:paraId="08AAB208" w14:textId="77777777" w:rsidR="00B66795" w:rsidRDefault="00B66795">
      <w:pPr>
        <w:spacing w:before="240" w:after="40"/>
        <w:rPr>
          <w:rFonts w:ascii="Sitka Text" w:eastAsia="Sitka Text" w:hAnsi="Sitka Text" w:cs="Sitka Text"/>
          <w:b/>
          <w:color w:val="1F4E79"/>
          <w:sz w:val="24"/>
          <w:szCs w:val="24"/>
        </w:rPr>
        <w:sectPr w:rsidR="00B66795" w:rsidSect="005E4CCE">
          <w:headerReference w:type="first" r:id="rId54"/>
          <w:pgSz w:w="12240" w:h="15840"/>
          <w:pgMar w:top="1276" w:right="630" w:bottom="1440" w:left="1140" w:header="720" w:footer="624" w:gutter="0"/>
          <w:cols w:space="720"/>
          <w:titlePg/>
          <w:docGrid w:linePitch="299"/>
        </w:sectPr>
      </w:pPr>
    </w:p>
    <w:p w14:paraId="177C8A9E" w14:textId="77777777" w:rsidR="005B3072" w:rsidRDefault="00A46913">
      <w:pPr>
        <w:spacing w:before="240" w:after="40"/>
        <w:rPr>
          <w:rFonts w:ascii="Arial" w:eastAsia="Arial" w:hAnsi="Arial" w:cs="Arial"/>
          <w:b/>
          <w:sz w:val="28"/>
          <w:szCs w:val="28"/>
        </w:rPr>
      </w:pPr>
      <w:r>
        <w:rPr>
          <w:rFonts w:ascii="Sitka Text" w:eastAsia="Sitka Text" w:hAnsi="Sitka Text" w:cs="Sitka Text"/>
          <w:b/>
          <w:color w:val="1F4E79"/>
          <w:sz w:val="24"/>
          <w:szCs w:val="24"/>
        </w:rPr>
        <w:t xml:space="preserve">Ankes </w:t>
      </w:r>
      <w:r w:rsidR="004750C4">
        <w:rPr>
          <w:rFonts w:ascii="Sitka Text" w:eastAsia="Sitka Text" w:hAnsi="Sitka Text" w:cs="Sitka Text"/>
          <w:b/>
          <w:color w:val="1F4E79"/>
          <w:sz w:val="24"/>
          <w:szCs w:val="24"/>
        </w:rPr>
        <w:t>3: Izvod iz Strategije reforme javne uprave 2022-2026</w:t>
      </w:r>
      <w:r>
        <w:rPr>
          <w:rFonts w:ascii="Sitka Text" w:eastAsia="Sitka Text" w:hAnsi="Sitka Text" w:cs="Sitka Text"/>
          <w:b/>
          <w:color w:val="1F4E79"/>
          <w:sz w:val="24"/>
          <w:szCs w:val="24"/>
        </w:rPr>
        <w:t xml:space="preserve">  </w:t>
      </w:r>
    </w:p>
    <w:tbl>
      <w:tblPr>
        <w:tblStyle w:val="affe"/>
        <w:tblW w:w="13410" w:type="dxa"/>
        <w:tblBorders>
          <w:top w:val="nil"/>
          <w:left w:val="nil"/>
          <w:bottom w:val="nil"/>
          <w:right w:val="nil"/>
          <w:insideH w:val="nil"/>
          <w:insideV w:val="nil"/>
        </w:tblBorders>
        <w:tblLayout w:type="fixed"/>
        <w:tblLook w:val="0600" w:firstRow="0" w:lastRow="0" w:firstColumn="0" w:lastColumn="0" w:noHBand="1" w:noVBand="1"/>
      </w:tblPr>
      <w:tblGrid>
        <w:gridCol w:w="450"/>
        <w:gridCol w:w="2895"/>
        <w:gridCol w:w="3180"/>
        <w:gridCol w:w="1170"/>
        <w:gridCol w:w="1320"/>
        <w:gridCol w:w="1335"/>
        <w:gridCol w:w="1635"/>
        <w:gridCol w:w="1425"/>
      </w:tblGrid>
      <w:tr w:rsidR="005B3072" w14:paraId="373A7DE7" w14:textId="77777777">
        <w:trPr>
          <w:trHeight w:val="810"/>
        </w:trPr>
        <w:tc>
          <w:tcPr>
            <w:tcW w:w="3345" w:type="dxa"/>
            <w:gridSpan w:val="2"/>
            <w:tcBorders>
              <w:top w:val="single" w:sz="8" w:space="0" w:color="9CC2E5"/>
              <w:left w:val="single" w:sz="8" w:space="0" w:color="9CC2E5"/>
              <w:bottom w:val="single" w:sz="8" w:space="0" w:color="9CC2E5"/>
              <w:right w:val="single" w:sz="8" w:space="0" w:color="9CC2E5"/>
            </w:tcBorders>
            <w:shd w:val="clear" w:color="auto" w:fill="B4C6E7"/>
            <w:tcMar>
              <w:top w:w="100" w:type="dxa"/>
              <w:left w:w="100" w:type="dxa"/>
              <w:bottom w:w="100" w:type="dxa"/>
              <w:right w:w="100" w:type="dxa"/>
            </w:tcMar>
          </w:tcPr>
          <w:p w14:paraId="1FDE7B3C" w14:textId="77777777" w:rsidR="005B3072" w:rsidRDefault="00A46913">
            <w:pPr>
              <w:spacing w:before="240" w:after="40"/>
              <w:rPr>
                <w:rFonts w:ascii="Arial" w:eastAsia="Arial" w:hAnsi="Arial" w:cs="Arial"/>
                <w:b/>
                <w:color w:val="1F4E79"/>
                <w:sz w:val="24"/>
                <w:szCs w:val="24"/>
              </w:rPr>
            </w:pPr>
            <w:r>
              <w:rPr>
                <w:rFonts w:ascii="Arial" w:eastAsia="Arial" w:hAnsi="Arial" w:cs="Arial"/>
                <w:b/>
                <w:color w:val="1F4E79"/>
                <w:sz w:val="24"/>
                <w:szCs w:val="24"/>
              </w:rPr>
              <w:t>OBLAST</w:t>
            </w:r>
          </w:p>
        </w:tc>
        <w:tc>
          <w:tcPr>
            <w:tcW w:w="10065" w:type="dxa"/>
            <w:gridSpan w:val="6"/>
            <w:tcBorders>
              <w:top w:val="single" w:sz="8" w:space="0" w:color="9CC2E5"/>
              <w:left w:val="nil"/>
              <w:bottom w:val="single" w:sz="8" w:space="0" w:color="9CC2E5"/>
              <w:right w:val="single" w:sz="8" w:space="0" w:color="9CC2E5"/>
            </w:tcBorders>
            <w:shd w:val="clear" w:color="auto" w:fill="B4C6E7"/>
            <w:tcMar>
              <w:top w:w="100" w:type="dxa"/>
              <w:left w:w="100" w:type="dxa"/>
              <w:bottom w:w="100" w:type="dxa"/>
              <w:right w:w="100" w:type="dxa"/>
            </w:tcMar>
          </w:tcPr>
          <w:p w14:paraId="352A6A3D" w14:textId="77777777" w:rsidR="005B3072" w:rsidRDefault="00A46913">
            <w:pPr>
              <w:spacing w:before="240" w:after="40"/>
              <w:rPr>
                <w:rFonts w:ascii="Arial" w:eastAsia="Arial" w:hAnsi="Arial" w:cs="Arial"/>
                <w:b/>
                <w:color w:val="1F4E79"/>
                <w:sz w:val="24"/>
                <w:szCs w:val="24"/>
              </w:rPr>
            </w:pPr>
            <w:r>
              <w:rPr>
                <w:rFonts w:ascii="Arial" w:eastAsia="Arial" w:hAnsi="Arial" w:cs="Arial"/>
                <w:b/>
                <w:color w:val="1F4E79"/>
                <w:sz w:val="24"/>
                <w:szCs w:val="24"/>
              </w:rPr>
              <w:t>Unapređenje digitalnih znanja i vještina u javnoj upravi kao i osnaživanje javnih službenika u njihovoj edukaciji i daljem karijernom razvoju</w:t>
            </w:r>
          </w:p>
        </w:tc>
      </w:tr>
      <w:tr w:rsidR="005B3072" w14:paraId="5BAC2215" w14:textId="77777777">
        <w:trPr>
          <w:trHeight w:val="1320"/>
        </w:trPr>
        <w:tc>
          <w:tcPr>
            <w:tcW w:w="3345" w:type="dxa"/>
            <w:gridSpan w:val="2"/>
            <w:tcBorders>
              <w:top w:val="nil"/>
              <w:left w:val="single" w:sz="8" w:space="0" w:color="9CC2E5"/>
              <w:bottom w:val="single" w:sz="8" w:space="0" w:color="9CC2E5"/>
              <w:right w:val="single" w:sz="8" w:space="0" w:color="9CC2E5"/>
            </w:tcBorders>
            <w:shd w:val="clear" w:color="auto" w:fill="F7CBAC"/>
            <w:tcMar>
              <w:top w:w="100" w:type="dxa"/>
              <w:left w:w="100" w:type="dxa"/>
              <w:bottom w:w="100" w:type="dxa"/>
              <w:right w:w="100" w:type="dxa"/>
            </w:tcMar>
          </w:tcPr>
          <w:p w14:paraId="59FCD54B"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Aktivnost koja utiče na realizaciju Operativnog cilja</w:t>
            </w:r>
          </w:p>
        </w:tc>
        <w:tc>
          <w:tcPr>
            <w:tcW w:w="3180" w:type="dxa"/>
            <w:tcBorders>
              <w:top w:val="nil"/>
              <w:left w:val="nil"/>
              <w:bottom w:val="single" w:sz="8" w:space="0" w:color="9CC2E5"/>
              <w:right w:val="single" w:sz="8" w:space="0" w:color="9CC2E5"/>
            </w:tcBorders>
            <w:shd w:val="clear" w:color="auto" w:fill="F7CBAC"/>
            <w:tcMar>
              <w:top w:w="100" w:type="dxa"/>
              <w:left w:w="100" w:type="dxa"/>
              <w:bottom w:w="100" w:type="dxa"/>
              <w:right w:w="100" w:type="dxa"/>
            </w:tcMar>
          </w:tcPr>
          <w:p w14:paraId="538F77EF"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Indikator rezultata</w:t>
            </w:r>
          </w:p>
        </w:tc>
        <w:tc>
          <w:tcPr>
            <w:tcW w:w="1170" w:type="dxa"/>
            <w:tcBorders>
              <w:top w:val="nil"/>
              <w:left w:val="nil"/>
              <w:bottom w:val="single" w:sz="8" w:space="0" w:color="9CC2E5"/>
              <w:right w:val="single" w:sz="8" w:space="0" w:color="9CC2E5"/>
            </w:tcBorders>
            <w:shd w:val="clear" w:color="auto" w:fill="F7CBAC"/>
            <w:tcMar>
              <w:top w:w="100" w:type="dxa"/>
              <w:left w:w="100" w:type="dxa"/>
              <w:bottom w:w="100" w:type="dxa"/>
              <w:right w:w="100" w:type="dxa"/>
            </w:tcMar>
          </w:tcPr>
          <w:p w14:paraId="41F8F5EC"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Nadležne institucije</w:t>
            </w:r>
          </w:p>
        </w:tc>
        <w:tc>
          <w:tcPr>
            <w:tcW w:w="1320" w:type="dxa"/>
            <w:tcBorders>
              <w:top w:val="nil"/>
              <w:left w:val="nil"/>
              <w:bottom w:val="single" w:sz="8" w:space="0" w:color="9CC2E5"/>
              <w:right w:val="single" w:sz="8" w:space="0" w:color="9CC2E5"/>
            </w:tcBorders>
            <w:shd w:val="clear" w:color="auto" w:fill="F7CBAC"/>
            <w:tcMar>
              <w:top w:w="100" w:type="dxa"/>
              <w:left w:w="100" w:type="dxa"/>
              <w:bottom w:w="100" w:type="dxa"/>
              <w:right w:w="100" w:type="dxa"/>
            </w:tcMar>
          </w:tcPr>
          <w:p w14:paraId="06FF405F"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Datum početka aktivnosti</w:t>
            </w:r>
          </w:p>
        </w:tc>
        <w:tc>
          <w:tcPr>
            <w:tcW w:w="1335" w:type="dxa"/>
            <w:tcBorders>
              <w:top w:val="nil"/>
              <w:left w:val="nil"/>
              <w:bottom w:val="single" w:sz="8" w:space="0" w:color="9CC2E5"/>
              <w:right w:val="single" w:sz="8" w:space="0" w:color="9CC2E5"/>
            </w:tcBorders>
            <w:shd w:val="clear" w:color="auto" w:fill="F7CBAC"/>
            <w:tcMar>
              <w:top w:w="100" w:type="dxa"/>
              <w:left w:w="100" w:type="dxa"/>
              <w:bottom w:w="100" w:type="dxa"/>
              <w:right w:w="100" w:type="dxa"/>
            </w:tcMar>
          </w:tcPr>
          <w:p w14:paraId="095523A1"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Datum završetka aktivnosti</w:t>
            </w:r>
          </w:p>
        </w:tc>
        <w:tc>
          <w:tcPr>
            <w:tcW w:w="1635" w:type="dxa"/>
            <w:tcBorders>
              <w:top w:val="nil"/>
              <w:left w:val="nil"/>
              <w:bottom w:val="single" w:sz="8" w:space="0" w:color="9CC2E5"/>
              <w:right w:val="single" w:sz="8" w:space="0" w:color="9CC2E5"/>
            </w:tcBorders>
            <w:shd w:val="clear" w:color="auto" w:fill="F7CBAC"/>
            <w:tcMar>
              <w:top w:w="100" w:type="dxa"/>
              <w:left w:w="100" w:type="dxa"/>
              <w:bottom w:w="100" w:type="dxa"/>
              <w:right w:w="100" w:type="dxa"/>
            </w:tcMar>
          </w:tcPr>
          <w:p w14:paraId="224483EC"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Sredstva planirana za sprovođenje aktivnosti</w:t>
            </w:r>
          </w:p>
        </w:tc>
        <w:tc>
          <w:tcPr>
            <w:tcW w:w="1425" w:type="dxa"/>
            <w:tcBorders>
              <w:top w:val="nil"/>
              <w:left w:val="nil"/>
              <w:bottom w:val="single" w:sz="8" w:space="0" w:color="9CC2E5"/>
              <w:right w:val="single" w:sz="8" w:space="0" w:color="9CC2E5"/>
            </w:tcBorders>
            <w:shd w:val="clear" w:color="auto" w:fill="F7CBAC"/>
            <w:tcMar>
              <w:top w:w="100" w:type="dxa"/>
              <w:left w:w="100" w:type="dxa"/>
              <w:bottom w:w="100" w:type="dxa"/>
              <w:right w:w="100" w:type="dxa"/>
            </w:tcMar>
          </w:tcPr>
          <w:p w14:paraId="3985C38F" w14:textId="77777777" w:rsidR="005B3072" w:rsidRDefault="00A46913">
            <w:pPr>
              <w:spacing w:before="20" w:after="240"/>
              <w:jc w:val="center"/>
              <w:rPr>
                <w:rFonts w:ascii="Arial" w:eastAsia="Arial" w:hAnsi="Arial" w:cs="Arial"/>
                <w:b/>
                <w:color w:val="1F4E79"/>
                <w:sz w:val="20"/>
                <w:szCs w:val="20"/>
              </w:rPr>
            </w:pPr>
            <w:r>
              <w:rPr>
                <w:rFonts w:ascii="Arial" w:eastAsia="Arial" w:hAnsi="Arial" w:cs="Arial"/>
                <w:b/>
                <w:color w:val="1F4E79"/>
                <w:sz w:val="20"/>
                <w:szCs w:val="20"/>
              </w:rPr>
              <w:t>Izvor finansiranja</w:t>
            </w:r>
          </w:p>
        </w:tc>
      </w:tr>
      <w:tr w:rsidR="005B3072" w14:paraId="38A4CD88" w14:textId="77777777">
        <w:trPr>
          <w:trHeight w:val="6315"/>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75A4775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1.</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41840EA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Unapređivanje digitalnih vještina zaposlenih u javnoj upravi</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2336E8C"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Kreiran program obuka za sticanje digitalnih vještina</w:t>
            </w:r>
          </w:p>
          <w:p w14:paraId="0A249BB9"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Sprovedene obuke za min 80 službenika</w:t>
            </w:r>
          </w:p>
          <w:p w14:paraId="3976B7C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Broj promo aktivnosti:</w:t>
            </w:r>
          </w:p>
          <w:p w14:paraId="1A7597F8"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Kreirana promotivna kampanja o značaju unapređenja digitalnih vještina zaposlenih u javnoj upravi</w:t>
            </w:r>
          </w:p>
          <w:p w14:paraId="2C53B640"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Kreiran program obuka za zaposlene u službama finansija u javnoj upravi</w:t>
            </w:r>
          </w:p>
          <w:p w14:paraId="22836EB9"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Obučeno 20% zaposlenih u javnoj upravi u službama finansija</w:t>
            </w:r>
          </w:p>
          <w:p w14:paraId="273B6EE6"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Kreiran program obuka za zaposlene u pravnim službama u javnoj upravi</w:t>
            </w:r>
          </w:p>
          <w:p w14:paraId="2E1A302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Obučeno 20% zaposlenih u javnoj upravi u pravnim službama</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3DB6A774"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UZK</w:t>
            </w:r>
          </w:p>
          <w:p w14:paraId="2342F212"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MJUDDM</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A4D69B7"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66DD6EC4"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II Q 2024</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7EF3483"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188.000 €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EBE613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06C8E939" w14:textId="77777777">
        <w:trPr>
          <w:trHeight w:val="4755"/>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256D9D9E"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2.</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79448D9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Unapređenje kapaciteta o konceptu e-pristupačnosti</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5F9AA5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Obučeno 200 zaposlenih u javnoj upravi o konceptu e-pristupačnosti (izrada dokumenata)</w:t>
            </w:r>
          </w:p>
          <w:p w14:paraId="66095BA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Obučeno 50 urednika sajtova javne uprave i 50 administratora sajtova javne uprave o primjeni standarda e-pristupačnosti prilikom planiranja i izrade sajtova organa javne uprave</w:t>
            </w:r>
          </w:p>
          <w:p w14:paraId="100E9D92"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xml:space="preserve">- Obučeno/sertifikovano 5 zaposlenih u MJUDDM iz oblasti standarda e-pristupačnosti za administratore portala GOV.ME (WCAG 2.1)            </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BBF937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UZK</w:t>
            </w:r>
          </w:p>
          <w:p w14:paraId="1F8973F5"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MJUDM</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7732402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DD47402"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 2023</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3A73482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18.000 €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73A4727C"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62E22820" w14:textId="77777777">
        <w:trPr>
          <w:trHeight w:val="1860"/>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64A7F204"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3.</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9FC7A24"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Jačanje kapaciteta administratora aplikativnog dijela jedinstvenog informacionog sistema za elektronsku razmjenu podataka (JSERP)</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5E68622"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Obučeno 40 administratora informacionog sistema JSERP</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77B46BA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UZK</w:t>
            </w:r>
          </w:p>
          <w:p w14:paraId="5F934421"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MJUDM</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2FA98B11"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648E64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 2023</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5B779EE"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2.000 €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6ACD5927"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37C73E6C" w14:textId="77777777">
        <w:trPr>
          <w:trHeight w:val="1260"/>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192A3050"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4.</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28C3AFE"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Sprovođenje obuka za administratora sadržaja na portalu data.gov.me</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8BFD227"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Obučeno 66 administratora informacionog sistema data.gov.me</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1EDFEA2"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UZK</w:t>
            </w:r>
          </w:p>
          <w:p w14:paraId="324E5CE0"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MJUDM</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34DD6E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 Q2022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C3AAB2B"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Q2023</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1C57A7F"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6.000 €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FF93DDE"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439E0AFC" w14:textId="77777777">
        <w:trPr>
          <w:trHeight w:val="3255"/>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71B287B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5.</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690DEA3F"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Promovisanje pripreme podataka u formatu otvorenih podataka</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5E06081"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Broj održanih obuka za javnu upravu i jedinice lokalne samouprave radi poboljšanja njihovih vještina i razumijevanja u pripremi podataka u formatu otvorenih podataka</w:t>
            </w:r>
          </w:p>
          <w:p w14:paraId="1BE32B1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Broj održanih radionica o otvorenim podacima za različite zainteresovane strane</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74F9500C"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MJUDDM</w:t>
            </w:r>
          </w:p>
          <w:p w14:paraId="1B80C0C4"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UZK</w:t>
            </w:r>
          </w:p>
          <w:p w14:paraId="356FE1F7"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UNDP</w:t>
            </w:r>
          </w:p>
          <w:p w14:paraId="203C9481"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PKCG</w:t>
            </w:r>
          </w:p>
          <w:p w14:paraId="4F19CF30"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xml:space="preserve"> </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2C2E325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34EF008"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 2023</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65B1902"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27.000 €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6FDB1ABF"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6BED4184" w14:textId="77777777">
        <w:trPr>
          <w:trHeight w:val="2130"/>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21184EF9"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6.</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3C9A6FB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Podizanje svijesti o važnosti pružanja e-usluga</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BBD71DE"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-Broj realizovanih promotivnih događaja/radionica o značaju pružanja elektronskih usluga u javnoj upravi</w:t>
            </w:r>
          </w:p>
          <w:p w14:paraId="7DC5FAB5"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Broj obučenih administratora i moderatora Portala elektronske uprave</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2F2FE046"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MJUDDM</w:t>
            </w:r>
          </w:p>
          <w:p w14:paraId="5ABBB445"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UZK</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6DFFA8E9"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III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3FFD76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 2024</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08F82FE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25.000 €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3452EA24"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487A2471" w14:textId="77777777">
        <w:trPr>
          <w:trHeight w:val="1110"/>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07F74803"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7.</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349253A9"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Podizanje kapaciteta službenika u MJUDDM o upravljanju IKT projektima</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6CA0598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Obučeno 10 zaposlenih o upravljanju IKT projektima</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E986A49"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MJUDDM</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8325A4C"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EBEDF0A"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 2023</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5B7F5CC5"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15.000 €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4016DF1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r w:rsidR="005B3072" w14:paraId="50650C07" w14:textId="77777777">
        <w:trPr>
          <w:trHeight w:val="1875"/>
        </w:trPr>
        <w:tc>
          <w:tcPr>
            <w:tcW w:w="450" w:type="dxa"/>
            <w:tcBorders>
              <w:top w:val="nil"/>
              <w:left w:val="single" w:sz="8" w:space="0" w:color="9CC2E5"/>
              <w:bottom w:val="single" w:sz="8" w:space="0" w:color="9CC2E5"/>
              <w:right w:val="single" w:sz="8" w:space="0" w:color="9CC2E5"/>
            </w:tcBorders>
            <w:shd w:val="clear" w:color="auto" w:fill="auto"/>
            <w:tcMar>
              <w:top w:w="100" w:type="dxa"/>
              <w:left w:w="100" w:type="dxa"/>
              <w:bottom w:w="100" w:type="dxa"/>
              <w:right w:w="100" w:type="dxa"/>
            </w:tcMar>
          </w:tcPr>
          <w:p w14:paraId="10D4D2C7"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8.</w:t>
            </w:r>
          </w:p>
        </w:tc>
        <w:tc>
          <w:tcPr>
            <w:tcW w:w="289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4FA6D9F5"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Sprovođenje obuka iz oblasti ISO standarda i GDPR (za dobijanje sertifikata za implementatore i interne audite)</w:t>
            </w:r>
          </w:p>
        </w:tc>
        <w:tc>
          <w:tcPr>
            <w:tcW w:w="318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4F0478A6"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Obučeno/certifikovano 20 zaposlenih u javnoj upravi za neki od ISO standarda</w:t>
            </w:r>
          </w:p>
          <w:p w14:paraId="799560AD"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 Obučeno 20 zaposlenih u javnoj upravi za poznavanje GDPR</w:t>
            </w:r>
          </w:p>
        </w:tc>
        <w:tc>
          <w:tcPr>
            <w:tcW w:w="117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72AACE05"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MJUDDM</w:t>
            </w:r>
          </w:p>
        </w:tc>
        <w:tc>
          <w:tcPr>
            <w:tcW w:w="1320"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DAE9BB7"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 Q 2022</w:t>
            </w:r>
          </w:p>
        </w:tc>
        <w:tc>
          <w:tcPr>
            <w:tcW w:w="13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4E9885BC"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IV Q 2023</w:t>
            </w:r>
          </w:p>
        </w:tc>
        <w:tc>
          <w:tcPr>
            <w:tcW w:w="163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4C4F575C"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15.000 €</w:t>
            </w:r>
          </w:p>
        </w:tc>
        <w:tc>
          <w:tcPr>
            <w:tcW w:w="1425" w:type="dxa"/>
            <w:tcBorders>
              <w:top w:val="nil"/>
              <w:left w:val="nil"/>
              <w:bottom w:val="single" w:sz="8" w:space="0" w:color="9CC2E5"/>
              <w:right w:val="single" w:sz="8" w:space="0" w:color="9CC2E5"/>
            </w:tcBorders>
            <w:shd w:val="clear" w:color="auto" w:fill="auto"/>
            <w:tcMar>
              <w:top w:w="100" w:type="dxa"/>
              <w:left w:w="100" w:type="dxa"/>
              <w:bottom w:w="100" w:type="dxa"/>
              <w:right w:w="100" w:type="dxa"/>
            </w:tcMar>
          </w:tcPr>
          <w:p w14:paraId="1AD74B00" w14:textId="77777777" w:rsidR="005B3072" w:rsidRDefault="00A46913">
            <w:pPr>
              <w:pBdr>
                <w:top w:val="nil"/>
                <w:left w:val="nil"/>
                <w:bottom w:val="nil"/>
                <w:right w:val="nil"/>
                <w:between w:val="nil"/>
              </w:pBdr>
              <w:spacing w:before="20" w:after="20"/>
              <w:rPr>
                <w:rFonts w:ascii="Sitka Text" w:eastAsia="Sitka Text" w:hAnsi="Sitka Text" w:cs="Sitka Text"/>
                <w:color w:val="1F4E79"/>
              </w:rPr>
            </w:pPr>
            <w:r>
              <w:rPr>
                <w:rFonts w:ascii="Sitka Text" w:eastAsia="Sitka Text" w:hAnsi="Sitka Text" w:cs="Sitka Text"/>
                <w:color w:val="1F4E79"/>
              </w:rPr>
              <w:t>Budžet CG</w:t>
            </w:r>
          </w:p>
        </w:tc>
      </w:tr>
    </w:tbl>
    <w:p w14:paraId="4F8B37E4" w14:textId="77777777" w:rsidR="008A78FF" w:rsidRDefault="008A78FF">
      <w:pPr>
        <w:pBdr>
          <w:top w:val="nil"/>
          <w:left w:val="nil"/>
          <w:bottom w:val="nil"/>
          <w:right w:val="nil"/>
          <w:between w:val="nil"/>
        </w:pBdr>
        <w:spacing w:before="20" w:after="20" w:line="240" w:lineRule="auto"/>
        <w:rPr>
          <w:rFonts w:ascii="Arial" w:eastAsia="Arial" w:hAnsi="Arial" w:cs="Arial"/>
          <w:b/>
          <w:sz w:val="28"/>
          <w:szCs w:val="28"/>
        </w:rPr>
        <w:sectPr w:rsidR="008A78FF" w:rsidSect="00B66795">
          <w:headerReference w:type="first" r:id="rId55"/>
          <w:footerReference w:type="first" r:id="rId56"/>
          <w:pgSz w:w="15840" w:h="12240" w:orient="landscape"/>
          <w:pgMar w:top="630" w:right="1440" w:bottom="1140" w:left="1276" w:header="720" w:footer="624" w:gutter="0"/>
          <w:cols w:space="720"/>
          <w:titlePg/>
          <w:docGrid w:linePitch="299"/>
        </w:sectPr>
      </w:pPr>
    </w:p>
    <w:p w14:paraId="2AEC0D61" w14:textId="77777777" w:rsidR="005B3072" w:rsidRDefault="008A78FF">
      <w:pPr>
        <w:pBdr>
          <w:top w:val="nil"/>
          <w:left w:val="nil"/>
          <w:bottom w:val="nil"/>
          <w:right w:val="nil"/>
          <w:between w:val="nil"/>
        </w:pBdr>
        <w:spacing w:before="20" w:after="20" w:line="240" w:lineRule="auto"/>
        <w:rPr>
          <w:rFonts w:ascii="Arial" w:eastAsia="Arial" w:hAnsi="Arial" w:cs="Arial"/>
          <w:b/>
          <w:sz w:val="28"/>
          <w:szCs w:val="28"/>
        </w:rPr>
      </w:pPr>
      <w:r w:rsidRPr="001B5461">
        <w:rPr>
          <w:rFonts w:ascii="Arial" w:eastAsia="Arial" w:hAnsi="Arial" w:cs="Arial"/>
          <w:b/>
          <w:noProof/>
          <w:sz w:val="28"/>
          <w:szCs w:val="28"/>
        </w:rPr>
        <w:drawing>
          <wp:inline distT="0" distB="0" distL="0" distR="0" wp14:anchorId="5D3A61BA" wp14:editId="23C40D44">
            <wp:extent cx="5956889" cy="8413115"/>
            <wp:effectExtent l="0" t="0" r="635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63118" cy="8421912"/>
                    </a:xfrm>
                    <a:prstGeom prst="rect">
                      <a:avLst/>
                    </a:prstGeom>
                    <a:noFill/>
                    <a:ln>
                      <a:noFill/>
                    </a:ln>
                  </pic:spPr>
                </pic:pic>
              </a:graphicData>
            </a:graphic>
          </wp:inline>
        </w:drawing>
      </w:r>
    </w:p>
    <w:p w14:paraId="3CCA1D20" w14:textId="77777777" w:rsidR="00C85844" w:rsidRDefault="00C85844" w:rsidP="00C85844">
      <w:pPr>
        <w:spacing w:after="135"/>
        <w:ind w:left="151"/>
        <w:jc w:val="center"/>
      </w:pPr>
      <w:r>
        <w:rPr>
          <w:rFonts w:ascii="Arial" w:eastAsia="Arial" w:hAnsi="Arial" w:cs="Arial"/>
          <w:b/>
          <w:sz w:val="36"/>
        </w:rPr>
        <w:t xml:space="preserve">Mišljenje na predlog strateškog dokumenta </w:t>
      </w:r>
    </w:p>
    <w:p w14:paraId="30CC3B21" w14:textId="77777777" w:rsidR="00C85844" w:rsidRDefault="00C85844" w:rsidP="00C85844">
      <w:pPr>
        <w:numPr>
          <w:ilvl w:val="0"/>
          <w:numId w:val="64"/>
        </w:numPr>
        <w:spacing w:after="0"/>
        <w:ind w:hanging="360"/>
        <w:jc w:val="center"/>
      </w:pPr>
      <w:r>
        <w:rPr>
          <w:rFonts w:ascii="Arial" w:eastAsia="Arial" w:hAnsi="Arial" w:cs="Arial"/>
          <w:b/>
          <w:sz w:val="28"/>
        </w:rPr>
        <w:t>Generalni osvrt na predlog Strategije digitalne transformacije za period 2022-2026. godina s Akcionim planom za 2022-</w:t>
      </w:r>
    </w:p>
    <w:tbl>
      <w:tblPr>
        <w:tblStyle w:val="TableGrid0"/>
        <w:tblpPr w:vertAnchor="page" w:horzAnchor="margin" w:tblpY="4006"/>
        <w:tblOverlap w:val="never"/>
        <w:tblW w:w="5000" w:type="pct"/>
        <w:tblInd w:w="0" w:type="dxa"/>
        <w:tblCellMar>
          <w:top w:w="47" w:type="dxa"/>
          <w:left w:w="679" w:type="dxa"/>
          <w:right w:w="115" w:type="dxa"/>
        </w:tblCellMar>
        <w:tblLook w:val="04A0" w:firstRow="1" w:lastRow="0" w:firstColumn="1" w:lastColumn="0" w:noHBand="0" w:noVBand="1"/>
      </w:tblPr>
      <w:tblGrid>
        <w:gridCol w:w="7113"/>
        <w:gridCol w:w="1680"/>
        <w:gridCol w:w="1667"/>
      </w:tblGrid>
      <w:tr w:rsidR="00AE7DE0" w14:paraId="5BED0E31" w14:textId="77777777" w:rsidTr="00AE7DE0">
        <w:trPr>
          <w:trHeight w:val="442"/>
        </w:trPr>
        <w:tc>
          <w:tcPr>
            <w:tcW w:w="3400" w:type="pct"/>
            <w:tcBorders>
              <w:top w:val="single" w:sz="4" w:space="0" w:color="000000"/>
              <w:left w:val="single" w:sz="4" w:space="0" w:color="000000"/>
              <w:bottom w:val="single" w:sz="4" w:space="0" w:color="000000"/>
              <w:right w:val="nil"/>
            </w:tcBorders>
            <w:shd w:val="clear" w:color="auto" w:fill="B4C6E7"/>
          </w:tcPr>
          <w:p w14:paraId="2605270C" w14:textId="77777777" w:rsidR="00AE7DE0" w:rsidRDefault="00AE7DE0" w:rsidP="00AE7DE0">
            <w:r>
              <w:rPr>
                <w:rFonts w:ascii="Arial" w:eastAsia="Arial" w:hAnsi="Arial" w:cs="Arial"/>
                <w:b/>
              </w:rPr>
              <w:t xml:space="preserve">OBRAZAC USKLAĐENOSTI STRATEŠKOG DOKUMENTA </w:t>
            </w:r>
          </w:p>
        </w:tc>
        <w:tc>
          <w:tcPr>
            <w:tcW w:w="1600" w:type="pct"/>
            <w:gridSpan w:val="2"/>
            <w:tcBorders>
              <w:top w:val="single" w:sz="4" w:space="0" w:color="000000"/>
              <w:left w:val="nil"/>
              <w:bottom w:val="single" w:sz="4" w:space="0" w:color="000000"/>
              <w:right w:val="single" w:sz="4" w:space="0" w:color="000000"/>
            </w:tcBorders>
            <w:shd w:val="clear" w:color="auto" w:fill="B4C6E7"/>
          </w:tcPr>
          <w:p w14:paraId="2EB7CAD5" w14:textId="77777777" w:rsidR="00AE7DE0" w:rsidRDefault="00AE7DE0" w:rsidP="00AE7DE0"/>
        </w:tc>
      </w:tr>
      <w:tr w:rsidR="00AE7DE0" w14:paraId="0E0A1BF9" w14:textId="77777777" w:rsidTr="00AE7DE0">
        <w:trPr>
          <w:trHeight w:val="442"/>
        </w:trPr>
        <w:tc>
          <w:tcPr>
            <w:tcW w:w="3400" w:type="pct"/>
            <w:tcBorders>
              <w:top w:val="single" w:sz="4" w:space="0" w:color="000000"/>
              <w:left w:val="single" w:sz="4" w:space="0" w:color="000000"/>
              <w:bottom w:val="single" w:sz="4" w:space="0" w:color="000000"/>
              <w:right w:val="single" w:sz="4" w:space="0" w:color="000000"/>
            </w:tcBorders>
            <w:shd w:val="clear" w:color="auto" w:fill="B4C6E7"/>
          </w:tcPr>
          <w:p w14:paraId="30464C36" w14:textId="77777777" w:rsidR="00AE7DE0" w:rsidRDefault="00AE7DE0" w:rsidP="00AE7DE0">
            <w:pPr>
              <w:ind w:right="569"/>
              <w:jc w:val="center"/>
            </w:pPr>
            <w:r>
              <w:rPr>
                <w:rFonts w:ascii="Arial" w:eastAsia="Arial" w:hAnsi="Arial" w:cs="Arial"/>
                <w:b/>
              </w:rPr>
              <w:t xml:space="preserve">Elementi strateškog dokumenta za provjeru usklađenosti </w:t>
            </w:r>
          </w:p>
        </w:tc>
        <w:tc>
          <w:tcPr>
            <w:tcW w:w="1600" w:type="pct"/>
            <w:gridSpan w:val="2"/>
            <w:tcBorders>
              <w:top w:val="single" w:sz="4" w:space="0" w:color="000000"/>
              <w:left w:val="single" w:sz="4" w:space="0" w:color="000000"/>
              <w:bottom w:val="single" w:sz="4" w:space="0" w:color="000000"/>
              <w:right w:val="single" w:sz="4" w:space="0" w:color="000000"/>
            </w:tcBorders>
            <w:shd w:val="clear" w:color="auto" w:fill="B4C6E7"/>
          </w:tcPr>
          <w:p w14:paraId="13E6885D" w14:textId="77777777" w:rsidR="00AE7DE0" w:rsidRDefault="00AE7DE0" w:rsidP="00AE7DE0">
            <w:pPr>
              <w:ind w:right="562"/>
              <w:jc w:val="center"/>
            </w:pPr>
            <w:r>
              <w:rPr>
                <w:rFonts w:ascii="Arial" w:eastAsia="Arial" w:hAnsi="Arial" w:cs="Arial"/>
                <w:b/>
              </w:rPr>
              <w:t xml:space="preserve">Ocjena usklađenosti </w:t>
            </w:r>
          </w:p>
        </w:tc>
      </w:tr>
      <w:tr w:rsidR="00AE7DE0" w14:paraId="390B10AF" w14:textId="77777777" w:rsidTr="00AE7DE0">
        <w:trPr>
          <w:trHeight w:val="443"/>
        </w:trPr>
        <w:tc>
          <w:tcPr>
            <w:tcW w:w="3400" w:type="pct"/>
            <w:tcBorders>
              <w:top w:val="single" w:sz="4" w:space="0" w:color="000000"/>
              <w:left w:val="single" w:sz="4" w:space="0" w:color="000000"/>
              <w:bottom w:val="single" w:sz="4" w:space="0" w:color="000000"/>
              <w:right w:val="single" w:sz="4" w:space="0" w:color="000000"/>
            </w:tcBorders>
          </w:tcPr>
          <w:p w14:paraId="34DFDE2C" w14:textId="77777777" w:rsidR="00AE7DE0" w:rsidRDefault="00AE7DE0" w:rsidP="00AE7DE0">
            <w:pPr>
              <w:ind w:right="515"/>
              <w:jc w:val="center"/>
            </w:pPr>
            <w:r>
              <w:rPr>
                <w:rFonts w:ascii="Arial" w:eastAsia="Arial" w:hAnsi="Arial" w:cs="Arial"/>
                <w:b/>
              </w:rPr>
              <w:t xml:space="preserve"> </w:t>
            </w:r>
          </w:p>
        </w:tc>
        <w:tc>
          <w:tcPr>
            <w:tcW w:w="803" w:type="pct"/>
            <w:tcBorders>
              <w:top w:val="single" w:sz="4" w:space="0" w:color="000000"/>
              <w:left w:val="single" w:sz="4" w:space="0" w:color="000000"/>
              <w:bottom w:val="single" w:sz="4" w:space="0" w:color="000000"/>
              <w:right w:val="single" w:sz="4" w:space="0" w:color="000000"/>
            </w:tcBorders>
          </w:tcPr>
          <w:p w14:paraId="0B5B191A" w14:textId="77777777" w:rsidR="00AE7DE0" w:rsidRDefault="00AE7DE0" w:rsidP="00AE7DE0">
            <w:pPr>
              <w:ind w:right="568"/>
              <w:jc w:val="center"/>
            </w:pPr>
            <w:r>
              <w:rPr>
                <w:rFonts w:ascii="Arial" w:eastAsia="Arial" w:hAnsi="Arial" w:cs="Arial"/>
                <w:b/>
              </w:rPr>
              <w:t xml:space="preserve">DA </w:t>
            </w:r>
          </w:p>
        </w:tc>
        <w:tc>
          <w:tcPr>
            <w:tcW w:w="797" w:type="pct"/>
            <w:tcBorders>
              <w:top w:val="single" w:sz="4" w:space="0" w:color="000000"/>
              <w:left w:val="single" w:sz="4" w:space="0" w:color="000000"/>
              <w:bottom w:val="single" w:sz="4" w:space="0" w:color="000000"/>
              <w:right w:val="single" w:sz="4" w:space="0" w:color="000000"/>
            </w:tcBorders>
          </w:tcPr>
          <w:p w14:paraId="40DEA920" w14:textId="77777777" w:rsidR="00AE7DE0" w:rsidRDefault="00AE7DE0" w:rsidP="00AE7DE0">
            <w:pPr>
              <w:ind w:right="567"/>
              <w:jc w:val="center"/>
            </w:pPr>
            <w:r>
              <w:rPr>
                <w:rFonts w:ascii="Arial" w:eastAsia="Arial" w:hAnsi="Arial" w:cs="Arial"/>
                <w:b/>
              </w:rPr>
              <w:t xml:space="preserve">NE </w:t>
            </w:r>
          </w:p>
        </w:tc>
      </w:tr>
    </w:tbl>
    <w:p w14:paraId="788BDE2A" w14:textId="77777777" w:rsidR="00C85844" w:rsidRDefault="00C85844" w:rsidP="00C85844">
      <w:pPr>
        <w:spacing w:after="3"/>
        <w:ind w:left="1665" w:right="779" w:hanging="10"/>
        <w:jc w:val="center"/>
      </w:pPr>
      <w:r>
        <w:rPr>
          <w:rFonts w:ascii="Arial" w:eastAsia="Arial" w:hAnsi="Arial" w:cs="Arial"/>
          <w:b/>
          <w:sz w:val="28"/>
        </w:rPr>
        <w:t xml:space="preserve">2024.  godinu </w:t>
      </w:r>
    </w:p>
    <w:tbl>
      <w:tblPr>
        <w:tblStyle w:val="TableGrid0"/>
        <w:tblW w:w="5000" w:type="pct"/>
        <w:tblInd w:w="0" w:type="dxa"/>
        <w:tblCellMar>
          <w:top w:w="53" w:type="dxa"/>
          <w:left w:w="86" w:type="dxa"/>
        </w:tblCellMar>
        <w:tblLook w:val="04A0" w:firstRow="1" w:lastRow="0" w:firstColumn="1" w:lastColumn="0" w:noHBand="0" w:noVBand="1"/>
      </w:tblPr>
      <w:tblGrid>
        <w:gridCol w:w="10450"/>
      </w:tblGrid>
      <w:tr w:rsidR="00C85844" w14:paraId="05A5B472" w14:textId="77777777" w:rsidTr="00C85844">
        <w:trPr>
          <w:trHeight w:val="3046"/>
        </w:trPr>
        <w:tc>
          <w:tcPr>
            <w:tcW w:w="5000" w:type="pct"/>
            <w:tcBorders>
              <w:top w:val="single" w:sz="8" w:space="0" w:color="41719C"/>
              <w:left w:val="single" w:sz="8" w:space="0" w:color="41719C"/>
              <w:bottom w:val="single" w:sz="8" w:space="0" w:color="41719C"/>
              <w:right w:val="single" w:sz="8" w:space="0" w:color="41719C"/>
            </w:tcBorders>
          </w:tcPr>
          <w:p w14:paraId="28D6F43C" w14:textId="77777777" w:rsidR="00C85844" w:rsidRDefault="00C85844" w:rsidP="00A26279">
            <w:pPr>
              <w:spacing w:after="163" w:line="257" w:lineRule="auto"/>
              <w:ind w:right="40"/>
              <w:jc w:val="both"/>
            </w:pPr>
            <w:r>
              <w:rPr>
                <w:rFonts w:ascii="Arial" w:eastAsia="Arial" w:hAnsi="Arial" w:cs="Arial"/>
              </w:rPr>
              <w:t xml:space="preserve">Generalna ocjena je da </w:t>
            </w:r>
            <w:r>
              <w:rPr>
                <w:rFonts w:ascii="Arial" w:eastAsia="Arial" w:hAnsi="Arial" w:cs="Arial"/>
                <w:b/>
              </w:rPr>
              <w:t>Predlog strategije digitalne transformacije za period 2022-2026. godina s Akcionim planom za 2022-2024. godinu</w:t>
            </w:r>
            <w:r>
              <w:rPr>
                <w:rFonts w:ascii="Arial" w:eastAsia="Arial" w:hAnsi="Arial" w:cs="Arial"/>
              </w:rPr>
              <w:t xml:space="preserve"> djelimično odgovara na kriterijume zahtijevane Uredbom o načinu i postupku izrade, usklađivanja i praćenja sprovođenja strateških dokumenata (</w:t>
            </w:r>
            <w:r>
              <w:rPr>
                <w:rFonts w:ascii="Arial" w:eastAsia="Arial" w:hAnsi="Arial" w:cs="Arial"/>
                <w:i/>
              </w:rPr>
              <w:t>Sl. list CG 54/12</w:t>
            </w:r>
            <w:r>
              <w:rPr>
                <w:rFonts w:ascii="Arial" w:eastAsia="Arial" w:hAnsi="Arial" w:cs="Arial"/>
              </w:rPr>
              <w:t>) i Metodologijom razvoja politika, izrade i praćenja sprovođenja strateških dokumenata.</w:t>
            </w:r>
            <w:r>
              <w:rPr>
                <w:rFonts w:ascii="Arial" w:eastAsia="Arial" w:hAnsi="Arial" w:cs="Arial"/>
                <w:b/>
              </w:rPr>
              <w:t xml:space="preserve"> </w:t>
            </w:r>
          </w:p>
          <w:p w14:paraId="596468C1" w14:textId="77777777" w:rsidR="00C85844" w:rsidRDefault="00C85844" w:rsidP="00A26279">
            <w:pPr>
              <w:spacing w:line="257" w:lineRule="auto"/>
              <w:ind w:right="39"/>
              <w:jc w:val="both"/>
            </w:pPr>
            <w:r>
              <w:rPr>
                <w:rFonts w:ascii="Arial" w:eastAsia="Arial" w:hAnsi="Arial" w:cs="Arial"/>
              </w:rPr>
              <w:t xml:space="preserve">Strategija digitalne transformacije za period 2022-2026. godina je </w:t>
            </w:r>
            <w:r>
              <w:rPr>
                <w:rFonts w:ascii="Arial" w:eastAsia="Arial" w:hAnsi="Arial" w:cs="Arial"/>
                <w:b/>
              </w:rPr>
              <w:t>od krucijalnog značaja za sprovođenje procesa digitalne transformacije na nacionalnom nivou</w:t>
            </w:r>
            <w:r>
              <w:rPr>
                <w:rFonts w:ascii="Arial" w:eastAsia="Arial" w:hAnsi="Arial" w:cs="Arial"/>
              </w:rPr>
              <w:t xml:space="preserve">. Imajući u vidu da je proces digitalizacije naročito važan za razvoj zemlje, ističemo da je </w:t>
            </w:r>
            <w:r>
              <w:rPr>
                <w:rFonts w:ascii="Arial" w:eastAsia="Arial" w:hAnsi="Arial" w:cs="Arial"/>
                <w:b/>
              </w:rPr>
              <w:t>posebno važno da kvalitet ove strategije bude na najvišem nivou, te da njena struktura i sadržaj budu usklađeni s postojećim pravnim i metodološkim okvirom za strateško planiranje u najvećoj mjeri</w:t>
            </w:r>
            <w:r>
              <w:rPr>
                <w:rFonts w:ascii="Arial" w:eastAsia="Arial" w:hAnsi="Arial" w:cs="Arial"/>
              </w:rPr>
              <w:t xml:space="preserve">. Takođe, </w:t>
            </w:r>
            <w:r>
              <w:rPr>
                <w:rFonts w:ascii="Arial" w:eastAsia="Arial" w:hAnsi="Arial" w:cs="Arial"/>
                <w:b/>
              </w:rPr>
              <w:t>neophodno je ovu strategiju sagledati kao krovnu za oblast digitalizacije</w:t>
            </w:r>
            <w:r>
              <w:rPr>
                <w:rFonts w:ascii="Arial" w:eastAsia="Arial" w:hAnsi="Arial" w:cs="Arial"/>
              </w:rPr>
              <w:t xml:space="preserve">, odnosno digitalne transformacije i razvoja digitalnog društva, kojom se daje okvir za djelovanje u svim oblastima koje su s njom povezane. S tim u vezi je potrebno </w:t>
            </w:r>
            <w:r>
              <w:rPr>
                <w:rFonts w:ascii="Arial" w:eastAsia="Arial" w:hAnsi="Arial" w:cs="Arial"/>
                <w:b/>
              </w:rPr>
              <w:t xml:space="preserve">u konsultacijama s drugim organima koji su zaduženi za određene segmente digitalizacije pažljivo razmatrati svako buduće planiranje i donošenje novih strateških dokumenata, a u skladu s članom 12 Uredbe, koji promoviše princip ekonomičnosti i racionalnog planiranja, kao i adresiranje određenih pitanja kroz jedinstven strateški dokument kad je to moguće. </w:t>
            </w:r>
          </w:p>
          <w:p w14:paraId="7C138E79" w14:textId="77777777" w:rsidR="00C85844" w:rsidRDefault="00C85844" w:rsidP="00A26279">
            <w:pPr>
              <w:spacing w:after="161" w:line="256" w:lineRule="auto"/>
              <w:jc w:val="both"/>
            </w:pPr>
            <w:r>
              <w:rPr>
                <w:rFonts w:ascii="Arial" w:eastAsia="Arial" w:hAnsi="Arial" w:cs="Arial"/>
              </w:rPr>
              <w:t xml:space="preserve">Određeni segmenti, poput mjerljivih podataka u analizi stanja, njihovo korišćenje u strategiji za prepoznavanje jasno uzročno-posljedične veze i definisanje indikatora učinka, su već u ovoj fazi dokumenta veoma dobro razrađeni i kao takvi predstavljaju dobru praksu.  </w:t>
            </w:r>
          </w:p>
          <w:p w14:paraId="154DBA69" w14:textId="77777777" w:rsidR="00C85844" w:rsidRDefault="00C85844" w:rsidP="00A26279">
            <w:r>
              <w:rPr>
                <w:rFonts w:ascii="Arial" w:eastAsia="Arial" w:hAnsi="Arial" w:cs="Arial"/>
              </w:rPr>
              <w:t xml:space="preserve">Međutim, konstatuje se da je potrebno unaprijediti određene segmente Strategije, s akcentom na: </w:t>
            </w:r>
          </w:p>
          <w:p w14:paraId="61F50AC3" w14:textId="77777777" w:rsidR="00C85844" w:rsidRDefault="00C85844" w:rsidP="00A26279">
            <w:pPr>
              <w:spacing w:after="31"/>
            </w:pPr>
            <w:r>
              <w:rPr>
                <w:rFonts w:ascii="Arial" w:eastAsia="Arial" w:hAnsi="Arial" w:cs="Arial"/>
              </w:rPr>
              <w:t xml:space="preserve"> </w:t>
            </w:r>
          </w:p>
          <w:p w14:paraId="10AAB2A9" w14:textId="77777777" w:rsidR="00C85844" w:rsidRDefault="00C85844" w:rsidP="00C85844">
            <w:pPr>
              <w:numPr>
                <w:ilvl w:val="0"/>
                <w:numId w:val="65"/>
              </w:numPr>
              <w:spacing w:after="3" w:line="255" w:lineRule="auto"/>
              <w:ind w:right="2196" w:hanging="355"/>
            </w:pPr>
            <w:r>
              <w:rPr>
                <w:rFonts w:ascii="Arial" w:eastAsia="Arial" w:hAnsi="Arial" w:cs="Arial"/>
              </w:rPr>
              <w:t xml:space="preserve">Usaglasiti nazive Strateških i Operativnih ciljeva postavljenih u Strategiji, Akcionom planu i Pasošu indikatora;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Prikaz ukupnog iznosa finansijskih sredstava za realizaciju cjelokupne strategije; </w:t>
            </w:r>
          </w:p>
          <w:p w14:paraId="7F94AC5F" w14:textId="77777777" w:rsidR="00C85844" w:rsidRDefault="00C85844" w:rsidP="00C85844">
            <w:pPr>
              <w:numPr>
                <w:ilvl w:val="0"/>
                <w:numId w:val="65"/>
              </w:numPr>
              <w:spacing w:line="259" w:lineRule="auto"/>
              <w:ind w:right="2196" w:hanging="355"/>
            </w:pPr>
            <w:r>
              <w:rPr>
                <w:rFonts w:ascii="Arial" w:eastAsia="Arial" w:hAnsi="Arial" w:cs="Arial"/>
              </w:rPr>
              <w:t xml:space="preserve">U poglavlju VII, predviđenom za Monitoring, izvještavanje i evaluaciju, </w:t>
            </w:r>
            <w:r>
              <w:rPr>
                <w:rFonts w:ascii="Arial" w:eastAsia="Arial" w:hAnsi="Arial" w:cs="Arial"/>
                <w:u w:val="single" w:color="000000"/>
              </w:rPr>
              <w:t>potrebno je istaknuti obavezu dostavljanja</w:t>
            </w:r>
            <w:r>
              <w:rPr>
                <w:rFonts w:ascii="Arial" w:eastAsia="Arial" w:hAnsi="Arial" w:cs="Arial"/>
              </w:rPr>
              <w:t xml:space="preserve"> i </w:t>
            </w:r>
            <w:r>
              <w:rPr>
                <w:rFonts w:ascii="Arial" w:eastAsia="Arial" w:hAnsi="Arial" w:cs="Arial"/>
                <w:b/>
              </w:rPr>
              <w:t>Završnog izvještaja o mrealizaciji strateškog dokumenta.</w:t>
            </w:r>
            <w:r>
              <w:rPr>
                <w:rFonts w:ascii="Arial" w:eastAsia="Arial" w:hAnsi="Arial" w:cs="Arial"/>
              </w:rPr>
              <w:t xml:space="preserve"> </w:t>
            </w:r>
          </w:p>
        </w:tc>
      </w:tr>
    </w:tbl>
    <w:p w14:paraId="41083DAD" w14:textId="77777777" w:rsidR="00C85844" w:rsidRDefault="00C85844" w:rsidP="00C85844">
      <w:pPr>
        <w:spacing w:after="262"/>
      </w:pPr>
      <w:r>
        <w:rPr>
          <w:rFonts w:ascii="Arial" w:eastAsia="Arial" w:hAnsi="Arial" w:cs="Arial"/>
        </w:rPr>
        <w:t xml:space="preserve"> </w:t>
      </w:r>
    </w:p>
    <w:p w14:paraId="7432DB87" w14:textId="77777777" w:rsidR="00C85844" w:rsidRDefault="00C85844" w:rsidP="00C85844">
      <w:pPr>
        <w:numPr>
          <w:ilvl w:val="0"/>
          <w:numId w:val="64"/>
        </w:numPr>
        <w:spacing w:after="3"/>
        <w:ind w:hanging="360"/>
        <w:jc w:val="center"/>
      </w:pPr>
      <w:r>
        <w:rPr>
          <w:rFonts w:ascii="Arial" w:eastAsia="Arial" w:hAnsi="Arial" w:cs="Arial"/>
          <w:b/>
          <w:sz w:val="28"/>
        </w:rPr>
        <w:t xml:space="preserve">Ocjena usklađenosti – pristup semafora  </w:t>
      </w:r>
      <w:r>
        <w:rPr>
          <w:noProof/>
        </w:rPr>
        <mc:AlternateContent>
          <mc:Choice Requires="wpg">
            <w:drawing>
              <wp:inline distT="0" distB="0" distL="0" distR="0" wp14:anchorId="333DA460" wp14:editId="5ED7B2F7">
                <wp:extent cx="548641" cy="111252"/>
                <wp:effectExtent l="0" t="0" r="0" b="0"/>
                <wp:docPr id="16290" name="Group 16290"/>
                <wp:cNvGraphicFramePr/>
                <a:graphic xmlns:a="http://schemas.openxmlformats.org/drawingml/2006/main">
                  <a:graphicData uri="http://schemas.microsoft.com/office/word/2010/wordprocessingGroup">
                    <wpg:wgp>
                      <wpg:cNvGrpSpPr/>
                      <wpg:grpSpPr>
                        <a:xfrm>
                          <a:off x="0" y="0"/>
                          <a:ext cx="548641" cy="111252"/>
                          <a:chOff x="0" y="0"/>
                          <a:chExt cx="548641" cy="111252"/>
                        </a:xfrm>
                      </wpg:grpSpPr>
                      <wps:wsp>
                        <wps:cNvPr id="18926" name="Shape 18926"/>
                        <wps:cNvSpPr/>
                        <wps:spPr>
                          <a:xfrm>
                            <a:off x="0" y="0"/>
                            <a:ext cx="150876" cy="111252"/>
                          </a:xfrm>
                          <a:custGeom>
                            <a:avLst/>
                            <a:gdLst/>
                            <a:ahLst/>
                            <a:cxnLst/>
                            <a:rect l="0" t="0" r="0" b="0"/>
                            <a:pathLst>
                              <a:path w="150876" h="111252">
                                <a:moveTo>
                                  <a:pt x="0" y="0"/>
                                </a:moveTo>
                                <a:lnTo>
                                  <a:pt x="150876" y="0"/>
                                </a:lnTo>
                                <a:lnTo>
                                  <a:pt x="150876" y="111252"/>
                                </a:lnTo>
                                <a:lnTo>
                                  <a:pt x="0" y="111252"/>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209" name="Shape 209"/>
                        <wps:cNvSpPr/>
                        <wps:spPr>
                          <a:xfrm>
                            <a:off x="0" y="0"/>
                            <a:ext cx="150876" cy="111252"/>
                          </a:xfrm>
                          <a:custGeom>
                            <a:avLst/>
                            <a:gdLst/>
                            <a:ahLst/>
                            <a:cxnLst/>
                            <a:rect l="0" t="0" r="0" b="0"/>
                            <a:pathLst>
                              <a:path w="150876" h="111252">
                                <a:moveTo>
                                  <a:pt x="0" y="111252"/>
                                </a:moveTo>
                                <a:lnTo>
                                  <a:pt x="150876" y="111252"/>
                                </a:lnTo>
                                <a:lnTo>
                                  <a:pt x="150876"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8927" name="Shape 18927"/>
                        <wps:cNvSpPr/>
                        <wps:spPr>
                          <a:xfrm>
                            <a:off x="205740" y="0"/>
                            <a:ext cx="143256" cy="111252"/>
                          </a:xfrm>
                          <a:custGeom>
                            <a:avLst/>
                            <a:gdLst/>
                            <a:ahLst/>
                            <a:cxnLst/>
                            <a:rect l="0" t="0" r="0" b="0"/>
                            <a:pathLst>
                              <a:path w="143256" h="111252">
                                <a:moveTo>
                                  <a:pt x="0" y="0"/>
                                </a:moveTo>
                                <a:lnTo>
                                  <a:pt x="143256" y="0"/>
                                </a:lnTo>
                                <a:lnTo>
                                  <a:pt x="143256" y="111252"/>
                                </a:lnTo>
                                <a:lnTo>
                                  <a:pt x="0" y="11125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11" name="Shape 211"/>
                        <wps:cNvSpPr/>
                        <wps:spPr>
                          <a:xfrm>
                            <a:off x="205740" y="0"/>
                            <a:ext cx="143256" cy="111252"/>
                          </a:xfrm>
                          <a:custGeom>
                            <a:avLst/>
                            <a:gdLst/>
                            <a:ahLst/>
                            <a:cxnLst/>
                            <a:rect l="0" t="0" r="0" b="0"/>
                            <a:pathLst>
                              <a:path w="143256" h="111252">
                                <a:moveTo>
                                  <a:pt x="0" y="111252"/>
                                </a:moveTo>
                                <a:lnTo>
                                  <a:pt x="143256" y="111252"/>
                                </a:lnTo>
                                <a:lnTo>
                                  <a:pt x="143256"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18928" name="Shape 18928"/>
                        <wps:cNvSpPr/>
                        <wps:spPr>
                          <a:xfrm>
                            <a:off x="405385" y="0"/>
                            <a:ext cx="143256" cy="111252"/>
                          </a:xfrm>
                          <a:custGeom>
                            <a:avLst/>
                            <a:gdLst/>
                            <a:ahLst/>
                            <a:cxnLst/>
                            <a:rect l="0" t="0" r="0" b="0"/>
                            <a:pathLst>
                              <a:path w="143256" h="111252">
                                <a:moveTo>
                                  <a:pt x="0" y="0"/>
                                </a:moveTo>
                                <a:lnTo>
                                  <a:pt x="143256" y="0"/>
                                </a:lnTo>
                                <a:lnTo>
                                  <a:pt x="143256" y="111252"/>
                                </a:lnTo>
                                <a:lnTo>
                                  <a:pt x="0" y="111252"/>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13" name="Shape 213"/>
                        <wps:cNvSpPr/>
                        <wps:spPr>
                          <a:xfrm>
                            <a:off x="405385" y="0"/>
                            <a:ext cx="143256" cy="111252"/>
                          </a:xfrm>
                          <a:custGeom>
                            <a:avLst/>
                            <a:gdLst/>
                            <a:ahLst/>
                            <a:cxnLst/>
                            <a:rect l="0" t="0" r="0" b="0"/>
                            <a:pathLst>
                              <a:path w="143256" h="111252">
                                <a:moveTo>
                                  <a:pt x="0" y="111252"/>
                                </a:moveTo>
                                <a:lnTo>
                                  <a:pt x="143256" y="111252"/>
                                </a:lnTo>
                                <a:lnTo>
                                  <a:pt x="143256"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group w14:anchorId="3398F86A" id="Group 16290" o:spid="_x0000_s1026" style="width:43.2pt;height:8.75pt;mso-position-horizontal-relative:char;mso-position-vertical-relative:line" coordsize="5486,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">
                <v:shape id="Shape 18926" o:spid="_x0000_s1027" style="position:absolute;width:1508;height:1112;visibility:visible;mso-wrap-style:square;v-text-anchor:top" coordsize="15087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" path="m,l150876,r,111252l,111252,,e" fillcolor="#92d050" stroked="f" strokeweight="0">
                  <v:stroke miterlimit="83231f" joinstyle="miter"/>
                  <v:path arrowok="t" textboxrect="0,0,150876,111252"/>
                </v:shape>
                <v:shape id="Shape 209" o:spid="_x0000_s1028" style="position:absolute;width:1508;height:1112;visibility:visible;mso-wrap-style:square;v-text-anchor:top" coordsize="15087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" path="m,111252r150876,l150876,,,,,111252xe" filled="f" strokecolor="#3d6e9b" strokeweight=".96pt">
                  <v:stroke miterlimit="83231f" joinstyle="miter"/>
                  <v:path arrowok="t" textboxrect="0,0,150876,111252"/>
                </v:shape>
                <v:shape id="Shape 18927" o:spid="_x0000_s1029" style="position:absolute;left:2057;width:1432;height:1112;visibility:visible;mso-wrap-style:square;v-text-anchor:top" coordsize="14325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" path="m,l143256,r,111252l,111252,,e" fillcolor="yellow" stroked="f" strokeweight="0">
                  <v:stroke miterlimit="83231f" joinstyle="miter"/>
                  <v:path arrowok="t" textboxrect="0,0,143256,111252"/>
                </v:shape>
                <v:shape id="Shape 211" o:spid="_x0000_s1030" style="position:absolute;left:2057;width:1432;height:1112;visibility:visible;mso-wrap-style:square;v-text-anchor:top" coordsize="14325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" path="m,111252r143256,l143256,,,,,111252xe" filled="f" strokecolor="#3d6e9b" strokeweight=".96pt">
                  <v:stroke miterlimit="83231f" joinstyle="miter"/>
                  <v:path arrowok="t" textboxrect="0,0,143256,111252"/>
                </v:shape>
                <v:shape id="Shape 18928" o:spid="_x0000_s1031" style="position:absolute;left:4053;width:1433;height:1112;visibility:visible;mso-wrap-style:square;v-text-anchor:top" coordsize="14325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" path="m,l143256,r,111252l,111252,,e" fillcolor="red" stroked="f" strokeweight="0">
                  <v:stroke miterlimit="83231f" joinstyle="miter"/>
                  <v:path arrowok="t" textboxrect="0,0,143256,111252"/>
                </v:shape>
                <v:shape id="Shape 213" o:spid="_x0000_s1032" style="position:absolute;left:4053;width:1433;height:1112;visibility:visible;mso-wrap-style:square;v-text-anchor:top" coordsize="143256,1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" path="m,111252r143256,l143256,,,,,111252xe" filled="f" strokecolor="#3d6e9b" strokeweight=".96pt">
                  <v:stroke miterlimit="83231f" joinstyle="miter"/>
                  <v:path arrowok="t" textboxrect="0,0,143256,111252"/>
                </v:shape>
                <w10:anchorlock/>
              </v:group>
            </w:pict>
          </mc:Fallback>
        </mc:AlternateContent>
      </w:r>
    </w:p>
    <w:p w14:paraId="5E1CC766" w14:textId="77777777" w:rsidR="00C85844" w:rsidRDefault="00C85844" w:rsidP="00C85844">
      <w:pPr>
        <w:spacing w:after="0"/>
        <w:ind w:left="-1440" w:right="15244"/>
      </w:pPr>
    </w:p>
    <w:tbl>
      <w:tblPr>
        <w:tblStyle w:val="TableGrid0"/>
        <w:tblW w:w="5000" w:type="pct"/>
        <w:tblInd w:w="0" w:type="dxa"/>
        <w:tblCellMar>
          <w:top w:w="33" w:type="dxa"/>
          <w:left w:w="107" w:type="dxa"/>
          <w:right w:w="22" w:type="dxa"/>
        </w:tblCellMar>
        <w:tblLook w:val="04A0" w:firstRow="1" w:lastRow="0" w:firstColumn="1" w:lastColumn="0" w:noHBand="0" w:noVBand="1"/>
      </w:tblPr>
      <w:tblGrid>
        <w:gridCol w:w="8029"/>
        <w:gridCol w:w="1213"/>
        <w:gridCol w:w="1218"/>
      </w:tblGrid>
      <w:tr w:rsidR="00C85844" w14:paraId="62011D50"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B4C6E7"/>
          </w:tcPr>
          <w:p w14:paraId="111A698D" w14:textId="77777777" w:rsidR="00C85844" w:rsidRDefault="00C85844" w:rsidP="00A26279">
            <w:r>
              <w:rPr>
                <w:rFonts w:ascii="Arial" w:eastAsia="Arial" w:hAnsi="Arial" w:cs="Arial"/>
                <w:b/>
              </w:rPr>
              <w:t xml:space="preserve">1. Usklađenost s postojećim strateškim okvirom (na nivou cilja i indikatora)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3D50035D" w14:textId="77777777" w:rsidR="00C85844" w:rsidRDefault="00C85844" w:rsidP="00A26279">
            <w:pPr>
              <w:ind w:right="36"/>
              <w:jc w:val="right"/>
            </w:pPr>
            <w:r>
              <w:rPr>
                <w:rFonts w:ascii="Arial" w:eastAsia="Arial" w:hAnsi="Arial" w:cs="Arial"/>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419DE904" w14:textId="77777777" w:rsidR="00C85844" w:rsidRDefault="00C85844" w:rsidP="00A26279">
            <w:pPr>
              <w:ind w:left="1"/>
            </w:pPr>
            <w:r>
              <w:rPr>
                <w:rFonts w:ascii="Arial" w:eastAsia="Arial" w:hAnsi="Arial" w:cs="Arial"/>
              </w:rPr>
              <w:t xml:space="preserve"> </w:t>
            </w:r>
          </w:p>
        </w:tc>
      </w:tr>
      <w:tr w:rsidR="00C85844" w14:paraId="06F7AEA8"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5FCE5E40" w14:textId="77777777" w:rsidR="00C85844" w:rsidRDefault="00C85844" w:rsidP="00A26279">
            <w:pPr>
              <w:tabs>
                <w:tab w:val="center" w:pos="872"/>
                <w:tab w:val="center" w:pos="4306"/>
              </w:tabs>
            </w:pPr>
            <w:r>
              <w:tab/>
            </w:r>
            <w:r>
              <w:rPr>
                <w:rFonts w:ascii="Arial" w:eastAsia="Arial" w:hAnsi="Arial" w:cs="Arial"/>
              </w:rPr>
              <w:t xml:space="preserve">1.1. </w:t>
            </w:r>
            <w:r>
              <w:rPr>
                <w:rFonts w:ascii="Arial" w:eastAsia="Arial" w:hAnsi="Arial" w:cs="Arial"/>
              </w:rPr>
              <w:tab/>
              <w:t xml:space="preserve">Krovna strateška dokumenta (NSOR 2030, PPCG, PRCG, PER, SPRV)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0B02B570"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1F74AA8" w14:textId="77777777" w:rsidR="00C85844" w:rsidRDefault="00C85844" w:rsidP="00A26279">
            <w:pPr>
              <w:ind w:left="1"/>
            </w:pPr>
            <w:r>
              <w:rPr>
                <w:rFonts w:ascii="Arial" w:eastAsia="Arial" w:hAnsi="Arial" w:cs="Arial"/>
              </w:rPr>
              <w:t xml:space="preserve"> </w:t>
            </w:r>
          </w:p>
        </w:tc>
      </w:tr>
      <w:tr w:rsidR="00C85844" w14:paraId="3B10B8EA" w14:textId="77777777" w:rsidTr="00C85844">
        <w:trPr>
          <w:trHeight w:val="718"/>
        </w:trPr>
        <w:tc>
          <w:tcPr>
            <w:tcW w:w="5000" w:type="pct"/>
            <w:gridSpan w:val="3"/>
            <w:tcBorders>
              <w:top w:val="single" w:sz="4" w:space="0" w:color="000000"/>
              <w:left w:val="single" w:sz="4" w:space="0" w:color="000000"/>
              <w:bottom w:val="single" w:sz="4" w:space="0" w:color="000000"/>
              <w:right w:val="single" w:sz="4" w:space="0" w:color="000000"/>
            </w:tcBorders>
          </w:tcPr>
          <w:p w14:paraId="66F4092C" w14:textId="77777777" w:rsidR="00C85844" w:rsidRDefault="00C85844" w:rsidP="00A26279">
            <w:pPr>
              <w:jc w:val="both"/>
            </w:pPr>
            <w:r>
              <w:rPr>
                <w:rFonts w:ascii="Arial" w:eastAsia="Arial" w:hAnsi="Arial" w:cs="Arial"/>
              </w:rPr>
              <w:t xml:space="preserve">Predlog strategije sadrži reference na krovna strateška dokumenta, sa posebnim akcentom na Godišnji program rada Vlade za 2021. godinu, Program pristupanja Crne Gore za period 2021 – 2023. godine, Program ekonomskih reformi za Crnu Goru 2022-2024. godine i Nacionalnu strategiju održivog razvoja do 2030. godine.  </w:t>
            </w:r>
          </w:p>
        </w:tc>
      </w:tr>
      <w:tr w:rsidR="00C85844" w14:paraId="05EF4B4C"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B92AEB2" w14:textId="77777777" w:rsidR="00C85844" w:rsidRDefault="00C85844" w:rsidP="00A26279">
            <w:pPr>
              <w:tabs>
                <w:tab w:val="center" w:pos="872"/>
                <w:tab w:val="center" w:pos="2703"/>
              </w:tabs>
            </w:pPr>
            <w:r>
              <w:tab/>
            </w:r>
            <w:r>
              <w:rPr>
                <w:rFonts w:ascii="Arial" w:eastAsia="Arial" w:hAnsi="Arial" w:cs="Arial"/>
              </w:rPr>
              <w:t xml:space="preserve">1.2. </w:t>
            </w:r>
            <w:r>
              <w:rPr>
                <w:rFonts w:ascii="Arial" w:eastAsia="Arial" w:hAnsi="Arial" w:cs="Arial"/>
              </w:rPr>
              <w:tab/>
              <w:t xml:space="preserve">Sektorska strateška dokumenta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1544934C"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2D379AB" w14:textId="77777777" w:rsidR="00C85844" w:rsidRDefault="00C85844" w:rsidP="00A26279">
            <w:pPr>
              <w:ind w:left="1"/>
            </w:pPr>
            <w:r>
              <w:rPr>
                <w:rFonts w:ascii="Arial" w:eastAsia="Arial" w:hAnsi="Arial" w:cs="Arial"/>
              </w:rPr>
              <w:t xml:space="preserve"> </w:t>
            </w:r>
          </w:p>
        </w:tc>
      </w:tr>
      <w:tr w:rsidR="00C85844" w14:paraId="505B7D0F" w14:textId="77777777" w:rsidTr="00C85844">
        <w:trPr>
          <w:trHeight w:val="989"/>
        </w:trPr>
        <w:tc>
          <w:tcPr>
            <w:tcW w:w="5000" w:type="pct"/>
            <w:gridSpan w:val="3"/>
            <w:tcBorders>
              <w:top w:val="single" w:sz="4" w:space="0" w:color="000000"/>
              <w:left w:val="single" w:sz="4" w:space="0" w:color="000000"/>
              <w:bottom w:val="single" w:sz="4" w:space="0" w:color="000000"/>
              <w:right w:val="single" w:sz="4" w:space="0" w:color="000000"/>
            </w:tcBorders>
          </w:tcPr>
          <w:p w14:paraId="4828629A" w14:textId="77777777" w:rsidR="00C85844" w:rsidRDefault="00C85844" w:rsidP="00A26279">
            <w:pPr>
              <w:ind w:right="87"/>
              <w:jc w:val="both"/>
            </w:pPr>
            <w:r>
              <w:rPr>
                <w:rFonts w:ascii="Arial" w:eastAsia="Arial" w:hAnsi="Arial" w:cs="Arial"/>
              </w:rPr>
              <w:t xml:space="preserve">Predlog Strategije sadrži reference na sektorska strateška dokumenta, sa posebnim akcentom na Strategiju reforme javne uprave za period 2022 – 2026. godine, Strategiju pametne specijalizacije 2019 - 2024. godine, Strategiju za digitalizaciju obrazovnog sistema 2022 - 2027. godine, Strategiju razvoja mikro, malih i srednjih preduzeća u Crnoj Gori 2018 - 2022. godine, kao i relevantnim sektorskim strateškim dokumentima koji za temu imaju oblasti od značaja za proces digitalne transformacije Crne Gore. </w:t>
            </w:r>
          </w:p>
        </w:tc>
      </w:tr>
      <w:tr w:rsidR="00C85844" w14:paraId="3E670208"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60D9922C" w14:textId="77777777" w:rsidR="00C85844" w:rsidRDefault="00C85844" w:rsidP="00A26279">
            <w:pPr>
              <w:tabs>
                <w:tab w:val="center" w:pos="872"/>
                <w:tab w:val="center" w:pos="2364"/>
              </w:tabs>
            </w:pPr>
            <w:r>
              <w:tab/>
            </w:r>
            <w:r>
              <w:rPr>
                <w:rFonts w:ascii="Arial" w:eastAsia="Arial" w:hAnsi="Arial" w:cs="Arial"/>
              </w:rPr>
              <w:t xml:space="preserve">1.3. </w:t>
            </w:r>
            <w:r>
              <w:rPr>
                <w:rFonts w:ascii="Arial" w:eastAsia="Arial" w:hAnsi="Arial" w:cs="Arial"/>
              </w:rPr>
              <w:tab/>
              <w:t xml:space="preserve">Međunarodne obaveze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15C98724"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6F522BCB" w14:textId="77777777" w:rsidR="00C85844" w:rsidRDefault="00C85844" w:rsidP="00A26279">
            <w:pPr>
              <w:ind w:right="1"/>
              <w:jc w:val="center"/>
            </w:pPr>
            <w:r>
              <w:rPr>
                <w:rFonts w:ascii="Arial" w:eastAsia="Arial" w:hAnsi="Arial" w:cs="Arial"/>
              </w:rPr>
              <w:t xml:space="preserve"> </w:t>
            </w:r>
          </w:p>
        </w:tc>
      </w:tr>
      <w:tr w:rsidR="00C85844" w14:paraId="0F6353AE" w14:textId="77777777" w:rsidTr="00C85844">
        <w:trPr>
          <w:trHeight w:val="989"/>
        </w:trPr>
        <w:tc>
          <w:tcPr>
            <w:tcW w:w="5000" w:type="pct"/>
            <w:gridSpan w:val="3"/>
            <w:tcBorders>
              <w:top w:val="single" w:sz="4" w:space="0" w:color="000000"/>
              <w:left w:val="single" w:sz="4" w:space="0" w:color="000000"/>
              <w:bottom w:val="single" w:sz="4" w:space="0" w:color="000000"/>
              <w:right w:val="single" w:sz="4" w:space="0" w:color="000000"/>
            </w:tcBorders>
          </w:tcPr>
          <w:p w14:paraId="10C5CD58" w14:textId="77777777" w:rsidR="00C85844" w:rsidRDefault="00C85844" w:rsidP="00A26279">
            <w:pPr>
              <w:ind w:right="88"/>
              <w:jc w:val="both"/>
            </w:pPr>
            <w:r>
              <w:rPr>
                <w:rFonts w:ascii="Arial" w:eastAsia="Arial" w:hAnsi="Arial" w:cs="Arial"/>
              </w:rPr>
              <w:t xml:space="preserve">U Predlogu Strategije je, shodno sugestijama GSV-a, istaknuta povezanost sa </w:t>
            </w:r>
            <w:r>
              <w:rPr>
                <w:rFonts w:ascii="Arial" w:eastAsia="Arial" w:hAnsi="Arial" w:cs="Arial"/>
                <w:b/>
              </w:rPr>
              <w:t>ciljevima Globalne Agende održivog razvoja do 2030. godine</w:t>
            </w:r>
            <w:r>
              <w:rPr>
                <w:rFonts w:ascii="Arial" w:eastAsia="Arial" w:hAnsi="Arial" w:cs="Arial"/>
              </w:rPr>
              <w:t>, među kojima je posebno istaknut značaj ciljeva SD 4 -</w:t>
            </w:r>
            <w:r>
              <w:rPr>
                <w:rFonts w:ascii="Calibri" w:eastAsia="Calibri" w:hAnsi="Calibri" w:cs="Calibri"/>
              </w:rPr>
              <w:t xml:space="preserve"> </w:t>
            </w:r>
            <w:r>
              <w:rPr>
                <w:rFonts w:ascii="Arial" w:eastAsia="Arial" w:hAnsi="Arial" w:cs="Arial"/>
              </w:rPr>
              <w:t>kvalitetno obrazovanje, SDG 8 - dostojanstven rad i ekonomski rast, SDG 16 -</w:t>
            </w:r>
            <w:r>
              <w:rPr>
                <w:rFonts w:ascii="Calibri" w:eastAsia="Calibri" w:hAnsi="Calibri" w:cs="Calibri"/>
              </w:rPr>
              <w:t xml:space="preserve"> </w:t>
            </w:r>
            <w:r>
              <w:rPr>
                <w:rFonts w:ascii="Arial" w:eastAsia="Arial" w:hAnsi="Arial" w:cs="Arial"/>
              </w:rPr>
              <w:t xml:space="preserve">mir, pravda i jake institucije, SDG 17 - partnerstvo za postizanje ciljeva. </w:t>
            </w:r>
          </w:p>
        </w:tc>
      </w:tr>
      <w:tr w:rsidR="00C85844" w14:paraId="1A623799" w14:textId="77777777" w:rsidTr="00C85844">
        <w:trPr>
          <w:trHeight w:val="441"/>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08E0237" w14:textId="77777777" w:rsidR="00C85844" w:rsidRDefault="00C85844" w:rsidP="00A26279">
            <w:r>
              <w:rPr>
                <w:rFonts w:ascii="Arial" w:eastAsia="Arial" w:hAnsi="Arial" w:cs="Arial"/>
                <w:b/>
              </w:rPr>
              <w:t xml:space="preserve">2. Usklađenost s procesom evropske integracije i ključnim politikama EU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12F7E72D" w14:textId="77777777" w:rsidR="00C85844" w:rsidRDefault="00C85844" w:rsidP="00A26279">
            <w:pPr>
              <w:jc w:val="right"/>
            </w:pPr>
            <w:r>
              <w:rPr>
                <w:rFonts w:ascii="Arial" w:eastAsia="Arial" w:hAnsi="Arial" w:cs="Arial"/>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4B6C721A" w14:textId="77777777" w:rsidR="00C85844" w:rsidRDefault="00C85844" w:rsidP="00A26279">
            <w:pPr>
              <w:ind w:left="1"/>
            </w:pPr>
            <w:r>
              <w:rPr>
                <w:rFonts w:ascii="Arial" w:eastAsia="Arial" w:hAnsi="Arial" w:cs="Arial"/>
              </w:rPr>
              <w:t xml:space="preserve"> </w:t>
            </w:r>
          </w:p>
        </w:tc>
      </w:tr>
      <w:tr w:rsidR="00C85844" w14:paraId="40B511C6" w14:textId="77777777" w:rsidTr="00C85844">
        <w:trPr>
          <w:trHeight w:val="443"/>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44FBAE7D" w14:textId="77777777" w:rsidR="00C85844" w:rsidRDefault="00C85844" w:rsidP="00A26279">
            <w:pPr>
              <w:tabs>
                <w:tab w:val="center" w:pos="872"/>
                <w:tab w:val="center" w:pos="4297"/>
              </w:tabs>
            </w:pPr>
            <w:r>
              <w:tab/>
            </w:r>
            <w:r>
              <w:rPr>
                <w:rFonts w:ascii="Arial" w:eastAsia="Arial" w:hAnsi="Arial" w:cs="Arial"/>
              </w:rPr>
              <w:t xml:space="preserve">2.1. </w:t>
            </w:r>
            <w:r>
              <w:rPr>
                <w:rFonts w:ascii="Arial" w:eastAsia="Arial" w:hAnsi="Arial" w:cs="Arial"/>
              </w:rPr>
              <w:tab/>
              <w:t xml:space="preserve">Nacionalni nivo (završna mjerila, pregovaračka pozicija, kriterijumi IPA )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0661DD50"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7373E8C0" w14:textId="77777777" w:rsidR="00C85844" w:rsidRDefault="00C85844" w:rsidP="00A26279">
            <w:pPr>
              <w:ind w:right="1"/>
              <w:jc w:val="center"/>
            </w:pPr>
            <w:r>
              <w:rPr>
                <w:rFonts w:ascii="Arial" w:eastAsia="Arial" w:hAnsi="Arial" w:cs="Arial"/>
              </w:rPr>
              <w:t xml:space="preserve"> </w:t>
            </w:r>
          </w:p>
        </w:tc>
      </w:tr>
      <w:tr w:rsidR="00C85844" w14:paraId="74627D9D" w14:textId="77777777" w:rsidTr="00C85844">
        <w:trPr>
          <w:trHeight w:val="1262"/>
        </w:trPr>
        <w:tc>
          <w:tcPr>
            <w:tcW w:w="5000" w:type="pct"/>
            <w:gridSpan w:val="3"/>
            <w:tcBorders>
              <w:top w:val="single" w:sz="4" w:space="0" w:color="000000"/>
              <w:left w:val="single" w:sz="4" w:space="0" w:color="000000"/>
              <w:bottom w:val="single" w:sz="4" w:space="0" w:color="000000"/>
              <w:right w:val="single" w:sz="4" w:space="0" w:color="000000"/>
            </w:tcBorders>
          </w:tcPr>
          <w:p w14:paraId="7D77B4DD" w14:textId="77777777" w:rsidR="00C85844" w:rsidRDefault="00C85844" w:rsidP="00A26279">
            <w:pPr>
              <w:ind w:right="86"/>
              <w:jc w:val="both"/>
            </w:pPr>
            <w:r>
              <w:rPr>
                <w:rFonts w:ascii="Arial" w:eastAsia="Arial" w:hAnsi="Arial" w:cs="Arial"/>
              </w:rPr>
              <w:t xml:space="preserve">Konstatuje se da je u Predlogu strateškog dokumenta napravljena veza sa </w:t>
            </w:r>
            <w:r>
              <w:rPr>
                <w:rFonts w:ascii="Arial" w:eastAsia="Arial" w:hAnsi="Arial" w:cs="Arial"/>
                <w:b/>
              </w:rPr>
              <w:t>Programom pristupanja Crne Gore Evropskoj Uniji 2021-2023. godina</w:t>
            </w:r>
            <w:r>
              <w:rPr>
                <w:rFonts w:ascii="Arial" w:eastAsia="Arial" w:hAnsi="Arial" w:cs="Arial"/>
              </w:rPr>
              <w:t xml:space="preserve">, kojim je predviđeno donošenje Strategije digitalne transformacije 2022-2026. godina. Konstatuje se, takođe, da je u ovom dijelu objašnjeno na koji način je ovaj strateški dokument usklađen sa obavezama koje prositiču iz procesa pregovora sa EU, kao i sa programom predpristupne podrške </w:t>
            </w:r>
            <w:r>
              <w:rPr>
                <w:rFonts w:ascii="Arial" w:eastAsia="Arial" w:hAnsi="Arial" w:cs="Arial"/>
                <w:b/>
              </w:rPr>
              <w:t>IPA III</w:t>
            </w:r>
            <w:r>
              <w:rPr>
                <w:rFonts w:ascii="Arial" w:eastAsia="Arial" w:hAnsi="Arial" w:cs="Arial"/>
              </w:rPr>
              <w:t xml:space="preserve">, a napravljena je i veza sa </w:t>
            </w:r>
            <w:r>
              <w:rPr>
                <w:rFonts w:ascii="Arial" w:eastAsia="Arial" w:hAnsi="Arial" w:cs="Arial"/>
                <w:b/>
              </w:rPr>
              <w:t>Izvještajem EK za 2021. godinu</w:t>
            </w:r>
            <w:r>
              <w:rPr>
                <w:rFonts w:ascii="Arial" w:eastAsia="Arial" w:hAnsi="Arial" w:cs="Arial"/>
              </w:rPr>
              <w:t xml:space="preserve"> , gdje je ukazano na postojeće stanje u konkretnoj oblasti javne politike.  </w:t>
            </w:r>
          </w:p>
        </w:tc>
      </w:tr>
      <w:tr w:rsidR="00C85844" w14:paraId="53698886"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179EFA4" w14:textId="77777777" w:rsidR="00C85844" w:rsidRDefault="00C85844" w:rsidP="00A26279">
            <w:pPr>
              <w:tabs>
                <w:tab w:val="center" w:pos="872"/>
                <w:tab w:val="center" w:pos="4207"/>
              </w:tabs>
            </w:pPr>
            <w:r>
              <w:tab/>
            </w:r>
            <w:r>
              <w:rPr>
                <w:rFonts w:ascii="Arial" w:eastAsia="Arial" w:hAnsi="Arial" w:cs="Arial"/>
              </w:rPr>
              <w:t xml:space="preserve">2.2. </w:t>
            </w:r>
            <w:r>
              <w:rPr>
                <w:rFonts w:ascii="Arial" w:eastAsia="Arial" w:hAnsi="Arial" w:cs="Arial"/>
              </w:rPr>
              <w:tab/>
              <w:t xml:space="preserve">EU nivo (strateški okvir EU, sektorske politike EU, ciljevi EU do 2030)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3DEB26F1"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141C685" w14:textId="77777777" w:rsidR="00C85844" w:rsidRDefault="00C85844" w:rsidP="00A26279">
            <w:pPr>
              <w:ind w:left="1"/>
            </w:pPr>
            <w:r>
              <w:rPr>
                <w:rFonts w:ascii="Arial" w:eastAsia="Arial" w:hAnsi="Arial" w:cs="Arial"/>
              </w:rPr>
              <w:t xml:space="preserve"> </w:t>
            </w:r>
          </w:p>
        </w:tc>
      </w:tr>
      <w:tr w:rsidR="00C85844" w14:paraId="61B1EBB1" w14:textId="77777777" w:rsidTr="00C85844">
        <w:trPr>
          <w:trHeight w:val="1807"/>
        </w:trPr>
        <w:tc>
          <w:tcPr>
            <w:tcW w:w="5000" w:type="pct"/>
            <w:gridSpan w:val="3"/>
            <w:tcBorders>
              <w:top w:val="single" w:sz="4" w:space="0" w:color="000000"/>
              <w:left w:val="single" w:sz="4" w:space="0" w:color="000000"/>
              <w:bottom w:val="single" w:sz="4" w:space="0" w:color="000000"/>
              <w:right w:val="single" w:sz="4" w:space="0" w:color="000000"/>
            </w:tcBorders>
          </w:tcPr>
          <w:p w14:paraId="12A75CF8" w14:textId="77777777" w:rsidR="00C85844" w:rsidRDefault="00C85844" w:rsidP="00A26279">
            <w:pPr>
              <w:spacing w:after="196"/>
              <w:jc w:val="both"/>
            </w:pPr>
            <w:r>
              <w:rPr>
                <w:rFonts w:ascii="Arial" w:eastAsia="Arial" w:hAnsi="Arial" w:cs="Arial"/>
              </w:rPr>
              <w:t xml:space="preserve">U uvodnom dijelu Predloga strateškog dokumenta razmotren je strateški okvir Evropske Unije u ovoj oblasti. Shodno tome, prilikom definisanja ciljeva Strategije digitalne transformacije 2022-2026. godina su uzeta u obzir sledeća strateška dokumenta: </w:t>
            </w:r>
          </w:p>
          <w:p w14:paraId="39A63E55" w14:textId="77777777" w:rsidR="00C85844" w:rsidRDefault="00C85844" w:rsidP="00C85844">
            <w:pPr>
              <w:numPr>
                <w:ilvl w:val="0"/>
                <w:numId w:val="66"/>
              </w:numPr>
              <w:spacing w:after="42" w:line="259" w:lineRule="auto"/>
              <w:ind w:hanging="360"/>
            </w:pPr>
            <w:r>
              <w:rPr>
                <w:rFonts w:ascii="Arial" w:eastAsia="Arial" w:hAnsi="Arial" w:cs="Arial"/>
              </w:rPr>
              <w:t xml:space="preserve">Digitalna decenija Evrope: digitalni ciljevi za 2030; </w:t>
            </w:r>
          </w:p>
          <w:p w14:paraId="39B20B1C" w14:textId="77777777" w:rsidR="00C85844" w:rsidRDefault="00C85844" w:rsidP="00C85844">
            <w:pPr>
              <w:numPr>
                <w:ilvl w:val="0"/>
                <w:numId w:val="66"/>
              </w:numPr>
              <w:spacing w:after="45" w:line="259" w:lineRule="auto"/>
              <w:ind w:hanging="360"/>
            </w:pPr>
            <w:r>
              <w:rPr>
                <w:rFonts w:ascii="Arial" w:eastAsia="Arial" w:hAnsi="Arial" w:cs="Arial"/>
              </w:rPr>
              <w:t xml:space="preserve">Evropska strategija podataka; </w:t>
            </w:r>
          </w:p>
          <w:p w14:paraId="7E610EE7" w14:textId="77777777" w:rsidR="00C85844" w:rsidRDefault="00C85844" w:rsidP="00C85844">
            <w:pPr>
              <w:numPr>
                <w:ilvl w:val="0"/>
                <w:numId w:val="66"/>
              </w:numPr>
              <w:spacing w:after="42" w:line="259" w:lineRule="auto"/>
              <w:ind w:hanging="360"/>
            </w:pPr>
            <w:r>
              <w:rPr>
                <w:rFonts w:ascii="Arial" w:eastAsia="Arial" w:hAnsi="Arial" w:cs="Arial"/>
              </w:rPr>
              <w:t xml:space="preserve">Evropska agenda vještina; </w:t>
            </w:r>
          </w:p>
          <w:p w14:paraId="6C85BD09" w14:textId="77777777" w:rsidR="00C85844" w:rsidRDefault="00C85844" w:rsidP="00C85844">
            <w:pPr>
              <w:numPr>
                <w:ilvl w:val="0"/>
                <w:numId w:val="66"/>
              </w:numPr>
              <w:spacing w:line="259" w:lineRule="auto"/>
              <w:ind w:hanging="360"/>
            </w:pPr>
            <w:r>
              <w:rPr>
                <w:rFonts w:ascii="Arial" w:eastAsia="Arial" w:hAnsi="Arial" w:cs="Arial"/>
              </w:rPr>
              <w:t xml:space="preserve">Evropska industrijska strategija; </w:t>
            </w:r>
          </w:p>
        </w:tc>
      </w:tr>
    </w:tbl>
    <w:p w14:paraId="01ABD506" w14:textId="77777777" w:rsidR="00C85844" w:rsidRDefault="00C85844" w:rsidP="00C85844">
      <w:pPr>
        <w:spacing w:after="0"/>
        <w:ind w:left="-1440" w:right="15244"/>
      </w:pPr>
    </w:p>
    <w:tbl>
      <w:tblPr>
        <w:tblStyle w:val="TableGrid0"/>
        <w:tblW w:w="5000" w:type="pct"/>
        <w:tblInd w:w="0" w:type="dxa"/>
        <w:tblCellMar>
          <w:top w:w="33" w:type="dxa"/>
          <w:left w:w="107" w:type="dxa"/>
          <w:right w:w="22" w:type="dxa"/>
        </w:tblCellMar>
        <w:tblLook w:val="04A0" w:firstRow="1" w:lastRow="0" w:firstColumn="1" w:lastColumn="0" w:noHBand="0" w:noVBand="1"/>
      </w:tblPr>
      <w:tblGrid>
        <w:gridCol w:w="8029"/>
        <w:gridCol w:w="1213"/>
        <w:gridCol w:w="1218"/>
      </w:tblGrid>
      <w:tr w:rsidR="00C85844" w14:paraId="63C686B9" w14:textId="77777777" w:rsidTr="00C85844">
        <w:trPr>
          <w:trHeight w:val="2476"/>
        </w:trPr>
        <w:tc>
          <w:tcPr>
            <w:tcW w:w="5000" w:type="pct"/>
            <w:gridSpan w:val="3"/>
            <w:tcBorders>
              <w:top w:val="single" w:sz="4" w:space="0" w:color="000000"/>
              <w:left w:val="single" w:sz="4" w:space="0" w:color="000000"/>
              <w:bottom w:val="single" w:sz="4" w:space="0" w:color="000000"/>
              <w:right w:val="single" w:sz="4" w:space="0" w:color="000000"/>
            </w:tcBorders>
          </w:tcPr>
          <w:p w14:paraId="3817F3FD" w14:textId="77777777" w:rsidR="00C85844" w:rsidRDefault="00C85844" w:rsidP="00A26279">
            <w:pPr>
              <w:tabs>
                <w:tab w:val="center" w:pos="391"/>
                <w:tab w:val="center" w:pos="4196"/>
              </w:tabs>
              <w:spacing w:after="172"/>
            </w:pPr>
            <w:r>
              <w:tab/>
            </w:r>
            <w:r>
              <w:rPr>
                <w:rFonts w:ascii="Arial" w:eastAsia="Arial" w:hAnsi="Arial" w:cs="Arial"/>
              </w:rPr>
              <w:t xml:space="preserve">- </w:t>
            </w:r>
            <w:r>
              <w:rPr>
                <w:rFonts w:ascii="Arial" w:eastAsia="Arial" w:hAnsi="Arial" w:cs="Arial"/>
              </w:rPr>
              <w:tab/>
              <w:t xml:space="preserve">Zajedničko regionalno tržište, Akcioni plan 2021-2024. za zajedničko regionalno tržište; </w:t>
            </w:r>
          </w:p>
          <w:p w14:paraId="09F7FC38" w14:textId="77777777" w:rsidR="00C85844" w:rsidRDefault="00C85844" w:rsidP="00A26279">
            <w:pPr>
              <w:spacing w:after="224"/>
            </w:pPr>
            <w:r>
              <w:rPr>
                <w:rFonts w:ascii="Arial" w:eastAsia="Arial" w:hAnsi="Arial" w:cs="Arial"/>
              </w:rPr>
              <w:t>Takođe, u Predlogu strateškog dokumenta, kao osnova za definisanje ciljeva,</w:t>
            </w:r>
            <w:r>
              <w:rPr>
                <w:rFonts w:ascii="Calibri" w:eastAsia="Calibri" w:hAnsi="Calibri" w:cs="Calibri"/>
              </w:rPr>
              <w:t xml:space="preserve"> </w:t>
            </w:r>
            <w:r>
              <w:rPr>
                <w:rFonts w:ascii="Arial" w:eastAsia="Arial" w:hAnsi="Arial" w:cs="Arial"/>
              </w:rPr>
              <w:t xml:space="preserve">prepoznate su </w:t>
            </w:r>
            <w:r>
              <w:rPr>
                <w:rFonts w:ascii="Calibri" w:eastAsia="Calibri" w:hAnsi="Calibri" w:cs="Calibri"/>
              </w:rPr>
              <w:t xml:space="preserve">i </w:t>
            </w:r>
            <w:r>
              <w:rPr>
                <w:rFonts w:ascii="Arial" w:eastAsia="Arial" w:hAnsi="Arial" w:cs="Arial"/>
              </w:rPr>
              <w:t xml:space="preserve">četiri direktive EU iz oblasti podataka: </w:t>
            </w:r>
          </w:p>
          <w:p w14:paraId="0993A985" w14:textId="77777777" w:rsidR="00C85844" w:rsidRDefault="00C85844" w:rsidP="00C85844">
            <w:pPr>
              <w:numPr>
                <w:ilvl w:val="0"/>
                <w:numId w:val="67"/>
              </w:numPr>
              <w:spacing w:after="17" w:line="259" w:lineRule="auto"/>
              <w:ind w:hanging="360"/>
            </w:pPr>
            <w:r>
              <w:rPr>
                <w:rFonts w:ascii="Arial" w:eastAsia="Arial" w:hAnsi="Arial" w:cs="Arial"/>
              </w:rPr>
              <w:t xml:space="preserve">Direktiva 2013/37/EU  Evropskog parlamenta i Savjeta od 26. juna 2013. o izmjeni Direktive 2003/98/EC o ponovnoj upotrebi informacija iz javnog sektora; </w:t>
            </w:r>
          </w:p>
          <w:p w14:paraId="00DAF723" w14:textId="77777777" w:rsidR="00C85844" w:rsidRDefault="00C85844" w:rsidP="00C85844">
            <w:pPr>
              <w:numPr>
                <w:ilvl w:val="0"/>
                <w:numId w:val="67"/>
              </w:numPr>
              <w:spacing w:after="15" w:line="259" w:lineRule="auto"/>
              <w:ind w:hanging="360"/>
            </w:pPr>
            <w:r>
              <w:rPr>
                <w:rFonts w:ascii="Arial" w:eastAsia="Arial" w:hAnsi="Arial" w:cs="Arial"/>
              </w:rPr>
              <w:t xml:space="preserve">Direktiva (EU) 2019/1024  Evropskog parlamenta i Savjeta od 20. juna 2019. o otvorenim podacima i ponovnoj upotrebi informacija iz javnog sektora </w:t>
            </w:r>
          </w:p>
          <w:p w14:paraId="6B47A672" w14:textId="77777777" w:rsidR="00C85844" w:rsidRDefault="00C85844" w:rsidP="00C85844">
            <w:pPr>
              <w:numPr>
                <w:ilvl w:val="0"/>
                <w:numId w:val="67"/>
              </w:numPr>
              <w:spacing w:after="17" w:line="259" w:lineRule="auto"/>
              <w:ind w:hanging="360"/>
            </w:pPr>
            <w:r>
              <w:rPr>
                <w:rFonts w:ascii="Arial" w:eastAsia="Arial" w:hAnsi="Arial" w:cs="Arial"/>
              </w:rPr>
              <w:t xml:space="preserve">Uredba (EU) 2018/1807  Evropskog parlamenta i Savjeta od 14. novembra 2018. o okviru za slobodan protok ne-ličnih podataka u Evropskoj uniji </w:t>
            </w:r>
          </w:p>
          <w:p w14:paraId="36C94E1D" w14:textId="77777777" w:rsidR="00C85844" w:rsidRDefault="00C85844" w:rsidP="00C85844">
            <w:pPr>
              <w:numPr>
                <w:ilvl w:val="0"/>
                <w:numId w:val="67"/>
              </w:numPr>
              <w:spacing w:line="259" w:lineRule="auto"/>
              <w:ind w:hanging="360"/>
            </w:pPr>
            <w:r>
              <w:rPr>
                <w:rFonts w:ascii="Arial" w:eastAsia="Arial" w:hAnsi="Arial" w:cs="Arial"/>
              </w:rPr>
              <w:t xml:space="preserve">Uredba (EU) 2016/679  Evropskog parlamenta i Savjeta od 27. aprila 2016. o zaštiti fizičkih lica u vezi sa obradom ličnih podataka i o slobodnom kretanju tih podataka i stavljanju van snage Direktive 95/46/ EC – Opšta uredba o zaštiti podataka </w:t>
            </w:r>
          </w:p>
        </w:tc>
      </w:tr>
      <w:tr w:rsidR="00C85844" w14:paraId="2075C2F5"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522B5F64" w14:textId="77777777" w:rsidR="00C85844" w:rsidRDefault="00C85844" w:rsidP="00A26279">
            <w:r>
              <w:rPr>
                <w:rFonts w:ascii="Arial" w:eastAsia="Arial" w:hAnsi="Arial" w:cs="Arial"/>
                <w:b/>
              </w:rPr>
              <w:t xml:space="preserve">3. Usklađenost s Uredbom o načinu i postupku izrade, usklađivanja i praćenja sprovođenja strateških dokumenata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64F766A7" w14:textId="77777777" w:rsidR="00C85844" w:rsidRDefault="00C85844" w:rsidP="00A26279">
            <w:pPr>
              <w:ind w:left="1"/>
              <w:jc w:val="center"/>
            </w:pP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22A0105" w14:textId="77777777" w:rsidR="00C85844" w:rsidRDefault="00C85844" w:rsidP="00A26279">
            <w:pPr>
              <w:ind w:left="1"/>
            </w:pPr>
            <w:r>
              <w:rPr>
                <w:rFonts w:ascii="Arial" w:eastAsia="Arial" w:hAnsi="Arial" w:cs="Arial"/>
              </w:rPr>
              <w:t xml:space="preserve"> </w:t>
            </w:r>
          </w:p>
        </w:tc>
      </w:tr>
      <w:tr w:rsidR="00C85844" w14:paraId="60CCC5C1"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60C4F5F0" w14:textId="77777777" w:rsidR="00C85844" w:rsidRDefault="00C85844" w:rsidP="00A26279">
            <w:pPr>
              <w:tabs>
                <w:tab w:val="center" w:pos="872"/>
                <w:tab w:val="center" w:pos="3896"/>
              </w:tabs>
            </w:pPr>
            <w:r>
              <w:tab/>
            </w:r>
            <w:r>
              <w:rPr>
                <w:rFonts w:ascii="Arial" w:eastAsia="Arial" w:hAnsi="Arial" w:cs="Arial"/>
                <w:b/>
              </w:rPr>
              <w:t xml:space="preserve">3.1. </w:t>
            </w:r>
            <w:r>
              <w:rPr>
                <w:rFonts w:ascii="Arial" w:eastAsia="Arial" w:hAnsi="Arial" w:cs="Arial"/>
                <w:b/>
              </w:rPr>
              <w:tab/>
              <w:t xml:space="preserve">Sadrži li strateški dokument obavezan sadržaj iz Uredbe?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7F1BED39"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6D689944" w14:textId="77777777" w:rsidR="00C85844" w:rsidRDefault="00C85844" w:rsidP="00A26279">
            <w:pPr>
              <w:ind w:left="1"/>
            </w:pPr>
            <w:r>
              <w:rPr>
                <w:rFonts w:ascii="Arial" w:eastAsia="Arial" w:hAnsi="Arial" w:cs="Arial"/>
              </w:rPr>
              <w:t xml:space="preserve"> </w:t>
            </w:r>
          </w:p>
        </w:tc>
      </w:tr>
      <w:tr w:rsidR="00C85844" w14:paraId="5846441E" w14:textId="77777777" w:rsidTr="00C85844">
        <w:trPr>
          <w:trHeight w:val="444"/>
        </w:trPr>
        <w:tc>
          <w:tcPr>
            <w:tcW w:w="5000" w:type="pct"/>
            <w:gridSpan w:val="3"/>
            <w:tcBorders>
              <w:top w:val="single" w:sz="4" w:space="0" w:color="000000"/>
              <w:left w:val="single" w:sz="4" w:space="0" w:color="000000"/>
              <w:bottom w:val="single" w:sz="4" w:space="0" w:color="000000"/>
              <w:right w:val="single" w:sz="4" w:space="0" w:color="000000"/>
            </w:tcBorders>
          </w:tcPr>
          <w:p w14:paraId="2ACB674A" w14:textId="77777777" w:rsidR="00C85844" w:rsidRDefault="00C85844" w:rsidP="00A26279">
            <w:r>
              <w:rPr>
                <w:rFonts w:ascii="Arial" w:eastAsia="Arial" w:hAnsi="Arial" w:cs="Arial"/>
              </w:rPr>
              <w:t xml:space="preserve">Konstatuje se da je Predlog strateškog dokumenta, u smislu definisanog sadržaja, usklađen sa zahtjevima koji proističu iz Uredbe i Metodologije.  </w:t>
            </w:r>
          </w:p>
        </w:tc>
      </w:tr>
      <w:tr w:rsidR="00C85844" w14:paraId="04639E94"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1AB0229E" w14:textId="77777777" w:rsidR="00C85844" w:rsidRDefault="00C85844" w:rsidP="00A26279">
            <w:pPr>
              <w:tabs>
                <w:tab w:val="center" w:pos="872"/>
                <w:tab w:val="center" w:pos="2524"/>
              </w:tabs>
            </w:pPr>
            <w:r>
              <w:tab/>
            </w:r>
            <w:r>
              <w:rPr>
                <w:rFonts w:ascii="Arial" w:eastAsia="Arial" w:hAnsi="Arial" w:cs="Arial"/>
                <w:b/>
              </w:rPr>
              <w:t xml:space="preserve">3.2. </w:t>
            </w:r>
            <w:r>
              <w:rPr>
                <w:rFonts w:ascii="Arial" w:eastAsia="Arial" w:hAnsi="Arial" w:cs="Arial"/>
                <w:b/>
              </w:rPr>
              <w:tab/>
              <w:t xml:space="preserve">Analiza stanja i problema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722CDA91" w14:textId="77777777" w:rsidR="00C85844" w:rsidRDefault="00C85844" w:rsidP="00A26279">
            <w:pPr>
              <w:ind w:left="1"/>
              <w:jc w:val="center"/>
            </w:pP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3DC9DE58" w14:textId="77777777" w:rsidR="00C85844" w:rsidRDefault="00C85844" w:rsidP="00A26279">
            <w:pPr>
              <w:ind w:left="1"/>
            </w:pPr>
            <w:r>
              <w:rPr>
                <w:rFonts w:ascii="Arial" w:eastAsia="Arial" w:hAnsi="Arial" w:cs="Arial"/>
              </w:rPr>
              <w:t xml:space="preserve"> </w:t>
            </w:r>
          </w:p>
        </w:tc>
      </w:tr>
      <w:tr w:rsidR="00C85844" w14:paraId="265480B3" w14:textId="77777777" w:rsidTr="00C85844">
        <w:trPr>
          <w:trHeight w:val="713"/>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CC7479D" w14:textId="77777777" w:rsidR="00C85844" w:rsidRDefault="00C85844" w:rsidP="00A26279">
            <w:pPr>
              <w:ind w:left="2160" w:hanging="720"/>
            </w:pPr>
            <w:r>
              <w:rPr>
                <w:rFonts w:ascii="Arial" w:eastAsia="Arial" w:hAnsi="Arial" w:cs="Arial"/>
              </w:rPr>
              <w:t xml:space="preserve">3.2.1. </w:t>
            </w:r>
            <w:r>
              <w:rPr>
                <w:rFonts w:ascii="Arial" w:eastAsia="Arial" w:hAnsi="Arial" w:cs="Arial"/>
              </w:rPr>
              <w:tab/>
              <w:t>Obuhvata li analiza stanja analizu učinaka (uključujući i nedostatke) prethodnog strateškog dokumenta, ukoliko je postojao?</w:t>
            </w:r>
            <w:r>
              <w:rPr>
                <w:rFonts w:ascii="Arial" w:eastAsia="Arial" w:hAnsi="Arial" w:cs="Arial"/>
                <w:b/>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0413468D"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72865414" w14:textId="77777777" w:rsidR="00C85844" w:rsidRDefault="00C85844" w:rsidP="00A26279">
            <w:pPr>
              <w:ind w:left="1"/>
            </w:pPr>
            <w:r>
              <w:rPr>
                <w:rFonts w:ascii="Arial" w:eastAsia="Arial" w:hAnsi="Arial" w:cs="Arial"/>
              </w:rPr>
              <w:t xml:space="preserve"> </w:t>
            </w:r>
          </w:p>
        </w:tc>
      </w:tr>
      <w:tr w:rsidR="00C85844" w14:paraId="519FCFE1" w14:textId="77777777" w:rsidTr="00C85844">
        <w:trPr>
          <w:trHeight w:val="1262"/>
        </w:trPr>
        <w:tc>
          <w:tcPr>
            <w:tcW w:w="5000" w:type="pct"/>
            <w:gridSpan w:val="3"/>
            <w:tcBorders>
              <w:top w:val="single" w:sz="4" w:space="0" w:color="000000"/>
              <w:left w:val="single" w:sz="4" w:space="0" w:color="000000"/>
              <w:bottom w:val="single" w:sz="4" w:space="0" w:color="000000"/>
              <w:right w:val="single" w:sz="4" w:space="0" w:color="000000"/>
            </w:tcBorders>
          </w:tcPr>
          <w:p w14:paraId="12DA0934" w14:textId="77777777" w:rsidR="00C85844" w:rsidRDefault="00C85844" w:rsidP="00A26279">
            <w:pPr>
              <w:ind w:right="87"/>
              <w:jc w:val="both"/>
            </w:pPr>
            <w:r>
              <w:rPr>
                <w:rFonts w:ascii="Arial" w:eastAsia="Arial" w:hAnsi="Arial" w:cs="Arial"/>
              </w:rPr>
              <w:t xml:space="preserve">U analizi stanja je napravljena referenca i istaknuti su ključni rezultati implementacije prethodno važećeg strateškog dokumenta koji se bavi pitanjem digitalizacije </w:t>
            </w:r>
            <w:r>
              <w:rPr>
                <w:rFonts w:ascii="Arial" w:eastAsia="Arial" w:hAnsi="Arial" w:cs="Arial"/>
                <w:b/>
              </w:rPr>
              <w:t>(Strategija razvoja informacionog društva 2016-2020)</w:t>
            </w:r>
            <w:r>
              <w:rPr>
                <w:rFonts w:ascii="Arial" w:eastAsia="Arial" w:hAnsi="Arial" w:cs="Arial"/>
              </w:rPr>
              <w:t xml:space="preserve">. U Predlogu strateškog dokumenta je dat osvrt na učinak ovog dokumenta kroz prikaz realizacije specifičnih aktivnosti po sledećim ciljevima (oblastima): 1) infrastruktura za širokopojasni pristup; 3) e-poslovanje; 4) e-obrazovanje; 5) e-zdravstvo; 6) e-uključivanje; 7) e-uprava; 8) istraživanje, inovacije. </w:t>
            </w:r>
          </w:p>
        </w:tc>
      </w:tr>
      <w:tr w:rsidR="00C85844" w14:paraId="490A1F10"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AF6C938" w14:textId="77777777" w:rsidR="00C85844" w:rsidRDefault="00C85844" w:rsidP="00A26279">
            <w:pPr>
              <w:tabs>
                <w:tab w:val="center" w:pos="1667"/>
                <w:tab w:val="center" w:pos="5037"/>
              </w:tabs>
            </w:pPr>
            <w:r>
              <w:tab/>
            </w:r>
            <w:r>
              <w:rPr>
                <w:rFonts w:ascii="Arial" w:eastAsia="Arial" w:hAnsi="Arial" w:cs="Arial"/>
              </w:rPr>
              <w:t xml:space="preserve">3.2.2. </w:t>
            </w:r>
            <w:r>
              <w:rPr>
                <w:rFonts w:ascii="Arial" w:eastAsia="Arial" w:hAnsi="Arial" w:cs="Arial"/>
              </w:rPr>
              <w:tab/>
              <w:t xml:space="preserve">Počiva li analiza stanja na mjerljivim podacima koji ukazuju na problem?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68926B6B"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542FCE4C" w14:textId="77777777" w:rsidR="00C85844" w:rsidRDefault="00C85844" w:rsidP="00A26279">
            <w:pPr>
              <w:ind w:left="1"/>
            </w:pPr>
            <w:r>
              <w:rPr>
                <w:rFonts w:ascii="Arial" w:eastAsia="Arial" w:hAnsi="Arial" w:cs="Arial"/>
              </w:rPr>
              <w:t xml:space="preserve"> </w:t>
            </w:r>
          </w:p>
        </w:tc>
      </w:tr>
      <w:tr w:rsidR="00C85844" w14:paraId="0D8F0447" w14:textId="77777777" w:rsidTr="00C85844">
        <w:trPr>
          <w:trHeight w:val="1946"/>
        </w:trPr>
        <w:tc>
          <w:tcPr>
            <w:tcW w:w="5000" w:type="pct"/>
            <w:gridSpan w:val="3"/>
            <w:tcBorders>
              <w:top w:val="single" w:sz="4" w:space="0" w:color="000000"/>
              <w:left w:val="single" w:sz="4" w:space="0" w:color="000000"/>
              <w:bottom w:val="single" w:sz="4" w:space="0" w:color="000000"/>
              <w:right w:val="single" w:sz="4" w:space="0" w:color="000000"/>
            </w:tcBorders>
          </w:tcPr>
          <w:p w14:paraId="24568068" w14:textId="77777777" w:rsidR="00C85844" w:rsidRDefault="00C85844" w:rsidP="00A26279">
            <w:pPr>
              <w:spacing w:after="157" w:line="258" w:lineRule="auto"/>
              <w:ind w:right="86"/>
              <w:jc w:val="both"/>
            </w:pPr>
            <w:r>
              <w:rPr>
                <w:rFonts w:ascii="Arial" w:eastAsia="Arial" w:hAnsi="Arial" w:cs="Arial"/>
              </w:rPr>
              <w:t xml:space="preserve">Strateškim dokumentom definisana je analiza stanja koja sadrži prikaz trenutnog stanja, kao i najvažnijih dostignuća u oblasti digitalizacije. U okviru analize stanja prikazano je sedam cjelina (organizacija i koordinacija; eUsluge i dizajn usluga; eIdentifikacija, usluge od povjerenja i sajber bezbjednost; dostupnost podataka i interoperabilnost; digitalna povezanost, vještine i edukacija; IKT industrija) i za svaku od njih navedeni su ključni izazovi i problemi. Predstavljena je i SWOT analiza za pojedine cjeline, a u pripremi analize stanje korištene su sledeće metode: analiza dostupne dokumentacije, desktop istraživanje (prikupljanje kvantitativnih i kvalitativnih informacija sa međunarodnim referentnim podacima), online anketiranje sa ciljem identifikacije glavnih izazova na polju digitalizacije. </w:t>
            </w:r>
          </w:p>
          <w:p w14:paraId="2588D639" w14:textId="77777777" w:rsidR="00C85844" w:rsidRDefault="00C85844" w:rsidP="00A26279">
            <w:r>
              <w:rPr>
                <w:rFonts w:ascii="Arial" w:eastAsia="Arial" w:hAnsi="Arial" w:cs="Arial"/>
              </w:rPr>
              <w:t xml:space="preserve">Ovako predstavljena analiza stanja predstavlja primjer dobre prakse za definisanje ovog segmenta strateškog dokumenta. </w:t>
            </w:r>
          </w:p>
        </w:tc>
      </w:tr>
    </w:tbl>
    <w:p w14:paraId="42A3DAC7" w14:textId="77777777" w:rsidR="00C85844" w:rsidRDefault="00C85844" w:rsidP="00C85844">
      <w:pPr>
        <w:spacing w:after="0"/>
        <w:ind w:left="-1440" w:right="15244"/>
      </w:pPr>
    </w:p>
    <w:tbl>
      <w:tblPr>
        <w:tblStyle w:val="TableGrid0"/>
        <w:tblW w:w="5000" w:type="pct"/>
        <w:tblInd w:w="0" w:type="dxa"/>
        <w:tblCellMar>
          <w:top w:w="33" w:type="dxa"/>
          <w:left w:w="107" w:type="dxa"/>
          <w:right w:w="22" w:type="dxa"/>
        </w:tblCellMar>
        <w:tblLook w:val="04A0" w:firstRow="1" w:lastRow="0" w:firstColumn="1" w:lastColumn="0" w:noHBand="0" w:noVBand="1"/>
      </w:tblPr>
      <w:tblGrid>
        <w:gridCol w:w="8029"/>
        <w:gridCol w:w="1213"/>
        <w:gridCol w:w="1218"/>
      </w:tblGrid>
      <w:tr w:rsidR="00C85844" w14:paraId="4E042A69"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30CECF8" w14:textId="77777777" w:rsidR="00C85844" w:rsidRDefault="00C85844" w:rsidP="00A26279">
            <w:pPr>
              <w:tabs>
                <w:tab w:val="center" w:pos="1667"/>
                <w:tab w:val="center" w:pos="5601"/>
              </w:tabs>
            </w:pPr>
            <w:r>
              <w:tab/>
            </w:r>
            <w:r>
              <w:rPr>
                <w:rFonts w:ascii="Arial" w:eastAsia="Arial" w:hAnsi="Arial" w:cs="Arial"/>
              </w:rPr>
              <w:t xml:space="preserve">3.2.3. </w:t>
            </w:r>
            <w:r>
              <w:rPr>
                <w:rFonts w:ascii="Arial" w:eastAsia="Arial" w:hAnsi="Arial" w:cs="Arial"/>
              </w:rPr>
              <w:tab/>
              <w:t xml:space="preserve">Obuhvata li analiza stanja i analizu uloga domaćih i međunarodnih relevantnih aktera?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41EBB66B"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AC1F5ED" w14:textId="77777777" w:rsidR="00C85844" w:rsidRDefault="00C85844" w:rsidP="00A26279">
            <w:pPr>
              <w:ind w:left="1"/>
            </w:pPr>
            <w:r>
              <w:rPr>
                <w:rFonts w:ascii="Arial" w:eastAsia="Arial" w:hAnsi="Arial" w:cs="Arial"/>
              </w:rPr>
              <w:t xml:space="preserve"> </w:t>
            </w:r>
          </w:p>
        </w:tc>
      </w:tr>
      <w:tr w:rsidR="00C85844" w14:paraId="043AE3C8" w14:textId="77777777" w:rsidTr="00C85844">
        <w:trPr>
          <w:trHeight w:val="2213"/>
        </w:trPr>
        <w:tc>
          <w:tcPr>
            <w:tcW w:w="5000" w:type="pct"/>
            <w:gridSpan w:val="3"/>
            <w:tcBorders>
              <w:top w:val="single" w:sz="4" w:space="0" w:color="000000"/>
              <w:left w:val="single" w:sz="4" w:space="0" w:color="000000"/>
              <w:bottom w:val="single" w:sz="4" w:space="0" w:color="000000"/>
              <w:right w:val="single" w:sz="4" w:space="0" w:color="000000"/>
            </w:tcBorders>
          </w:tcPr>
          <w:p w14:paraId="10DBE985" w14:textId="77777777" w:rsidR="00C85844" w:rsidRDefault="00C85844" w:rsidP="00A26279">
            <w:pPr>
              <w:spacing w:after="177"/>
            </w:pPr>
            <w:r>
              <w:rPr>
                <w:rFonts w:ascii="Arial" w:eastAsia="Arial" w:hAnsi="Arial" w:cs="Arial"/>
              </w:rPr>
              <w:t xml:space="preserve">U Analizi stanja akcenat je stavljen na sledeće aktere: </w:t>
            </w:r>
          </w:p>
          <w:p w14:paraId="5F9A51F4" w14:textId="77777777" w:rsidR="00C85844" w:rsidRDefault="00C85844" w:rsidP="00A26279">
            <w:pPr>
              <w:spacing w:line="242" w:lineRule="auto"/>
            </w:pPr>
            <w:r>
              <w:rPr>
                <w:rFonts w:ascii="Arial" w:eastAsia="Arial" w:hAnsi="Arial" w:cs="Arial"/>
              </w:rPr>
              <w:t xml:space="preserve">- </w:t>
            </w:r>
            <w:r>
              <w:rPr>
                <w:rFonts w:ascii="Arial" w:eastAsia="Arial" w:hAnsi="Arial" w:cs="Arial"/>
              </w:rPr>
              <w:tab/>
              <w:t xml:space="preserve">Generalni sekretarijat Vlade Crne Gore; Ministarstvo javne uprave, digitalnog društva i medija; Ministarstvo finansija i socijalnog staranja; Ministarstvo ekonomskog razvoja; Ministarstvo prosvjete, nauke, kulture i sporta; Ministarstvo zdravlja; Ministarstvo unutrašnjih poslova; Agencija za elektronske komunikacije i poštansku djelatnost; NVO 35mm; NVO multimedija MNE; bankarski sektor; akademska zajednica; telekomunikacioni sektor; ICT zajednica. </w:t>
            </w:r>
          </w:p>
          <w:p w14:paraId="3E46F826" w14:textId="77777777" w:rsidR="00C85844" w:rsidRDefault="00C85844" w:rsidP="00A26279">
            <w:r>
              <w:rPr>
                <w:rFonts w:ascii="Arial" w:eastAsia="Arial" w:hAnsi="Arial" w:cs="Arial"/>
              </w:rPr>
              <w:t xml:space="preserve"> </w:t>
            </w:r>
          </w:p>
          <w:p w14:paraId="43AAA2F8" w14:textId="77777777" w:rsidR="00C85844" w:rsidRDefault="00C85844" w:rsidP="00A26279">
            <w:pPr>
              <w:ind w:right="90"/>
              <w:jc w:val="both"/>
            </w:pPr>
            <w:r>
              <w:rPr>
                <w:rFonts w:ascii="Arial" w:eastAsia="Arial" w:hAnsi="Arial" w:cs="Arial"/>
                <w:b/>
              </w:rPr>
              <w:t xml:space="preserve">Konstatuje se da u ovom dijelu nije navedena metoda koja je korišćena za prepoznavanje zainteresovanih strana. </w:t>
            </w:r>
            <w:r>
              <w:rPr>
                <w:rFonts w:ascii="Arial" w:eastAsia="Arial" w:hAnsi="Arial" w:cs="Arial"/>
              </w:rPr>
              <w:t xml:space="preserve">Ukoliko su akteri prepoznati i definisani kao ključni upotrebom metoda analize zainteresovanih strana (matrica ili tabela zainteresovanih strana), predlažemo da se ovaj dio doda u analizu stanja ili u prilog/aneks Strategije, kako bi se jasno ukazalo zašto su navedeni akteri ključni za uspješnost realizacije Strategije. </w:t>
            </w:r>
          </w:p>
        </w:tc>
      </w:tr>
      <w:tr w:rsidR="00C85844" w14:paraId="661046C0" w14:textId="77777777" w:rsidTr="00C85844">
        <w:trPr>
          <w:trHeight w:val="67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62412168" w14:textId="77777777" w:rsidR="00C85844" w:rsidRDefault="00C85844" w:rsidP="00A26279">
            <w:pPr>
              <w:ind w:left="2160" w:hanging="720"/>
            </w:pPr>
            <w:r>
              <w:rPr>
                <w:rFonts w:ascii="Arial" w:eastAsia="Arial" w:hAnsi="Arial" w:cs="Arial"/>
              </w:rPr>
              <w:t xml:space="preserve">3.2.4. </w:t>
            </w:r>
            <w:r>
              <w:rPr>
                <w:rFonts w:ascii="Arial" w:eastAsia="Arial" w:hAnsi="Arial" w:cs="Arial"/>
              </w:rPr>
              <w:tab/>
              <w:t>Jesu li analizom stanja i problema identifikovani  prioritetni problemi u datoj oblasti,</w:t>
            </w:r>
            <w:r>
              <w:rPr>
                <w:rFonts w:ascii="Calibri" w:eastAsia="Calibri" w:hAnsi="Calibri" w:cs="Calibri"/>
              </w:rPr>
              <w:t xml:space="preserve"> </w:t>
            </w:r>
            <w:r>
              <w:rPr>
                <w:rFonts w:ascii="Arial" w:eastAsia="Arial" w:hAnsi="Arial" w:cs="Arial"/>
              </w:rPr>
              <w:t xml:space="preserve">odnosno njihovi uzroci i posljedice?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77AB83FF"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9F3B916" w14:textId="77777777" w:rsidR="00C85844" w:rsidRDefault="00C85844" w:rsidP="00A26279">
            <w:pPr>
              <w:ind w:left="1"/>
            </w:pPr>
            <w:r>
              <w:rPr>
                <w:rFonts w:ascii="Arial" w:eastAsia="Arial" w:hAnsi="Arial" w:cs="Arial"/>
              </w:rPr>
              <w:t xml:space="preserve"> </w:t>
            </w:r>
          </w:p>
        </w:tc>
      </w:tr>
      <w:tr w:rsidR="00C85844" w14:paraId="07EF446B" w14:textId="77777777" w:rsidTr="00C85844">
        <w:trPr>
          <w:trHeight w:val="1262"/>
        </w:trPr>
        <w:tc>
          <w:tcPr>
            <w:tcW w:w="5000" w:type="pct"/>
            <w:gridSpan w:val="3"/>
            <w:tcBorders>
              <w:top w:val="single" w:sz="4" w:space="0" w:color="000000"/>
              <w:left w:val="single" w:sz="4" w:space="0" w:color="000000"/>
              <w:bottom w:val="single" w:sz="4" w:space="0" w:color="000000"/>
              <w:right w:val="single" w:sz="4" w:space="0" w:color="000000"/>
            </w:tcBorders>
          </w:tcPr>
          <w:p w14:paraId="197711B6" w14:textId="77777777" w:rsidR="00C85844" w:rsidRDefault="00C85844" w:rsidP="00A26279">
            <w:pPr>
              <w:ind w:right="87"/>
              <w:jc w:val="both"/>
            </w:pPr>
            <w:r>
              <w:rPr>
                <w:rFonts w:ascii="Arial" w:eastAsia="Arial" w:hAnsi="Arial" w:cs="Arial"/>
              </w:rPr>
              <w:t xml:space="preserve">U skladu sa prethodno datim komentarom, konstatujemo da je u okviru analize stanja prikazano sedam cjelina (organizacija i koordinacija, eUsluge i dizajn usluga, eIdentifikacija, usluge od povjerenja i sajber bezbjednost, dostupnost podataka i interoperabilnost, digitalna povezanost, vještine i edukacija, IKT industrija) i za svaku od njih navedeni su ključni izazovi i problemi. Odabrani pristup prikazivanja analize stanja i identifikovanih problema predstavlja primjer dobre prakse i posebno je važan za definisanje rješenja, odnosno Operativnih ciljeva, kako bi se na taj način obuhvatili svi problemi koje tretira strategija. . </w:t>
            </w:r>
          </w:p>
        </w:tc>
      </w:tr>
      <w:tr w:rsidR="00C85844" w14:paraId="0028D91F"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120736C" w14:textId="77777777" w:rsidR="00C85844" w:rsidRDefault="00C85844" w:rsidP="00A26279">
            <w:pPr>
              <w:tabs>
                <w:tab w:val="center" w:pos="872"/>
                <w:tab w:val="center" w:pos="2604"/>
              </w:tabs>
            </w:pPr>
            <w:r>
              <w:tab/>
            </w:r>
            <w:r>
              <w:rPr>
                <w:rFonts w:ascii="Arial" w:eastAsia="Arial" w:hAnsi="Arial" w:cs="Arial"/>
              </w:rPr>
              <w:t xml:space="preserve">3.3. </w:t>
            </w:r>
            <w:r>
              <w:rPr>
                <w:rFonts w:ascii="Arial" w:eastAsia="Arial" w:hAnsi="Arial" w:cs="Arial"/>
              </w:rPr>
              <w:tab/>
            </w:r>
            <w:r>
              <w:rPr>
                <w:rFonts w:ascii="Arial" w:eastAsia="Arial" w:hAnsi="Arial" w:cs="Arial"/>
                <w:b/>
              </w:rPr>
              <w:t>Strateški i operativni ciljevi</w:t>
            </w:r>
            <w:r>
              <w:rPr>
                <w:rFonts w:ascii="Arial" w:eastAsia="Arial" w:hAnsi="Arial" w:cs="Arial"/>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54F8B2B3" w14:textId="77777777" w:rsidR="00C85844" w:rsidRDefault="00C85844" w:rsidP="00A26279">
            <w:pPr>
              <w:ind w:left="1"/>
              <w:jc w:val="center"/>
            </w:pP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63EC6D45" w14:textId="77777777" w:rsidR="00C85844" w:rsidRDefault="00C85844" w:rsidP="00A26279">
            <w:pPr>
              <w:ind w:left="1"/>
            </w:pPr>
            <w:r>
              <w:rPr>
                <w:rFonts w:ascii="Arial" w:eastAsia="Arial" w:hAnsi="Arial" w:cs="Arial"/>
              </w:rPr>
              <w:t xml:space="preserve"> </w:t>
            </w:r>
          </w:p>
        </w:tc>
      </w:tr>
      <w:tr w:rsidR="00C85844" w14:paraId="5F902C2E" w14:textId="77777777" w:rsidTr="00C85844">
        <w:trPr>
          <w:trHeight w:val="713"/>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3A1E20B3" w14:textId="77777777" w:rsidR="00C85844" w:rsidRDefault="00C85844" w:rsidP="00A26279">
            <w:pPr>
              <w:ind w:left="2160" w:hanging="720"/>
              <w:jc w:val="both"/>
            </w:pPr>
            <w:r>
              <w:rPr>
                <w:rFonts w:ascii="Arial" w:eastAsia="Arial" w:hAnsi="Arial" w:cs="Arial"/>
              </w:rPr>
              <w:t>3.3.1. Je li definisan strateški cilj u skladu s Metodologijom razvijanja politika, izrade i praćenja sprovođenja strateških dokumenata?</w:t>
            </w:r>
            <w:r>
              <w:rPr>
                <w:rFonts w:ascii="Arial" w:eastAsia="Arial" w:hAnsi="Arial" w:cs="Arial"/>
                <w:b/>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30D953D6"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C7214AF" w14:textId="77777777" w:rsidR="00C85844" w:rsidRDefault="00C85844" w:rsidP="00A26279">
            <w:pPr>
              <w:ind w:left="1"/>
            </w:pPr>
            <w:r>
              <w:rPr>
                <w:rFonts w:ascii="Arial" w:eastAsia="Arial" w:hAnsi="Arial" w:cs="Arial"/>
              </w:rPr>
              <w:t xml:space="preserve"> </w:t>
            </w:r>
          </w:p>
        </w:tc>
      </w:tr>
      <w:tr w:rsidR="00C85844" w14:paraId="2C13C630" w14:textId="77777777" w:rsidTr="00C85844">
        <w:trPr>
          <w:trHeight w:val="718"/>
        </w:trPr>
        <w:tc>
          <w:tcPr>
            <w:tcW w:w="5000" w:type="pct"/>
            <w:gridSpan w:val="3"/>
            <w:tcBorders>
              <w:top w:val="single" w:sz="4" w:space="0" w:color="000000"/>
              <w:left w:val="single" w:sz="4" w:space="0" w:color="000000"/>
              <w:bottom w:val="single" w:sz="4" w:space="0" w:color="000000"/>
              <w:right w:val="single" w:sz="4" w:space="0" w:color="000000"/>
            </w:tcBorders>
          </w:tcPr>
          <w:p w14:paraId="38FBB9CD" w14:textId="77777777" w:rsidR="00C85844" w:rsidRDefault="00C85844" w:rsidP="00A26279">
            <w:pPr>
              <w:jc w:val="both"/>
            </w:pPr>
            <w:r>
              <w:rPr>
                <w:rFonts w:ascii="Arial" w:eastAsia="Arial" w:hAnsi="Arial" w:cs="Arial"/>
              </w:rPr>
              <w:t xml:space="preserve">Predlogom strateškog dokumenta definisana su dva strateška cilja koji su usklađeni sa kriterijumima u okviru Metodologije. U ovom dijelu sugerišemo da </w:t>
            </w:r>
            <w:r>
              <w:rPr>
                <w:rFonts w:ascii="Arial" w:eastAsia="Arial" w:hAnsi="Arial" w:cs="Arial"/>
                <w:u w:val="single" w:color="000000"/>
              </w:rPr>
              <w:t>usaglasite nazive</w:t>
            </w:r>
            <w:r>
              <w:rPr>
                <w:rFonts w:ascii="Arial" w:eastAsia="Arial" w:hAnsi="Arial" w:cs="Arial"/>
              </w:rPr>
              <w:t xml:space="preserve"> </w:t>
            </w:r>
            <w:r>
              <w:rPr>
                <w:rFonts w:ascii="Arial" w:eastAsia="Arial" w:hAnsi="Arial" w:cs="Arial"/>
                <w:u w:val="single" w:color="000000"/>
              </w:rPr>
              <w:t>strateških ciljeva</w:t>
            </w:r>
            <w:r>
              <w:rPr>
                <w:rFonts w:ascii="Arial" w:eastAsia="Arial" w:hAnsi="Arial" w:cs="Arial"/>
              </w:rPr>
              <w:t xml:space="preserve"> u Strategiji, Akcionom planu i Pasošu indikatora. </w:t>
            </w:r>
          </w:p>
        </w:tc>
      </w:tr>
      <w:tr w:rsidR="00C85844" w14:paraId="403E987A"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DA6FBAD" w14:textId="77777777" w:rsidR="00C85844" w:rsidRDefault="00C85844" w:rsidP="00A26279">
            <w:pPr>
              <w:tabs>
                <w:tab w:val="center" w:pos="1667"/>
                <w:tab w:val="center" w:pos="5253"/>
              </w:tabs>
            </w:pPr>
            <w:r>
              <w:tab/>
            </w:r>
            <w:r>
              <w:rPr>
                <w:rFonts w:ascii="Arial" w:eastAsia="Arial" w:hAnsi="Arial" w:cs="Arial"/>
              </w:rPr>
              <w:t xml:space="preserve">3.3.2. </w:t>
            </w:r>
            <w:r>
              <w:rPr>
                <w:rFonts w:ascii="Arial" w:eastAsia="Arial" w:hAnsi="Arial" w:cs="Arial"/>
              </w:rPr>
              <w:tab/>
              <w:t xml:space="preserve">Jesu li definisani operativni ciljevi koji doprinose sprovođenju strateškog cilja?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5A11E653"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7BBDED1E" w14:textId="77777777" w:rsidR="00C85844" w:rsidRDefault="00C85844" w:rsidP="00A26279">
            <w:pPr>
              <w:ind w:left="1"/>
            </w:pPr>
            <w:r>
              <w:rPr>
                <w:rFonts w:ascii="Arial" w:eastAsia="Arial" w:hAnsi="Arial" w:cs="Arial"/>
              </w:rPr>
              <w:t xml:space="preserve"> </w:t>
            </w:r>
          </w:p>
        </w:tc>
      </w:tr>
      <w:tr w:rsidR="00C85844" w14:paraId="24261520" w14:textId="77777777" w:rsidTr="00C85844">
        <w:trPr>
          <w:trHeight w:val="1967"/>
        </w:trPr>
        <w:tc>
          <w:tcPr>
            <w:tcW w:w="5000" w:type="pct"/>
            <w:gridSpan w:val="3"/>
            <w:tcBorders>
              <w:top w:val="single" w:sz="4" w:space="0" w:color="000000"/>
              <w:left w:val="single" w:sz="4" w:space="0" w:color="000000"/>
              <w:bottom w:val="single" w:sz="4" w:space="0" w:color="000000"/>
              <w:right w:val="single" w:sz="4" w:space="0" w:color="000000"/>
            </w:tcBorders>
          </w:tcPr>
          <w:p w14:paraId="3C6C4E79" w14:textId="77777777" w:rsidR="00C85844" w:rsidRDefault="00C85844" w:rsidP="00A26279">
            <w:pPr>
              <w:spacing w:after="156" w:line="261" w:lineRule="auto"/>
              <w:ind w:right="86"/>
              <w:jc w:val="both"/>
            </w:pPr>
            <w:r>
              <w:rPr>
                <w:rFonts w:ascii="Arial" w:eastAsia="Arial" w:hAnsi="Arial" w:cs="Arial"/>
              </w:rPr>
              <w:t>Predlogom strateškog dokumenta definisano je sedam operativnih ciljeva. Između nivoa Operativnog cilja i aktivnosti</w:t>
            </w:r>
            <w:r>
              <w:rPr>
                <w:rFonts w:ascii="Calibri" w:eastAsia="Calibri" w:hAnsi="Calibri" w:cs="Calibri"/>
              </w:rPr>
              <w:t xml:space="preserve"> </w:t>
            </w:r>
            <w:r>
              <w:rPr>
                <w:rFonts w:ascii="Arial" w:eastAsia="Arial" w:hAnsi="Arial" w:cs="Arial"/>
              </w:rPr>
              <w:t xml:space="preserve">postavljen je nivo oblasti. Tokom izrade strateškog dokumenta i konsultacija sa GSV-om o mogućnosti uvođenja mjera (ili oblasti), data je sugestija kada i na koji način je potrebno definisati mjere (oblasti) u strateškom dokumentu. U dokumentu je obrazloženo da je razlog uvođenja nivoa oblasti „postizanje željenog napretka“, što nije potpuno jasno obrazloženje (o kakvom napretku je riječ?). S tim u vezi, </w:t>
            </w:r>
            <w:r>
              <w:rPr>
                <w:rFonts w:ascii="Arial" w:eastAsia="Arial" w:hAnsi="Arial" w:cs="Arial"/>
                <w:u w:val="single" w:color="000000"/>
              </w:rPr>
              <w:t>sugerišemo da se ovaj dio unaprijedi kroz jasnije objašnjenje svrhe uvođenja nivoa oblasti u strateški dokument</w:t>
            </w:r>
            <w:r>
              <w:rPr>
                <w:rFonts w:ascii="Arial" w:eastAsia="Arial" w:hAnsi="Arial" w:cs="Arial"/>
              </w:rPr>
              <w:t xml:space="preserve">.  </w:t>
            </w:r>
          </w:p>
          <w:p w14:paraId="220B3CBE" w14:textId="77777777" w:rsidR="00C85844" w:rsidRDefault="00C85844" w:rsidP="00A26279">
            <w:pPr>
              <w:jc w:val="both"/>
            </w:pPr>
            <w:r>
              <w:rPr>
                <w:rFonts w:ascii="Arial" w:eastAsia="Arial" w:hAnsi="Arial" w:cs="Arial"/>
              </w:rPr>
              <w:t>Konstatujemo da postoji prostor za unapređenje i u dijelu definicija oblasti budući da pojedine oblasti imaju formulaciju cilja (npr. podoblast kod OC 1.4. glasi „</w:t>
            </w:r>
            <w:r>
              <w:rPr>
                <w:rFonts w:ascii="Arial" w:eastAsia="Arial" w:hAnsi="Arial" w:cs="Arial"/>
                <w:i/>
              </w:rPr>
              <w:t>Podsticanje zapošljivosti kroz uspostavljanje sistema podrške za sticanje znanja i vještina</w:t>
            </w:r>
            <w:r>
              <w:rPr>
                <w:rFonts w:ascii="Arial" w:eastAsia="Arial" w:hAnsi="Arial" w:cs="Arial"/>
              </w:rPr>
              <w:t xml:space="preserve">“). </w:t>
            </w:r>
          </w:p>
        </w:tc>
      </w:tr>
    </w:tbl>
    <w:p w14:paraId="640526C4" w14:textId="77777777" w:rsidR="00C85844" w:rsidRDefault="00C85844" w:rsidP="00C85844">
      <w:pPr>
        <w:spacing w:after="0"/>
        <w:ind w:left="-1440" w:right="15244"/>
      </w:pPr>
    </w:p>
    <w:tbl>
      <w:tblPr>
        <w:tblStyle w:val="TableGrid0"/>
        <w:tblW w:w="5000" w:type="pct"/>
        <w:tblInd w:w="0" w:type="dxa"/>
        <w:tblCellMar>
          <w:top w:w="33" w:type="dxa"/>
          <w:left w:w="107" w:type="dxa"/>
          <w:right w:w="22" w:type="dxa"/>
        </w:tblCellMar>
        <w:tblLook w:val="04A0" w:firstRow="1" w:lastRow="0" w:firstColumn="1" w:lastColumn="0" w:noHBand="0" w:noVBand="1"/>
      </w:tblPr>
      <w:tblGrid>
        <w:gridCol w:w="8029"/>
        <w:gridCol w:w="1213"/>
        <w:gridCol w:w="1218"/>
      </w:tblGrid>
      <w:tr w:rsidR="00C85844" w14:paraId="726EC38E" w14:textId="77777777" w:rsidTr="00C85844">
        <w:trPr>
          <w:trHeight w:val="716"/>
        </w:trPr>
        <w:tc>
          <w:tcPr>
            <w:tcW w:w="5000" w:type="pct"/>
            <w:gridSpan w:val="3"/>
            <w:tcBorders>
              <w:top w:val="single" w:sz="4" w:space="0" w:color="000000"/>
              <w:left w:val="single" w:sz="4" w:space="0" w:color="000000"/>
              <w:bottom w:val="single" w:sz="4" w:space="0" w:color="000000"/>
              <w:right w:val="single" w:sz="4" w:space="0" w:color="000000"/>
            </w:tcBorders>
          </w:tcPr>
          <w:p w14:paraId="34AD2B9C" w14:textId="77777777" w:rsidR="00C85844" w:rsidRDefault="00C85844" w:rsidP="00A26279">
            <w:pPr>
              <w:jc w:val="both"/>
            </w:pPr>
            <w:r>
              <w:rPr>
                <w:rFonts w:ascii="Arial" w:eastAsia="Arial" w:hAnsi="Arial" w:cs="Arial"/>
              </w:rPr>
              <w:t xml:space="preserve">Takođe, postoji prostor za unapređenje postavljenih operativnih ciljeva. Npr. kod operativnog cilja </w:t>
            </w:r>
            <w:r>
              <w:rPr>
                <w:rFonts w:ascii="Arial" w:eastAsia="Arial" w:hAnsi="Arial" w:cs="Arial"/>
                <w:i/>
              </w:rPr>
              <w:t>1.4.</w:t>
            </w:r>
            <w:r>
              <w:rPr>
                <w:rFonts w:ascii="Arial" w:eastAsia="Arial" w:hAnsi="Arial" w:cs="Arial"/>
              </w:rPr>
              <w:t xml:space="preserve"> </w:t>
            </w:r>
            <w:r>
              <w:rPr>
                <w:rFonts w:ascii="Arial" w:eastAsia="Arial" w:hAnsi="Arial" w:cs="Arial"/>
                <w:i/>
              </w:rPr>
              <w:t xml:space="preserve">Razvoj i unapređenje digitalnih znanja i vještina crnogorskog društva, </w:t>
            </w:r>
            <w:r>
              <w:rPr>
                <w:rFonts w:ascii="Arial" w:eastAsia="Arial" w:hAnsi="Arial" w:cs="Arial"/>
              </w:rPr>
              <w:t xml:space="preserve">postoji formulacija „Razvoj i unapređenje“ i treba izabrati jednu od njih, budući da imaju isto značenje, ili preciznije definisati cilj. </w:t>
            </w:r>
          </w:p>
        </w:tc>
      </w:tr>
      <w:tr w:rsidR="00C85844" w14:paraId="3867826C"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1E510E28" w14:textId="77777777" w:rsidR="00C85844" w:rsidRDefault="00C85844" w:rsidP="00A26279">
            <w:pPr>
              <w:tabs>
                <w:tab w:val="center" w:pos="1667"/>
                <w:tab w:val="center" w:pos="5579"/>
              </w:tabs>
            </w:pPr>
            <w:r>
              <w:tab/>
            </w:r>
            <w:r>
              <w:rPr>
                <w:rFonts w:ascii="Arial" w:eastAsia="Arial" w:hAnsi="Arial" w:cs="Arial"/>
              </w:rPr>
              <w:t xml:space="preserve">3.3.3. </w:t>
            </w:r>
            <w:r>
              <w:rPr>
                <w:rFonts w:ascii="Arial" w:eastAsia="Arial" w:hAnsi="Arial" w:cs="Arial"/>
              </w:rPr>
              <w:tab/>
              <w:t xml:space="preserve">Odgovaraju li operativni ciljevi na prioritetne probleme utvrđene tokom analize stanja? </w:t>
            </w:r>
          </w:p>
        </w:tc>
        <w:tc>
          <w:tcPr>
            <w:tcW w:w="580" w:type="pct"/>
            <w:tcBorders>
              <w:top w:val="single" w:sz="4" w:space="0" w:color="000000"/>
              <w:left w:val="single" w:sz="4" w:space="0" w:color="000000"/>
              <w:bottom w:val="single" w:sz="4" w:space="0" w:color="000000"/>
              <w:right w:val="single" w:sz="4" w:space="0" w:color="000000"/>
            </w:tcBorders>
            <w:shd w:val="clear" w:color="auto" w:fill="92D050"/>
          </w:tcPr>
          <w:p w14:paraId="2698D9D8"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50E9E79E" w14:textId="77777777" w:rsidR="00C85844" w:rsidRDefault="00C85844" w:rsidP="00A26279">
            <w:pPr>
              <w:ind w:left="1"/>
            </w:pPr>
            <w:r>
              <w:rPr>
                <w:rFonts w:ascii="Arial" w:eastAsia="Arial" w:hAnsi="Arial" w:cs="Arial"/>
              </w:rPr>
              <w:t xml:space="preserve"> </w:t>
            </w:r>
          </w:p>
        </w:tc>
      </w:tr>
      <w:tr w:rsidR="00C85844" w14:paraId="7650A026" w14:textId="77777777" w:rsidTr="00C85844">
        <w:trPr>
          <w:trHeight w:val="446"/>
        </w:trPr>
        <w:tc>
          <w:tcPr>
            <w:tcW w:w="5000" w:type="pct"/>
            <w:gridSpan w:val="3"/>
            <w:tcBorders>
              <w:top w:val="single" w:sz="4" w:space="0" w:color="000000"/>
              <w:left w:val="single" w:sz="4" w:space="0" w:color="000000"/>
              <w:bottom w:val="single" w:sz="4" w:space="0" w:color="000000"/>
              <w:right w:val="single" w:sz="4" w:space="0" w:color="000000"/>
            </w:tcBorders>
          </w:tcPr>
          <w:p w14:paraId="760343E5" w14:textId="77777777" w:rsidR="00C85844" w:rsidRDefault="00C85844" w:rsidP="00A26279">
            <w:r>
              <w:rPr>
                <w:rFonts w:ascii="Arial" w:eastAsia="Arial" w:hAnsi="Arial" w:cs="Arial"/>
              </w:rPr>
              <w:t xml:space="preserve">Konstatuje se da svi definisani operativni ciljevi pružaju adekvatan odgovor na probleme identifikovane u okviru analize stanja. </w:t>
            </w:r>
          </w:p>
        </w:tc>
      </w:tr>
      <w:tr w:rsidR="00C85844" w14:paraId="7B849BA8" w14:textId="77777777" w:rsidTr="00C85844">
        <w:trPr>
          <w:trHeight w:val="710"/>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E1CCAAB" w14:textId="77777777" w:rsidR="00C85844" w:rsidRDefault="00C85844" w:rsidP="00A26279">
            <w:pPr>
              <w:ind w:left="2160" w:hanging="720"/>
            </w:pPr>
            <w:r>
              <w:rPr>
                <w:rFonts w:ascii="Arial" w:eastAsia="Arial" w:hAnsi="Arial" w:cs="Arial"/>
              </w:rPr>
              <w:t xml:space="preserve">3.3.4. </w:t>
            </w:r>
            <w:r>
              <w:rPr>
                <w:rFonts w:ascii="Arial" w:eastAsia="Arial" w:hAnsi="Arial" w:cs="Arial"/>
              </w:rPr>
              <w:tab/>
              <w:t xml:space="preserve">Jesu li operativni ciljevi SMART (konkretni, mjerljivi, akciono orijentisani, realistični i vremenski ograničeni)?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0197B527"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340D4108" w14:textId="77777777" w:rsidR="00C85844" w:rsidRDefault="00C85844" w:rsidP="00A26279">
            <w:pPr>
              <w:ind w:left="1"/>
            </w:pPr>
            <w:r>
              <w:rPr>
                <w:rFonts w:ascii="Arial" w:eastAsia="Arial" w:hAnsi="Arial" w:cs="Arial"/>
              </w:rPr>
              <w:t xml:space="preserve"> </w:t>
            </w:r>
          </w:p>
        </w:tc>
      </w:tr>
      <w:tr w:rsidR="00C85844" w14:paraId="28D44F95" w14:textId="77777777" w:rsidTr="00C85844">
        <w:trPr>
          <w:trHeight w:val="447"/>
        </w:trPr>
        <w:tc>
          <w:tcPr>
            <w:tcW w:w="5000" w:type="pct"/>
            <w:gridSpan w:val="3"/>
            <w:tcBorders>
              <w:top w:val="single" w:sz="4" w:space="0" w:color="000000"/>
              <w:left w:val="single" w:sz="4" w:space="0" w:color="000000"/>
              <w:bottom w:val="single" w:sz="4" w:space="0" w:color="000000"/>
              <w:right w:val="single" w:sz="4" w:space="0" w:color="000000"/>
            </w:tcBorders>
          </w:tcPr>
          <w:p w14:paraId="295479E0" w14:textId="77777777" w:rsidR="00C85844" w:rsidRDefault="00C85844" w:rsidP="00A26279">
            <w:r>
              <w:rPr>
                <w:rFonts w:ascii="Arial" w:eastAsia="Arial" w:hAnsi="Arial" w:cs="Arial"/>
              </w:rPr>
              <w:t xml:space="preserve">Operativni ciljevi velikim dijelom zadovoljavaju principe SMART metode definisanja cilja. </w:t>
            </w:r>
          </w:p>
        </w:tc>
      </w:tr>
      <w:tr w:rsidR="00C85844" w14:paraId="7355188D" w14:textId="77777777" w:rsidTr="00C85844">
        <w:trPr>
          <w:trHeight w:val="440"/>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3FDCC5C" w14:textId="77777777" w:rsidR="00C85844" w:rsidRDefault="00C85844" w:rsidP="00A26279">
            <w:pPr>
              <w:tabs>
                <w:tab w:val="center" w:pos="872"/>
                <w:tab w:val="center" w:pos="2213"/>
              </w:tabs>
            </w:pPr>
            <w:r>
              <w:tab/>
            </w:r>
            <w:r>
              <w:rPr>
                <w:rFonts w:ascii="Arial" w:eastAsia="Arial" w:hAnsi="Arial" w:cs="Arial"/>
              </w:rPr>
              <w:t xml:space="preserve">3.4. </w:t>
            </w:r>
            <w:r>
              <w:rPr>
                <w:rFonts w:ascii="Arial" w:eastAsia="Arial" w:hAnsi="Arial" w:cs="Arial"/>
              </w:rPr>
              <w:tab/>
            </w:r>
            <w:r>
              <w:rPr>
                <w:rFonts w:ascii="Arial" w:eastAsia="Arial" w:hAnsi="Arial" w:cs="Arial"/>
                <w:b/>
              </w:rPr>
              <w:t>Indikatori uspjeha</w:t>
            </w:r>
            <w:r>
              <w:rPr>
                <w:rFonts w:ascii="Arial" w:eastAsia="Arial" w:hAnsi="Arial" w:cs="Arial"/>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6A95DF54" w14:textId="77777777" w:rsidR="00C85844" w:rsidRDefault="00C85844" w:rsidP="00A26279">
            <w:pPr>
              <w:ind w:left="1"/>
              <w:jc w:val="center"/>
            </w:pP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2A587BD" w14:textId="77777777" w:rsidR="00C85844" w:rsidRDefault="00C85844" w:rsidP="00A26279">
            <w:pPr>
              <w:ind w:left="1"/>
            </w:pPr>
            <w:r>
              <w:rPr>
                <w:rFonts w:ascii="Arial" w:eastAsia="Arial" w:hAnsi="Arial" w:cs="Arial"/>
              </w:rPr>
              <w:t xml:space="preserve"> </w:t>
            </w:r>
          </w:p>
        </w:tc>
      </w:tr>
      <w:tr w:rsidR="00C85844" w14:paraId="7F0614B1" w14:textId="77777777" w:rsidTr="00C85844">
        <w:trPr>
          <w:trHeight w:val="440"/>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29BD096" w14:textId="77777777" w:rsidR="00C85844" w:rsidRDefault="00C85844" w:rsidP="00A26279">
            <w:pPr>
              <w:tabs>
                <w:tab w:val="center" w:pos="1667"/>
                <w:tab w:val="center" w:pos="4912"/>
              </w:tabs>
            </w:pPr>
            <w:r>
              <w:tab/>
            </w:r>
            <w:r>
              <w:rPr>
                <w:rFonts w:ascii="Arial" w:eastAsia="Arial" w:hAnsi="Arial" w:cs="Arial"/>
              </w:rPr>
              <w:t xml:space="preserve">3.4.1. </w:t>
            </w:r>
            <w:r>
              <w:rPr>
                <w:rFonts w:ascii="Arial" w:eastAsia="Arial" w:hAnsi="Arial" w:cs="Arial"/>
              </w:rPr>
              <w:tab/>
              <w:t>Ima li svaki operativni cilj makar jedan odgovarajući indikator učinka?</w:t>
            </w:r>
            <w:r>
              <w:rPr>
                <w:rFonts w:ascii="Arial" w:eastAsia="Arial" w:hAnsi="Arial" w:cs="Arial"/>
                <w:b/>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4E9DCB9B"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698CD3B" w14:textId="77777777" w:rsidR="00C85844" w:rsidRDefault="00C85844" w:rsidP="00A26279">
            <w:pPr>
              <w:ind w:left="1"/>
            </w:pPr>
            <w:r>
              <w:rPr>
                <w:rFonts w:ascii="Arial" w:eastAsia="Arial" w:hAnsi="Arial" w:cs="Arial"/>
              </w:rPr>
              <w:t xml:space="preserve"> </w:t>
            </w:r>
          </w:p>
        </w:tc>
      </w:tr>
      <w:tr w:rsidR="00C85844" w14:paraId="77E44B78" w14:textId="77777777" w:rsidTr="00C85844">
        <w:trPr>
          <w:trHeight w:val="718"/>
        </w:trPr>
        <w:tc>
          <w:tcPr>
            <w:tcW w:w="5000" w:type="pct"/>
            <w:gridSpan w:val="3"/>
            <w:tcBorders>
              <w:top w:val="single" w:sz="4" w:space="0" w:color="000000"/>
              <w:left w:val="single" w:sz="4" w:space="0" w:color="000000"/>
              <w:bottom w:val="single" w:sz="4" w:space="0" w:color="000000"/>
              <w:right w:val="single" w:sz="4" w:space="0" w:color="000000"/>
            </w:tcBorders>
          </w:tcPr>
          <w:p w14:paraId="2754B659" w14:textId="77777777" w:rsidR="00C85844" w:rsidRDefault="00C85844" w:rsidP="00A26279">
            <w:pPr>
              <w:jc w:val="both"/>
            </w:pPr>
            <w:r>
              <w:rPr>
                <w:rFonts w:ascii="Arial" w:eastAsia="Arial" w:hAnsi="Arial" w:cs="Arial"/>
              </w:rPr>
              <w:t xml:space="preserve">Konstatuje sa da u Predlogu strategije uz operativni ciljeve predstavljeni prateći indikatori učinka. Indikatori učinka su navedeni sa pripadajućim vrijednostima (polazna vrijednost, vrijednost na polovini sprovođenja i vrijednost na kraju sprovođenja strateškog dokumenta). </w:t>
            </w:r>
          </w:p>
        </w:tc>
      </w:tr>
      <w:tr w:rsidR="00C85844" w14:paraId="469A5F1E"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C304451" w14:textId="77777777" w:rsidR="00C85844" w:rsidRDefault="00C85844" w:rsidP="00A26279">
            <w:pPr>
              <w:tabs>
                <w:tab w:val="center" w:pos="1667"/>
                <w:tab w:val="center" w:pos="6039"/>
              </w:tabs>
            </w:pPr>
            <w:r>
              <w:tab/>
            </w:r>
            <w:r>
              <w:rPr>
                <w:rFonts w:ascii="Arial" w:eastAsia="Arial" w:hAnsi="Arial" w:cs="Arial"/>
              </w:rPr>
              <w:t xml:space="preserve">3.4.2. </w:t>
            </w:r>
            <w:r>
              <w:rPr>
                <w:rFonts w:ascii="Arial" w:eastAsia="Arial" w:hAnsi="Arial" w:cs="Arial"/>
              </w:rPr>
              <w:tab/>
              <w:t xml:space="preserve">Jesu li indikatori učinka jasni, mjerljivi i relevantni za sprovođenje postavljenih operativnih ciljeva?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32B98582"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2439AE8" w14:textId="77777777" w:rsidR="00C85844" w:rsidRDefault="00C85844" w:rsidP="00A26279">
            <w:pPr>
              <w:ind w:left="1"/>
            </w:pPr>
            <w:r>
              <w:rPr>
                <w:rFonts w:ascii="Arial" w:eastAsia="Arial" w:hAnsi="Arial" w:cs="Arial"/>
              </w:rPr>
              <w:t xml:space="preserve"> </w:t>
            </w:r>
          </w:p>
        </w:tc>
      </w:tr>
      <w:tr w:rsidR="00C85844" w14:paraId="4BD513B8" w14:textId="77777777" w:rsidTr="00C85844">
        <w:trPr>
          <w:trHeight w:val="444"/>
        </w:trPr>
        <w:tc>
          <w:tcPr>
            <w:tcW w:w="5000" w:type="pct"/>
            <w:gridSpan w:val="3"/>
            <w:tcBorders>
              <w:top w:val="single" w:sz="4" w:space="0" w:color="000000"/>
              <w:left w:val="single" w:sz="4" w:space="0" w:color="000000"/>
              <w:bottom w:val="single" w:sz="4" w:space="0" w:color="000000"/>
              <w:right w:val="single" w:sz="4" w:space="0" w:color="000000"/>
            </w:tcBorders>
          </w:tcPr>
          <w:p w14:paraId="2B3FDB84" w14:textId="77777777" w:rsidR="00C85844" w:rsidRDefault="00C85844" w:rsidP="00A26279">
            <w:r>
              <w:rPr>
                <w:rFonts w:ascii="Arial" w:eastAsia="Arial" w:hAnsi="Arial" w:cs="Arial"/>
              </w:rPr>
              <w:t xml:space="preserve">Konstatuje se da definisani indikatori učinka zadovoljavaju u potpunosti postavljene kriterijume relevantnosti i mjerljivosti u pogledu operativnih ciljeva za koje su vezani. </w:t>
            </w:r>
          </w:p>
        </w:tc>
      </w:tr>
      <w:tr w:rsidR="00C85844" w14:paraId="4B1C6642"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48625F99" w14:textId="77777777" w:rsidR="00C85844" w:rsidRDefault="00C85844" w:rsidP="00A26279">
            <w:pPr>
              <w:tabs>
                <w:tab w:val="center" w:pos="1667"/>
                <w:tab w:val="center" w:pos="5268"/>
              </w:tabs>
            </w:pPr>
            <w:r>
              <w:tab/>
            </w:r>
            <w:r>
              <w:rPr>
                <w:rFonts w:ascii="Arial" w:eastAsia="Arial" w:hAnsi="Arial" w:cs="Arial"/>
              </w:rPr>
              <w:t xml:space="preserve">3.4.3. </w:t>
            </w:r>
            <w:r>
              <w:rPr>
                <w:rFonts w:ascii="Arial" w:eastAsia="Arial" w:hAnsi="Arial" w:cs="Arial"/>
              </w:rPr>
              <w:tab/>
              <w:t xml:space="preserve">Imaju li indikatori učinka postavljene polazne, srednjeročne i ciljne vrijednosti?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00FA3DB0"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B1D38E5" w14:textId="77777777" w:rsidR="00C85844" w:rsidRDefault="00C85844" w:rsidP="00A26279">
            <w:pPr>
              <w:ind w:left="1"/>
            </w:pPr>
            <w:r>
              <w:rPr>
                <w:rFonts w:ascii="Arial" w:eastAsia="Arial" w:hAnsi="Arial" w:cs="Arial"/>
              </w:rPr>
              <w:t xml:space="preserve"> </w:t>
            </w:r>
          </w:p>
        </w:tc>
      </w:tr>
      <w:tr w:rsidR="00C85844" w14:paraId="5F06BC40" w14:textId="77777777" w:rsidTr="00C85844">
        <w:trPr>
          <w:trHeight w:val="446"/>
        </w:trPr>
        <w:tc>
          <w:tcPr>
            <w:tcW w:w="5000" w:type="pct"/>
            <w:gridSpan w:val="3"/>
            <w:tcBorders>
              <w:top w:val="single" w:sz="4" w:space="0" w:color="000000"/>
              <w:left w:val="single" w:sz="4" w:space="0" w:color="000000"/>
              <w:bottom w:val="single" w:sz="4" w:space="0" w:color="000000"/>
              <w:right w:val="single" w:sz="4" w:space="0" w:color="000000"/>
            </w:tcBorders>
          </w:tcPr>
          <w:p w14:paraId="1B8BD8BE" w14:textId="77777777" w:rsidR="00C85844" w:rsidRDefault="00C85844" w:rsidP="00A26279">
            <w:r>
              <w:rPr>
                <w:rFonts w:ascii="Arial" w:eastAsia="Arial" w:hAnsi="Arial" w:cs="Arial"/>
              </w:rPr>
              <w:t xml:space="preserve">Za svaki indikator učinka definisane su polazne i ciljne vrijednosti (na polovini i na kraju sprovđenja strateškog dokumenta). </w:t>
            </w:r>
          </w:p>
        </w:tc>
      </w:tr>
      <w:tr w:rsidR="00C85844" w14:paraId="661ACB2B"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070CB2E" w14:textId="77777777" w:rsidR="00C85844" w:rsidRDefault="00C85844" w:rsidP="00A26279">
            <w:pPr>
              <w:tabs>
                <w:tab w:val="center" w:pos="872"/>
                <w:tab w:val="center" w:pos="1978"/>
              </w:tabs>
            </w:pPr>
            <w:r>
              <w:tab/>
            </w:r>
            <w:r>
              <w:rPr>
                <w:rFonts w:ascii="Arial" w:eastAsia="Arial" w:hAnsi="Arial" w:cs="Arial"/>
              </w:rPr>
              <w:t xml:space="preserve">3.5. </w:t>
            </w:r>
            <w:r>
              <w:rPr>
                <w:rFonts w:ascii="Arial" w:eastAsia="Arial" w:hAnsi="Arial" w:cs="Arial"/>
              </w:rPr>
              <w:tab/>
            </w:r>
            <w:r>
              <w:rPr>
                <w:rFonts w:ascii="Arial" w:eastAsia="Arial" w:hAnsi="Arial" w:cs="Arial"/>
                <w:b/>
              </w:rPr>
              <w:t>Akcioni plan</w:t>
            </w:r>
            <w:r>
              <w:rPr>
                <w:rFonts w:ascii="Arial" w:eastAsia="Arial" w:hAnsi="Arial" w:cs="Arial"/>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222F54B7"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0CD1C261" w14:textId="77777777" w:rsidR="00C85844" w:rsidRDefault="00C85844" w:rsidP="00A26279">
            <w:pPr>
              <w:ind w:left="1"/>
            </w:pPr>
            <w:r>
              <w:rPr>
                <w:rFonts w:ascii="Arial" w:eastAsia="Arial" w:hAnsi="Arial" w:cs="Arial"/>
              </w:rPr>
              <w:t xml:space="preserve"> </w:t>
            </w:r>
          </w:p>
        </w:tc>
      </w:tr>
      <w:tr w:rsidR="00C85844" w14:paraId="385309B6" w14:textId="77777777" w:rsidTr="00C85844">
        <w:trPr>
          <w:trHeight w:val="2351"/>
        </w:trPr>
        <w:tc>
          <w:tcPr>
            <w:tcW w:w="5000" w:type="pct"/>
            <w:gridSpan w:val="3"/>
            <w:tcBorders>
              <w:top w:val="single" w:sz="4" w:space="0" w:color="000000"/>
              <w:left w:val="single" w:sz="4" w:space="0" w:color="000000"/>
              <w:bottom w:val="single" w:sz="4" w:space="0" w:color="000000"/>
              <w:right w:val="single" w:sz="4" w:space="0" w:color="000000"/>
            </w:tcBorders>
          </w:tcPr>
          <w:p w14:paraId="2CF118D9" w14:textId="77777777" w:rsidR="00C85844" w:rsidRDefault="00C85844" w:rsidP="00A26279">
            <w:pPr>
              <w:ind w:right="86"/>
              <w:jc w:val="both"/>
            </w:pPr>
            <w:r>
              <w:rPr>
                <w:rFonts w:ascii="Arial" w:eastAsia="Arial" w:hAnsi="Arial" w:cs="Arial"/>
                <w:b/>
              </w:rPr>
              <w:t>Konfuznost koja karakteriše Akcioni plan, a na koju je sugerisano i tokom mišljenja na Nacrt strateškog dokumenta, jeste</w:t>
            </w:r>
            <w:r>
              <w:rPr>
                <w:rFonts w:ascii="Arial" w:eastAsia="Arial" w:hAnsi="Arial" w:cs="Arial"/>
              </w:rPr>
              <w:t xml:space="preserve"> </w:t>
            </w:r>
            <w:r>
              <w:rPr>
                <w:rFonts w:ascii="Arial" w:eastAsia="Arial" w:hAnsi="Arial" w:cs="Arial"/>
                <w:b/>
              </w:rPr>
              <w:t>funkcija Aneksa 1.</w:t>
            </w:r>
            <w:r>
              <w:rPr>
                <w:rFonts w:ascii="Arial" w:eastAsia="Arial" w:hAnsi="Arial" w:cs="Arial"/>
              </w:rPr>
              <w:t xml:space="preserve"> u kom je data posebna oblast, </w:t>
            </w:r>
            <w:r>
              <w:rPr>
                <w:rFonts w:ascii="Arial" w:eastAsia="Arial" w:hAnsi="Arial" w:cs="Arial"/>
                <w:i/>
              </w:rPr>
              <w:t>Unapređenje digitalnih znanja i vještina u javnoj upravi kao i osnaživanje javnih službenika u njihovoj edukaciji i daljem karijernom razvoju</w:t>
            </w:r>
            <w:r>
              <w:rPr>
                <w:rFonts w:ascii="Arial" w:eastAsia="Arial" w:hAnsi="Arial" w:cs="Arial"/>
              </w:rPr>
              <w:t xml:space="preserve"> koja nije vezana uz bilo koji od operativnih ili strateških ciljeva. Naime, </w:t>
            </w:r>
            <w:r>
              <w:rPr>
                <w:rFonts w:ascii="Arial" w:eastAsia="Arial" w:hAnsi="Arial" w:cs="Arial"/>
                <w:b/>
              </w:rPr>
              <w:t>ovaj segment bi trebalo uvezati s operativnim ciljem čijoj realizaciji direktno doprinosi</w:t>
            </w:r>
            <w:r>
              <w:rPr>
                <w:rFonts w:ascii="Arial" w:eastAsia="Arial" w:hAnsi="Arial" w:cs="Arial"/>
              </w:rPr>
              <w:t xml:space="preserve"> kroz sprovođenje konkretnih, za to definisanih aktivnosti. Dodatno, potrebno je sagledati koja je pozicija ove oblasti, imajući u vidu opredjeljenje da se u oblasti obrazovanja priprema poseban strateški dokument za digitalizaciju obrazovnog sistema, što, samo po sebi, predstavlja odstupanje od čl. 12 Uredbe, u kom se promoviše princip ekonomičnosti i racionalnog planiranja, a podrazumijeva da „</w:t>
            </w:r>
            <w:r>
              <w:rPr>
                <w:rFonts w:ascii="Arial" w:eastAsia="Arial" w:hAnsi="Arial" w:cs="Arial"/>
                <w:b/>
              </w:rPr>
              <w:t>u postupku izrade strateškog dokumenta organ državne uprave vodi računa da se pitanja od značaja u srodnim tematskim oblastima javnih politika rješavaju u okviru jednog strateškog dokumenta</w:t>
            </w:r>
            <w:r>
              <w:rPr>
                <w:rFonts w:ascii="Arial" w:eastAsia="Arial" w:hAnsi="Arial" w:cs="Arial"/>
              </w:rPr>
              <w:t xml:space="preserve">.“ S tim u vezi je neophodno odrediti se prema ovom pitanju, u konsultacijama s Ministarstvom provjete, nauke, kulture i sporta. </w:t>
            </w:r>
          </w:p>
        </w:tc>
      </w:tr>
    </w:tbl>
    <w:p w14:paraId="64A84C87" w14:textId="77777777" w:rsidR="00C85844" w:rsidRDefault="00C85844" w:rsidP="00C85844">
      <w:pPr>
        <w:spacing w:after="0"/>
        <w:ind w:left="-1440" w:right="15244"/>
      </w:pPr>
    </w:p>
    <w:tbl>
      <w:tblPr>
        <w:tblStyle w:val="TableGrid0"/>
        <w:tblW w:w="5000" w:type="pct"/>
        <w:tblInd w:w="0" w:type="dxa"/>
        <w:tblCellMar>
          <w:top w:w="33" w:type="dxa"/>
          <w:left w:w="107" w:type="dxa"/>
          <w:right w:w="22" w:type="dxa"/>
        </w:tblCellMar>
        <w:tblLook w:val="04A0" w:firstRow="1" w:lastRow="0" w:firstColumn="1" w:lastColumn="0" w:noHBand="0" w:noVBand="1"/>
      </w:tblPr>
      <w:tblGrid>
        <w:gridCol w:w="8029"/>
        <w:gridCol w:w="1213"/>
        <w:gridCol w:w="1218"/>
      </w:tblGrid>
      <w:tr w:rsidR="00C85844" w14:paraId="2EBB0B6D"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78CC6D6" w14:textId="77777777" w:rsidR="00C85844" w:rsidRDefault="00C85844" w:rsidP="00A26279">
            <w:pPr>
              <w:tabs>
                <w:tab w:val="center" w:pos="1667"/>
                <w:tab w:val="center" w:pos="5591"/>
              </w:tabs>
            </w:pPr>
            <w:r>
              <w:tab/>
            </w:r>
            <w:r>
              <w:rPr>
                <w:rFonts w:ascii="Arial" w:eastAsia="Arial" w:hAnsi="Arial" w:cs="Arial"/>
              </w:rPr>
              <w:t xml:space="preserve">3.5.1. </w:t>
            </w:r>
            <w:r>
              <w:rPr>
                <w:rFonts w:ascii="Arial" w:eastAsia="Arial" w:hAnsi="Arial" w:cs="Arial"/>
              </w:rPr>
              <w:tab/>
              <w:t>Jesu li predviđene aktivnosti definisane tako da doprinose realizaciji operativnog cilja?</w:t>
            </w:r>
            <w:r>
              <w:rPr>
                <w:rFonts w:ascii="Arial" w:eastAsia="Arial" w:hAnsi="Arial" w:cs="Arial"/>
                <w:b/>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5EB4D9E1"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5B177A48" w14:textId="77777777" w:rsidR="00C85844" w:rsidRDefault="00C85844" w:rsidP="00A26279">
            <w:pPr>
              <w:ind w:left="1"/>
            </w:pPr>
            <w:r>
              <w:rPr>
                <w:rFonts w:ascii="Arial" w:eastAsia="Arial" w:hAnsi="Arial" w:cs="Arial"/>
              </w:rPr>
              <w:t xml:space="preserve"> </w:t>
            </w:r>
          </w:p>
        </w:tc>
      </w:tr>
      <w:tr w:rsidR="00C85844" w14:paraId="3471DB93" w14:textId="77777777" w:rsidTr="00C85844">
        <w:trPr>
          <w:trHeight w:val="1696"/>
        </w:trPr>
        <w:tc>
          <w:tcPr>
            <w:tcW w:w="5000" w:type="pct"/>
            <w:gridSpan w:val="3"/>
            <w:tcBorders>
              <w:top w:val="single" w:sz="4" w:space="0" w:color="000000"/>
              <w:left w:val="single" w:sz="4" w:space="0" w:color="000000"/>
              <w:bottom w:val="single" w:sz="4" w:space="0" w:color="000000"/>
              <w:right w:val="single" w:sz="4" w:space="0" w:color="000000"/>
            </w:tcBorders>
          </w:tcPr>
          <w:p w14:paraId="58B22452" w14:textId="77777777" w:rsidR="00C85844" w:rsidRDefault="00C85844" w:rsidP="00A26279">
            <w:pPr>
              <w:spacing w:after="161" w:line="256" w:lineRule="auto"/>
              <w:jc w:val="both"/>
            </w:pPr>
            <w:r>
              <w:rPr>
                <w:rFonts w:ascii="Arial" w:eastAsia="Arial" w:hAnsi="Arial" w:cs="Arial"/>
              </w:rPr>
              <w:t xml:space="preserve">Aktivnosti u akcionom planu su definisane na konkretan i jasan način, i odražavaju svrhu operativnog cilja kojem pripadaju. Svaka aktivnost je dodatno objašnjena i precizirana kroz pripadajuće indikatore rezultata.  </w:t>
            </w:r>
          </w:p>
          <w:p w14:paraId="452841D1" w14:textId="77777777" w:rsidR="00C85844" w:rsidRDefault="00C85844" w:rsidP="00A26279">
            <w:pPr>
              <w:ind w:right="87"/>
              <w:jc w:val="both"/>
            </w:pPr>
            <w:r>
              <w:rPr>
                <w:rFonts w:ascii="Arial" w:eastAsia="Arial" w:hAnsi="Arial" w:cs="Arial"/>
              </w:rPr>
              <w:t>Napominjemo da u slučaju aktivnosti „</w:t>
            </w:r>
            <w:r>
              <w:rPr>
                <w:rFonts w:ascii="Arial" w:eastAsia="Arial" w:hAnsi="Arial" w:cs="Arial"/>
                <w:i/>
              </w:rPr>
              <w:t>1.3.5. Izrada Strategije/Plana za uvođenje 5G u Crnoj Gori</w:t>
            </w:r>
            <w:r>
              <w:rPr>
                <w:rFonts w:ascii="Arial" w:eastAsia="Arial" w:hAnsi="Arial" w:cs="Arial"/>
              </w:rPr>
              <w:t xml:space="preserve">“ treba konsultovati čl. 14 Uredbe koji podrazumijeva da u postupku pripreme nacrta godišnjeg programa rada Vlade organ državne uprave dostavlja Generalnom sekretarijatu Vlade predlog za donošenje strateškog dokumenta koji sadrži tačan naziv dokumenta, vremenski period za koji se donosi i obrazloženje razloga za njegovo donošenje, vodeći računa o poštovanja principa ekonomičnosti i racionalnog planiranja.“ </w:t>
            </w:r>
          </w:p>
        </w:tc>
      </w:tr>
      <w:tr w:rsidR="00C85844" w14:paraId="13333C56" w14:textId="77777777" w:rsidTr="00C85844">
        <w:trPr>
          <w:trHeight w:val="441"/>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F01586B" w14:textId="77777777" w:rsidR="00C85844" w:rsidRDefault="00C85844" w:rsidP="00A26279">
            <w:pPr>
              <w:tabs>
                <w:tab w:val="center" w:pos="1667"/>
                <w:tab w:val="center" w:pos="5072"/>
              </w:tabs>
            </w:pPr>
            <w:r>
              <w:tab/>
            </w:r>
            <w:r>
              <w:rPr>
                <w:rFonts w:ascii="Arial" w:eastAsia="Arial" w:hAnsi="Arial" w:cs="Arial"/>
              </w:rPr>
              <w:t xml:space="preserve">3.5.2. </w:t>
            </w:r>
            <w:r>
              <w:rPr>
                <w:rFonts w:ascii="Arial" w:eastAsia="Arial" w:hAnsi="Arial" w:cs="Arial"/>
              </w:rPr>
              <w:tab/>
              <w:t xml:space="preserve">Je li određena nadležna institucija za sprovođenje predviđene aktivnosti?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41A9B552"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269DEA53" w14:textId="77777777" w:rsidR="00C85844" w:rsidRDefault="00C85844" w:rsidP="00A26279">
            <w:pPr>
              <w:ind w:left="1"/>
            </w:pPr>
            <w:r>
              <w:rPr>
                <w:rFonts w:ascii="Arial" w:eastAsia="Arial" w:hAnsi="Arial" w:cs="Arial"/>
              </w:rPr>
              <w:t xml:space="preserve"> </w:t>
            </w:r>
          </w:p>
        </w:tc>
      </w:tr>
      <w:tr w:rsidR="00C85844" w14:paraId="693B4A27" w14:textId="77777777" w:rsidTr="00C85844">
        <w:trPr>
          <w:trHeight w:val="444"/>
        </w:trPr>
        <w:tc>
          <w:tcPr>
            <w:tcW w:w="5000" w:type="pct"/>
            <w:gridSpan w:val="3"/>
            <w:tcBorders>
              <w:top w:val="single" w:sz="4" w:space="0" w:color="000000"/>
              <w:left w:val="single" w:sz="4" w:space="0" w:color="000000"/>
              <w:bottom w:val="single" w:sz="4" w:space="0" w:color="000000"/>
              <w:right w:val="single" w:sz="4" w:space="0" w:color="000000"/>
            </w:tcBorders>
          </w:tcPr>
          <w:p w14:paraId="2F9E5BFA" w14:textId="77777777" w:rsidR="00C85844" w:rsidRDefault="00C85844" w:rsidP="00A26279">
            <w:r>
              <w:rPr>
                <w:rFonts w:ascii="Arial" w:eastAsia="Arial" w:hAnsi="Arial" w:cs="Arial"/>
              </w:rPr>
              <w:t xml:space="preserve">Akcionim planom su predviđene nadležne institucije za svaku od predviđenih aktivnosti.  </w:t>
            </w:r>
          </w:p>
        </w:tc>
      </w:tr>
      <w:tr w:rsidR="00C85844" w14:paraId="2098F3C5"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298AD2F" w14:textId="77777777" w:rsidR="00C85844" w:rsidRDefault="00C85844" w:rsidP="00A26279">
            <w:pPr>
              <w:tabs>
                <w:tab w:val="center" w:pos="1667"/>
                <w:tab w:val="center" w:pos="4816"/>
              </w:tabs>
            </w:pPr>
            <w:r>
              <w:tab/>
            </w:r>
            <w:r>
              <w:rPr>
                <w:rFonts w:ascii="Arial" w:eastAsia="Arial" w:hAnsi="Arial" w:cs="Arial"/>
              </w:rPr>
              <w:t xml:space="preserve">3.5.3. </w:t>
            </w:r>
            <w:r>
              <w:rPr>
                <w:rFonts w:ascii="Arial" w:eastAsia="Arial" w:hAnsi="Arial" w:cs="Arial"/>
              </w:rPr>
              <w:tab/>
              <w:t xml:space="preserve">Jesu li određeni početni i završni rokovi za sprovođenje aktivnosti?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5638B6F2"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58CF37B5" w14:textId="77777777" w:rsidR="00C85844" w:rsidRDefault="00C85844" w:rsidP="00A26279">
            <w:pPr>
              <w:ind w:left="1"/>
            </w:pPr>
            <w:r>
              <w:rPr>
                <w:rFonts w:ascii="Arial" w:eastAsia="Arial" w:hAnsi="Arial" w:cs="Arial"/>
              </w:rPr>
              <w:t xml:space="preserve"> </w:t>
            </w:r>
          </w:p>
        </w:tc>
      </w:tr>
      <w:tr w:rsidR="00C85844" w14:paraId="12E2436C" w14:textId="77777777" w:rsidTr="00C85844">
        <w:trPr>
          <w:trHeight w:val="446"/>
        </w:trPr>
        <w:tc>
          <w:tcPr>
            <w:tcW w:w="5000" w:type="pct"/>
            <w:gridSpan w:val="3"/>
            <w:tcBorders>
              <w:top w:val="single" w:sz="4" w:space="0" w:color="000000"/>
              <w:left w:val="single" w:sz="4" w:space="0" w:color="000000"/>
              <w:bottom w:val="single" w:sz="4" w:space="0" w:color="000000"/>
              <w:right w:val="single" w:sz="4" w:space="0" w:color="000000"/>
            </w:tcBorders>
          </w:tcPr>
          <w:p w14:paraId="26CC9E51" w14:textId="77777777" w:rsidR="00C85844" w:rsidRDefault="00C85844" w:rsidP="00A26279">
            <w:r>
              <w:rPr>
                <w:rFonts w:ascii="Arial" w:eastAsia="Arial" w:hAnsi="Arial" w:cs="Arial"/>
              </w:rPr>
              <w:t xml:space="preserve">Konstatuje se da strateški dokument sadrži vremenske rokove (godina+kvartal) za sve predviđene aktivnosti koje treba da budu realizovane. </w:t>
            </w:r>
          </w:p>
        </w:tc>
      </w:tr>
      <w:tr w:rsidR="00C85844" w14:paraId="0A922965"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0D415058" w14:textId="77777777" w:rsidR="00C85844" w:rsidRDefault="00C85844" w:rsidP="00A26279">
            <w:pPr>
              <w:tabs>
                <w:tab w:val="center" w:pos="1667"/>
                <w:tab w:val="center" w:pos="4402"/>
              </w:tabs>
            </w:pPr>
            <w:r>
              <w:tab/>
            </w:r>
            <w:r>
              <w:rPr>
                <w:rFonts w:ascii="Arial" w:eastAsia="Arial" w:hAnsi="Arial" w:cs="Arial"/>
              </w:rPr>
              <w:t xml:space="preserve">3.5.4. </w:t>
            </w:r>
            <w:r>
              <w:rPr>
                <w:rFonts w:ascii="Arial" w:eastAsia="Arial" w:hAnsi="Arial" w:cs="Arial"/>
              </w:rPr>
              <w:tab/>
              <w:t xml:space="preserve">Je li definisan indikator rezultata za svaku od aktivnosti?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1DB3E5BC"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98125C1" w14:textId="77777777" w:rsidR="00C85844" w:rsidRDefault="00C85844" w:rsidP="00A26279">
            <w:pPr>
              <w:ind w:left="1"/>
            </w:pPr>
            <w:r>
              <w:rPr>
                <w:rFonts w:ascii="Arial" w:eastAsia="Arial" w:hAnsi="Arial" w:cs="Arial"/>
              </w:rPr>
              <w:t xml:space="preserve"> </w:t>
            </w:r>
          </w:p>
        </w:tc>
      </w:tr>
      <w:tr w:rsidR="00C85844" w14:paraId="2C1E39AB" w14:textId="77777777" w:rsidTr="00C85844">
        <w:trPr>
          <w:trHeight w:val="1695"/>
        </w:trPr>
        <w:tc>
          <w:tcPr>
            <w:tcW w:w="5000" w:type="pct"/>
            <w:gridSpan w:val="3"/>
            <w:tcBorders>
              <w:top w:val="single" w:sz="4" w:space="0" w:color="000000"/>
              <w:left w:val="single" w:sz="4" w:space="0" w:color="000000"/>
              <w:bottom w:val="single" w:sz="4" w:space="0" w:color="000000"/>
              <w:right w:val="single" w:sz="4" w:space="0" w:color="000000"/>
            </w:tcBorders>
          </w:tcPr>
          <w:p w14:paraId="244AB7B9" w14:textId="77777777" w:rsidR="00C85844" w:rsidRDefault="00C85844" w:rsidP="00A26279">
            <w:pPr>
              <w:spacing w:after="158"/>
            </w:pPr>
            <w:r>
              <w:rPr>
                <w:rFonts w:ascii="Arial" w:eastAsia="Arial" w:hAnsi="Arial" w:cs="Arial"/>
              </w:rPr>
              <w:t xml:space="preserve">Predlog strateškog dokumenta sadrži definisane indikatore rezultata za svaku od postavljenih aktivnosti u okviru AP-a.  </w:t>
            </w:r>
          </w:p>
          <w:p w14:paraId="6176F83D" w14:textId="77777777" w:rsidR="00C85844" w:rsidRDefault="00C85844" w:rsidP="00A26279">
            <w:pPr>
              <w:ind w:right="89"/>
              <w:jc w:val="both"/>
            </w:pPr>
            <w:r>
              <w:rPr>
                <w:rFonts w:ascii="Arial" w:eastAsia="Arial" w:hAnsi="Arial" w:cs="Arial"/>
              </w:rPr>
              <w:t>Konstatujemo da u Akcionom planu postoje aktivnosti za koje je postavljeno više indikatora rezultata. Primjer je aktivnost „</w:t>
            </w:r>
            <w:r>
              <w:rPr>
                <w:rFonts w:ascii="Arial" w:eastAsia="Arial" w:hAnsi="Arial" w:cs="Arial"/>
                <w:i/>
              </w:rPr>
              <w:t>2.1.2.3. Promotivna kampanja o benefitima i upotrebi targetiranih e-usluga za građane i biznis zajednicu“</w:t>
            </w:r>
            <w:r>
              <w:rPr>
                <w:rFonts w:ascii="Arial" w:eastAsia="Arial" w:hAnsi="Arial" w:cs="Arial"/>
              </w:rPr>
              <w:t xml:space="preserve"> za koju su postavljena dva indikatora rezultata: broj video materijala za targetirane e-usluge i broj infografika za targetirane e-usluge. Ovakva praksa je prihvatljiva sve dok indikatori govore direktno o rezultatu (proizvodu) neke aktivnosti i dok se može obezbjediti njihovo praćenje, a samim tim i izvještavanje o njihovom statusu na godišnjem nivou.    </w:t>
            </w:r>
          </w:p>
        </w:tc>
      </w:tr>
      <w:tr w:rsidR="00C85844" w14:paraId="52CEB857"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1E97121D" w14:textId="77777777" w:rsidR="00C85844" w:rsidRDefault="00C85844" w:rsidP="00A26279">
            <w:pPr>
              <w:tabs>
                <w:tab w:val="center" w:pos="1667"/>
                <w:tab w:val="center" w:pos="5932"/>
              </w:tabs>
            </w:pPr>
            <w:r>
              <w:tab/>
            </w:r>
            <w:r>
              <w:rPr>
                <w:rFonts w:ascii="Arial" w:eastAsia="Arial" w:hAnsi="Arial" w:cs="Arial"/>
              </w:rPr>
              <w:t xml:space="preserve">3.5.5. </w:t>
            </w:r>
            <w:r>
              <w:rPr>
                <w:rFonts w:ascii="Arial" w:eastAsia="Arial" w:hAnsi="Arial" w:cs="Arial"/>
              </w:rPr>
              <w:tab/>
              <w:t xml:space="preserve">Jesu li navedena neophodna budžetska sredstava i izvori finansiranja za realizaciju aktivnosti?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249EB6D5"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77D8CA1D" w14:textId="77777777" w:rsidR="00C85844" w:rsidRDefault="00C85844" w:rsidP="00A26279">
            <w:pPr>
              <w:ind w:left="1"/>
            </w:pPr>
            <w:r>
              <w:rPr>
                <w:rFonts w:ascii="Arial" w:eastAsia="Arial" w:hAnsi="Arial" w:cs="Arial"/>
              </w:rPr>
              <w:t xml:space="preserve"> </w:t>
            </w:r>
          </w:p>
        </w:tc>
      </w:tr>
      <w:tr w:rsidR="00C85844" w14:paraId="353B57A4" w14:textId="77777777" w:rsidTr="00C85844">
        <w:trPr>
          <w:trHeight w:val="444"/>
        </w:trPr>
        <w:tc>
          <w:tcPr>
            <w:tcW w:w="5000" w:type="pct"/>
            <w:gridSpan w:val="3"/>
            <w:tcBorders>
              <w:top w:val="single" w:sz="4" w:space="0" w:color="000000"/>
              <w:left w:val="single" w:sz="4" w:space="0" w:color="000000"/>
              <w:bottom w:val="single" w:sz="4" w:space="0" w:color="000000"/>
              <w:right w:val="single" w:sz="4" w:space="0" w:color="000000"/>
            </w:tcBorders>
          </w:tcPr>
          <w:p w14:paraId="5F82BA8B" w14:textId="77777777" w:rsidR="00C85844" w:rsidRDefault="00C85844" w:rsidP="00A26279">
            <w:r>
              <w:rPr>
                <w:rFonts w:ascii="Arial" w:eastAsia="Arial" w:hAnsi="Arial" w:cs="Arial"/>
              </w:rPr>
              <w:t xml:space="preserve">Akcioni plan sadrži prikaz izvora finansiranja i ukupnih finansijskih sredstava potrebnih za realizaciju postavljenih aktivnosti. </w:t>
            </w:r>
          </w:p>
        </w:tc>
      </w:tr>
      <w:tr w:rsidR="00C85844" w14:paraId="3FBC12AB" w14:textId="77777777" w:rsidTr="00C85844">
        <w:trPr>
          <w:trHeight w:val="441"/>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409DECB2" w14:textId="77777777" w:rsidR="00C85844" w:rsidRDefault="00C85844" w:rsidP="00A26279">
            <w:pPr>
              <w:tabs>
                <w:tab w:val="center" w:pos="872"/>
                <w:tab w:val="center" w:pos="2334"/>
              </w:tabs>
            </w:pPr>
            <w:r>
              <w:tab/>
            </w:r>
            <w:r>
              <w:rPr>
                <w:rFonts w:ascii="Arial" w:eastAsia="Arial" w:hAnsi="Arial" w:cs="Arial"/>
              </w:rPr>
              <w:t xml:space="preserve">3.6. </w:t>
            </w:r>
            <w:r>
              <w:rPr>
                <w:rFonts w:ascii="Arial" w:eastAsia="Arial" w:hAnsi="Arial" w:cs="Arial"/>
              </w:rPr>
              <w:tab/>
            </w:r>
            <w:r>
              <w:rPr>
                <w:rFonts w:ascii="Arial" w:eastAsia="Arial" w:hAnsi="Arial" w:cs="Arial"/>
                <w:b/>
              </w:rPr>
              <w:t>Finansijska procjena</w:t>
            </w:r>
            <w:r>
              <w:rPr>
                <w:rFonts w:ascii="Arial" w:eastAsia="Arial" w:hAnsi="Arial" w:cs="Arial"/>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058E3266" w14:textId="77777777" w:rsidR="00C85844" w:rsidRDefault="00C85844" w:rsidP="00A26279">
            <w:pPr>
              <w:ind w:left="1"/>
              <w:jc w:val="center"/>
            </w:pP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3B301C57" w14:textId="77777777" w:rsidR="00C85844" w:rsidRDefault="00C85844" w:rsidP="00A26279">
            <w:pPr>
              <w:ind w:left="1"/>
            </w:pPr>
            <w:r>
              <w:rPr>
                <w:rFonts w:ascii="Arial" w:eastAsia="Arial" w:hAnsi="Arial" w:cs="Arial"/>
              </w:rPr>
              <w:t xml:space="preserve"> </w:t>
            </w:r>
          </w:p>
        </w:tc>
      </w:tr>
      <w:tr w:rsidR="00C85844" w14:paraId="4757F5B6" w14:textId="77777777" w:rsidTr="00C85844">
        <w:trPr>
          <w:trHeight w:val="714"/>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D24F487" w14:textId="77777777" w:rsidR="00C85844" w:rsidRDefault="00C85844" w:rsidP="00A26279">
            <w:pPr>
              <w:ind w:left="2160" w:hanging="720"/>
              <w:jc w:val="both"/>
            </w:pPr>
            <w:r>
              <w:rPr>
                <w:rFonts w:ascii="Arial" w:eastAsia="Arial" w:hAnsi="Arial" w:cs="Arial"/>
              </w:rPr>
              <w:t>3.6.1. Sadrži li strateški dokument prikaz ukupnih finansijskih sredstava koji će biti iskorišćeni za period važenja strateškog dokumenta ili makar za period obuhvaćen pratećim akcionim planom dokumenta?</w:t>
            </w:r>
            <w:r>
              <w:rPr>
                <w:rFonts w:ascii="Arial" w:eastAsia="Arial" w:hAnsi="Arial" w:cs="Arial"/>
                <w:b/>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7DC5A0AD"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21B2118C" w14:textId="77777777" w:rsidR="00C85844" w:rsidRDefault="00C85844" w:rsidP="00A26279">
            <w:pPr>
              <w:ind w:left="1"/>
            </w:pPr>
            <w:r>
              <w:rPr>
                <w:rFonts w:ascii="Arial" w:eastAsia="Arial" w:hAnsi="Arial" w:cs="Arial"/>
              </w:rPr>
              <w:t xml:space="preserve"> </w:t>
            </w:r>
          </w:p>
        </w:tc>
      </w:tr>
      <w:tr w:rsidR="00C85844" w14:paraId="2AB9DAEA" w14:textId="77777777" w:rsidTr="00C85844">
        <w:trPr>
          <w:trHeight w:val="716"/>
        </w:trPr>
        <w:tc>
          <w:tcPr>
            <w:tcW w:w="5000" w:type="pct"/>
            <w:gridSpan w:val="3"/>
            <w:tcBorders>
              <w:top w:val="single" w:sz="4" w:space="0" w:color="000000"/>
              <w:left w:val="single" w:sz="4" w:space="0" w:color="000000"/>
              <w:bottom w:val="single" w:sz="4" w:space="0" w:color="000000"/>
              <w:right w:val="single" w:sz="4" w:space="0" w:color="000000"/>
            </w:tcBorders>
          </w:tcPr>
          <w:p w14:paraId="147A1665" w14:textId="77777777" w:rsidR="00C85844" w:rsidRDefault="00C85844" w:rsidP="00A26279">
            <w:r>
              <w:rPr>
                <w:rFonts w:ascii="Arial" w:eastAsia="Arial" w:hAnsi="Arial" w:cs="Arial"/>
              </w:rPr>
              <w:t>Konstatuje se da Predlog strateškog dokumenta ne sadrži prikaz ukupnih finansijskih sredstava neophodnih za realizaciju cjelokupne strategije, ali je dat precizan finansijski iznos potreban za realizaciju pratećeg Akcionog plana, čime su djelimično zadovoljeni kriterijumi koje postavlja Metodologija</w:t>
            </w:r>
            <w:r>
              <w:rPr>
                <w:rFonts w:ascii="Arial" w:eastAsia="Arial" w:hAnsi="Arial" w:cs="Arial"/>
                <w:b/>
              </w:rPr>
              <w:t>.</w:t>
            </w:r>
            <w:r>
              <w:rPr>
                <w:rFonts w:ascii="Arial" w:eastAsia="Arial" w:hAnsi="Arial" w:cs="Arial"/>
              </w:rPr>
              <w:t xml:space="preserve">  </w:t>
            </w:r>
          </w:p>
        </w:tc>
      </w:tr>
    </w:tbl>
    <w:p w14:paraId="370FFBA8" w14:textId="77777777" w:rsidR="00C85844" w:rsidRDefault="00C85844" w:rsidP="00C85844">
      <w:pPr>
        <w:spacing w:after="0"/>
        <w:ind w:left="-1440" w:right="15244"/>
      </w:pPr>
    </w:p>
    <w:tbl>
      <w:tblPr>
        <w:tblStyle w:val="TableGrid0"/>
        <w:tblW w:w="5000" w:type="pct"/>
        <w:tblInd w:w="0" w:type="dxa"/>
        <w:tblCellMar>
          <w:top w:w="33" w:type="dxa"/>
          <w:left w:w="107" w:type="dxa"/>
          <w:right w:w="22" w:type="dxa"/>
        </w:tblCellMar>
        <w:tblLook w:val="04A0" w:firstRow="1" w:lastRow="0" w:firstColumn="1" w:lastColumn="0" w:noHBand="0" w:noVBand="1"/>
      </w:tblPr>
      <w:tblGrid>
        <w:gridCol w:w="8029"/>
        <w:gridCol w:w="1213"/>
        <w:gridCol w:w="1218"/>
      </w:tblGrid>
      <w:tr w:rsidR="00C85844" w14:paraId="77683A22" w14:textId="77777777" w:rsidTr="00C85844">
        <w:trPr>
          <w:trHeight w:val="439"/>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B361BCB" w14:textId="77777777" w:rsidR="00C85844" w:rsidRDefault="00C85844" w:rsidP="00A26279">
            <w:pPr>
              <w:tabs>
                <w:tab w:val="center" w:pos="1667"/>
                <w:tab w:val="center" w:pos="5655"/>
              </w:tabs>
            </w:pPr>
            <w:r>
              <w:tab/>
            </w:r>
            <w:r>
              <w:rPr>
                <w:rFonts w:ascii="Arial" w:eastAsia="Arial" w:hAnsi="Arial" w:cs="Arial"/>
              </w:rPr>
              <w:t xml:space="preserve">3.6.2. </w:t>
            </w:r>
            <w:r>
              <w:rPr>
                <w:rFonts w:ascii="Arial" w:eastAsia="Arial" w:hAnsi="Arial" w:cs="Arial"/>
              </w:rPr>
              <w:tab/>
              <w:t xml:space="preserve">Jesu li predstavljeni izvori finansiranja iz kojih će biti obezbijeđena finansijska sredstva?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65D52AB0"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3DD38A2A" w14:textId="77777777" w:rsidR="00C85844" w:rsidRDefault="00C85844" w:rsidP="00A26279">
            <w:pPr>
              <w:ind w:left="1"/>
            </w:pPr>
            <w:r>
              <w:rPr>
                <w:rFonts w:ascii="Arial" w:eastAsia="Arial" w:hAnsi="Arial" w:cs="Arial"/>
              </w:rPr>
              <w:t xml:space="preserve"> </w:t>
            </w:r>
          </w:p>
        </w:tc>
      </w:tr>
      <w:tr w:rsidR="00C85844" w14:paraId="1643457F" w14:textId="77777777" w:rsidTr="00C85844">
        <w:trPr>
          <w:trHeight w:val="718"/>
        </w:trPr>
        <w:tc>
          <w:tcPr>
            <w:tcW w:w="5000" w:type="pct"/>
            <w:gridSpan w:val="3"/>
            <w:tcBorders>
              <w:top w:val="single" w:sz="4" w:space="0" w:color="000000"/>
              <w:left w:val="single" w:sz="4" w:space="0" w:color="000000"/>
              <w:bottom w:val="single" w:sz="4" w:space="0" w:color="000000"/>
              <w:right w:val="single" w:sz="4" w:space="0" w:color="000000"/>
            </w:tcBorders>
          </w:tcPr>
          <w:p w14:paraId="748B1220" w14:textId="77777777" w:rsidR="00C85844" w:rsidRDefault="00C85844" w:rsidP="00A26279">
            <w:pPr>
              <w:jc w:val="both"/>
            </w:pPr>
            <w:r>
              <w:rPr>
                <w:rFonts w:ascii="Arial" w:eastAsia="Arial" w:hAnsi="Arial" w:cs="Arial"/>
              </w:rPr>
              <w:t xml:space="preserve">Konstatuje se da Predlog strateškog dokumenta sadrži definisane izvore finansiranja iz kojih će biti obezbijeđena sredstva za realizaciju Akcionog plana, čime su djelimično zadovoljeni kriterijumi koje postavlja Metodologija. </w:t>
            </w:r>
          </w:p>
        </w:tc>
      </w:tr>
      <w:tr w:rsidR="00C85844" w14:paraId="47AA968A" w14:textId="77777777" w:rsidTr="00C85844">
        <w:trPr>
          <w:trHeight w:val="443"/>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2DCDD3F5" w14:textId="77777777" w:rsidR="00C85844" w:rsidRDefault="00C85844" w:rsidP="00A26279">
            <w:pPr>
              <w:tabs>
                <w:tab w:val="center" w:pos="872"/>
                <w:tab w:val="center" w:pos="3021"/>
              </w:tabs>
            </w:pPr>
            <w:r>
              <w:tab/>
            </w:r>
            <w:r>
              <w:rPr>
                <w:rFonts w:ascii="Arial" w:eastAsia="Arial" w:hAnsi="Arial" w:cs="Arial"/>
              </w:rPr>
              <w:t xml:space="preserve">3.7. </w:t>
            </w:r>
            <w:r>
              <w:rPr>
                <w:rFonts w:ascii="Arial" w:eastAsia="Arial" w:hAnsi="Arial" w:cs="Arial"/>
              </w:rPr>
              <w:tab/>
            </w:r>
            <w:r>
              <w:rPr>
                <w:rFonts w:ascii="Arial" w:eastAsia="Arial" w:hAnsi="Arial" w:cs="Arial"/>
                <w:b/>
              </w:rPr>
              <w:t>Monitoring, evaluacija i izvještavanje</w:t>
            </w:r>
            <w:r>
              <w:rPr>
                <w:rFonts w:ascii="Arial" w:eastAsia="Arial" w:hAnsi="Arial" w:cs="Arial"/>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4C492808" w14:textId="77777777" w:rsidR="00C85844" w:rsidRDefault="00C85844" w:rsidP="00A26279">
            <w:pPr>
              <w:ind w:left="1"/>
              <w:jc w:val="center"/>
            </w:pP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2D91A66E" w14:textId="77777777" w:rsidR="00C85844" w:rsidRDefault="00C85844" w:rsidP="00A26279">
            <w:pPr>
              <w:ind w:left="1"/>
            </w:pPr>
            <w:r>
              <w:rPr>
                <w:rFonts w:ascii="Arial" w:eastAsia="Arial" w:hAnsi="Arial" w:cs="Arial"/>
              </w:rPr>
              <w:t xml:space="preserve"> </w:t>
            </w:r>
          </w:p>
        </w:tc>
      </w:tr>
      <w:tr w:rsidR="00C85844" w14:paraId="4D769BC0" w14:textId="77777777" w:rsidTr="00C85844">
        <w:trPr>
          <w:trHeight w:val="440"/>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65DF808" w14:textId="77777777" w:rsidR="00C85844" w:rsidRDefault="00C85844" w:rsidP="00A26279">
            <w:pPr>
              <w:tabs>
                <w:tab w:val="center" w:pos="1667"/>
                <w:tab w:val="center" w:pos="6175"/>
              </w:tabs>
            </w:pPr>
            <w:r>
              <w:tab/>
            </w:r>
            <w:r>
              <w:rPr>
                <w:rFonts w:ascii="Arial" w:eastAsia="Arial" w:hAnsi="Arial" w:cs="Arial"/>
              </w:rPr>
              <w:t xml:space="preserve">3.7.1. </w:t>
            </w:r>
            <w:r>
              <w:rPr>
                <w:rFonts w:ascii="Arial" w:eastAsia="Arial" w:hAnsi="Arial" w:cs="Arial"/>
              </w:rPr>
              <w:tab/>
              <w:t>Jesu li strategijom  utvrđeni i opisani mehanizmi za monitoring, prikupljanje podataka i izvještavanje?</w:t>
            </w:r>
            <w:r>
              <w:rPr>
                <w:rFonts w:ascii="Arial" w:eastAsia="Arial" w:hAnsi="Arial" w:cs="Arial"/>
                <w:b/>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0E014B30"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62AE22B6" w14:textId="77777777" w:rsidR="00C85844" w:rsidRDefault="00C85844" w:rsidP="00A26279">
            <w:pPr>
              <w:ind w:left="1"/>
            </w:pPr>
            <w:r>
              <w:rPr>
                <w:rFonts w:ascii="Arial" w:eastAsia="Arial" w:hAnsi="Arial" w:cs="Arial"/>
              </w:rPr>
              <w:t xml:space="preserve"> </w:t>
            </w:r>
          </w:p>
        </w:tc>
      </w:tr>
      <w:tr w:rsidR="00C85844" w14:paraId="2CBBBBED" w14:textId="77777777" w:rsidTr="00C85844">
        <w:trPr>
          <w:trHeight w:val="445"/>
        </w:trPr>
        <w:tc>
          <w:tcPr>
            <w:tcW w:w="5000" w:type="pct"/>
            <w:gridSpan w:val="3"/>
            <w:tcBorders>
              <w:top w:val="single" w:sz="4" w:space="0" w:color="000000"/>
              <w:left w:val="single" w:sz="4" w:space="0" w:color="000000"/>
              <w:bottom w:val="single" w:sz="4" w:space="0" w:color="000000"/>
              <w:right w:val="single" w:sz="4" w:space="0" w:color="000000"/>
            </w:tcBorders>
          </w:tcPr>
          <w:p w14:paraId="5A41E359" w14:textId="77777777" w:rsidR="00C85844" w:rsidRDefault="00C85844" w:rsidP="00A26279">
            <w:r>
              <w:rPr>
                <w:rFonts w:ascii="Arial" w:eastAsia="Arial" w:hAnsi="Arial" w:cs="Arial"/>
              </w:rPr>
              <w:t xml:space="preserve">Predlog strategije sadrži poglavlje koje se odnosi monitoring i izvještavanje realizacije strateškog dokumenta. </w:t>
            </w:r>
          </w:p>
        </w:tc>
      </w:tr>
      <w:tr w:rsidR="00C85844" w14:paraId="6D5386D4"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392550D5" w14:textId="77777777" w:rsidR="00C85844" w:rsidRDefault="00C85844" w:rsidP="00A26279">
            <w:pPr>
              <w:tabs>
                <w:tab w:val="center" w:pos="1667"/>
                <w:tab w:val="center" w:pos="4438"/>
              </w:tabs>
            </w:pPr>
            <w:r>
              <w:tab/>
            </w:r>
            <w:r>
              <w:rPr>
                <w:rFonts w:ascii="Arial" w:eastAsia="Arial" w:hAnsi="Arial" w:cs="Arial"/>
              </w:rPr>
              <w:t xml:space="preserve">3.7.2. </w:t>
            </w:r>
            <w:r>
              <w:rPr>
                <w:rFonts w:ascii="Arial" w:eastAsia="Arial" w:hAnsi="Arial" w:cs="Arial"/>
              </w:rPr>
              <w:tab/>
              <w:t xml:space="preserve">Je li predviđeno odgovorno tijelo za vršenje monitoringa?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679ADE22"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3B48A7A0" w14:textId="77777777" w:rsidR="00C85844" w:rsidRDefault="00C85844" w:rsidP="00A26279">
            <w:pPr>
              <w:ind w:left="1"/>
            </w:pPr>
            <w:r>
              <w:rPr>
                <w:rFonts w:ascii="Arial" w:eastAsia="Arial" w:hAnsi="Arial" w:cs="Arial"/>
              </w:rPr>
              <w:t xml:space="preserve"> </w:t>
            </w:r>
          </w:p>
        </w:tc>
      </w:tr>
      <w:tr w:rsidR="00C85844" w14:paraId="194A0668" w14:textId="77777777" w:rsidTr="00C85844">
        <w:trPr>
          <w:trHeight w:val="1806"/>
        </w:trPr>
        <w:tc>
          <w:tcPr>
            <w:tcW w:w="5000" w:type="pct"/>
            <w:gridSpan w:val="3"/>
            <w:tcBorders>
              <w:top w:val="single" w:sz="4" w:space="0" w:color="000000"/>
              <w:left w:val="single" w:sz="4" w:space="0" w:color="000000"/>
              <w:bottom w:val="single" w:sz="4" w:space="0" w:color="000000"/>
              <w:right w:val="single" w:sz="4" w:space="0" w:color="000000"/>
            </w:tcBorders>
          </w:tcPr>
          <w:p w14:paraId="38686DD3" w14:textId="77777777" w:rsidR="00C85844" w:rsidRDefault="00C85844" w:rsidP="00A26279">
            <w:pPr>
              <w:ind w:right="87"/>
              <w:jc w:val="both"/>
            </w:pPr>
            <w:r>
              <w:rPr>
                <w:rFonts w:ascii="Arial" w:eastAsia="Arial" w:hAnsi="Arial" w:cs="Arial"/>
              </w:rPr>
              <w:t xml:space="preserve">Predlogom strategije predviđeno je formiranje Komisije za praćenje sprovođenja Strategije digitalne transformacije Crne Gore. Istaknuto je da za članove Komisije, pored predstavnika Ministarstva javne uprave, digitalnog društva i medija, mogu biti imenovani i predstavnici iz ključnih institucija čije su aktivnosti prepoznate Strategijom, a to su: Ministarstvo unutrašnjih poslova, Ministarstvo ekonomskog razvoja, Ministarstvo finansija i socijalnog staranja, Ministarstvo prosvjete, nauke, kulture i sporta i Privredna komora Crne Gore. Takođe, u Predlogu strategije je ukazano da je MJUDDM zaduženo da u okviru Komisije za praćenje sprovođenja Strategije digitalne transformacije Crne Gore objedini podatke i pripremi godišnje Izvještaje o sprovođenju AP koje dostavlja na uvid Savjetu za elektronsku upravu, dostavi Izvještaje o realizaciji akcionih planova Vladi Crne Gore na usvajanje i po usvajanju na Vladi, ukoliko se ukaže potreba, MJUDDM ažurira AP najkasnije do kraja maja tekuće godine.  </w:t>
            </w:r>
          </w:p>
        </w:tc>
      </w:tr>
      <w:tr w:rsidR="00C85844" w14:paraId="7C99C5F3" w14:textId="77777777" w:rsidTr="00C85844">
        <w:trPr>
          <w:trHeight w:val="441"/>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47E47396" w14:textId="77777777" w:rsidR="00C85844" w:rsidRDefault="00C85844" w:rsidP="00A26279">
            <w:pPr>
              <w:tabs>
                <w:tab w:val="center" w:pos="1667"/>
                <w:tab w:val="center" w:pos="4146"/>
              </w:tabs>
            </w:pPr>
            <w:r>
              <w:tab/>
            </w:r>
            <w:r>
              <w:rPr>
                <w:rFonts w:ascii="Arial" w:eastAsia="Arial" w:hAnsi="Arial" w:cs="Arial"/>
              </w:rPr>
              <w:t xml:space="preserve">3.7.3. </w:t>
            </w:r>
            <w:r>
              <w:rPr>
                <w:rFonts w:ascii="Arial" w:eastAsia="Arial" w:hAnsi="Arial" w:cs="Arial"/>
              </w:rPr>
              <w:tab/>
              <w:t xml:space="preserve">Jesu li predviđeni rokovi i dinamika izvještavanja? </w:t>
            </w:r>
          </w:p>
        </w:tc>
        <w:tc>
          <w:tcPr>
            <w:tcW w:w="580" w:type="pct"/>
            <w:tcBorders>
              <w:top w:val="single" w:sz="4" w:space="0" w:color="000000"/>
              <w:left w:val="single" w:sz="4" w:space="0" w:color="000000"/>
              <w:bottom w:val="single" w:sz="4" w:space="0" w:color="000000"/>
              <w:right w:val="single" w:sz="4" w:space="0" w:color="000000"/>
            </w:tcBorders>
            <w:shd w:val="clear" w:color="auto" w:fill="FFFF00"/>
          </w:tcPr>
          <w:p w14:paraId="223316FD"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1D05A50E" w14:textId="77777777" w:rsidR="00C85844" w:rsidRDefault="00C85844" w:rsidP="00A26279">
            <w:pPr>
              <w:ind w:left="1"/>
            </w:pPr>
            <w:r>
              <w:rPr>
                <w:rFonts w:ascii="Arial" w:eastAsia="Arial" w:hAnsi="Arial" w:cs="Arial"/>
              </w:rPr>
              <w:t xml:space="preserve"> </w:t>
            </w:r>
          </w:p>
        </w:tc>
      </w:tr>
      <w:tr w:rsidR="00C85844" w14:paraId="28BC06D8" w14:textId="77777777" w:rsidTr="00C85844">
        <w:trPr>
          <w:trHeight w:val="989"/>
        </w:trPr>
        <w:tc>
          <w:tcPr>
            <w:tcW w:w="5000" w:type="pct"/>
            <w:gridSpan w:val="3"/>
            <w:tcBorders>
              <w:top w:val="single" w:sz="4" w:space="0" w:color="000000"/>
              <w:left w:val="single" w:sz="4" w:space="0" w:color="000000"/>
              <w:bottom w:val="single" w:sz="4" w:space="0" w:color="000000"/>
              <w:right w:val="single" w:sz="4" w:space="0" w:color="000000"/>
            </w:tcBorders>
          </w:tcPr>
          <w:p w14:paraId="324C0080" w14:textId="77777777" w:rsidR="00C85844" w:rsidRDefault="00C85844" w:rsidP="00A26279">
            <w:pPr>
              <w:ind w:right="87"/>
              <w:jc w:val="both"/>
            </w:pPr>
            <w:r>
              <w:rPr>
                <w:rFonts w:ascii="Arial" w:eastAsia="Arial" w:hAnsi="Arial" w:cs="Arial"/>
              </w:rPr>
              <w:t xml:space="preserve">U skladu sa prethodnim komentarom, konstatuje se postojanje obaveze dostavljanja godišnjeg izvještaja o realizaciji strateškog dokumenta. </w:t>
            </w:r>
            <w:r>
              <w:rPr>
                <w:rFonts w:ascii="Arial" w:eastAsia="Arial" w:hAnsi="Arial" w:cs="Arial"/>
                <w:u w:val="single" w:color="000000"/>
              </w:rPr>
              <w:t>Preporuka je da se ovaj segment</w:t>
            </w:r>
            <w:r>
              <w:rPr>
                <w:rFonts w:ascii="Arial" w:eastAsia="Arial" w:hAnsi="Arial" w:cs="Arial"/>
              </w:rPr>
              <w:t xml:space="preserve"> </w:t>
            </w:r>
            <w:r>
              <w:rPr>
                <w:rFonts w:ascii="Arial" w:eastAsia="Arial" w:hAnsi="Arial" w:cs="Arial"/>
                <w:u w:val="single" w:color="000000"/>
              </w:rPr>
              <w:t>Predloga strateškog dokumenta dopuni</w:t>
            </w:r>
            <w:r>
              <w:rPr>
                <w:rFonts w:ascii="Arial" w:eastAsia="Arial" w:hAnsi="Arial" w:cs="Arial"/>
              </w:rPr>
              <w:t xml:space="preserve"> i, u skladu sa kriterijumima iz Metodologije i čl. 19 Uredbe, </w:t>
            </w:r>
            <w:r>
              <w:rPr>
                <w:rFonts w:ascii="Arial" w:eastAsia="Arial" w:hAnsi="Arial" w:cs="Arial"/>
                <w:b/>
              </w:rPr>
              <w:t>istakne obaveza dostavljanja i završnog izvještaja o realizaciji strateškog dokumenta.</w:t>
            </w:r>
            <w:r>
              <w:rPr>
                <w:rFonts w:ascii="Arial" w:eastAsia="Arial" w:hAnsi="Arial" w:cs="Arial"/>
              </w:rPr>
              <w:t xml:space="preserve">  </w:t>
            </w:r>
          </w:p>
        </w:tc>
      </w:tr>
      <w:tr w:rsidR="00C85844" w14:paraId="63014B58" w14:textId="77777777" w:rsidTr="00C85844">
        <w:trPr>
          <w:trHeight w:val="44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505F45DD" w14:textId="77777777" w:rsidR="00C85844" w:rsidRDefault="00C85844" w:rsidP="00A26279">
            <w:pPr>
              <w:tabs>
                <w:tab w:val="center" w:pos="1667"/>
                <w:tab w:val="center" w:pos="6092"/>
              </w:tabs>
            </w:pPr>
            <w:r>
              <w:tab/>
            </w:r>
            <w:r>
              <w:rPr>
                <w:rFonts w:ascii="Arial" w:eastAsia="Arial" w:hAnsi="Arial" w:cs="Arial"/>
              </w:rPr>
              <w:t xml:space="preserve">3.7.4. </w:t>
            </w:r>
            <w:r>
              <w:rPr>
                <w:rFonts w:ascii="Arial" w:eastAsia="Arial" w:hAnsi="Arial" w:cs="Arial"/>
              </w:rPr>
              <w:tab/>
              <w:t xml:space="preserve">Je li predviđen način podnošenja izvještaja o monitoringu – adresat i javno objavljivanje izvještaja?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72080E5E"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3A1C193F" w14:textId="77777777" w:rsidR="00C85844" w:rsidRDefault="00C85844" w:rsidP="00A26279">
            <w:pPr>
              <w:ind w:left="1"/>
            </w:pPr>
            <w:r>
              <w:rPr>
                <w:rFonts w:ascii="Arial" w:eastAsia="Arial" w:hAnsi="Arial" w:cs="Arial"/>
              </w:rPr>
              <w:t xml:space="preserve"> </w:t>
            </w:r>
          </w:p>
        </w:tc>
      </w:tr>
      <w:tr w:rsidR="00C85844" w14:paraId="788A85A6" w14:textId="77777777" w:rsidTr="00C85844">
        <w:trPr>
          <w:trHeight w:val="1262"/>
        </w:trPr>
        <w:tc>
          <w:tcPr>
            <w:tcW w:w="5000" w:type="pct"/>
            <w:gridSpan w:val="3"/>
            <w:tcBorders>
              <w:top w:val="single" w:sz="4" w:space="0" w:color="000000"/>
              <w:left w:val="single" w:sz="4" w:space="0" w:color="000000"/>
              <w:bottom w:val="single" w:sz="4" w:space="0" w:color="000000"/>
              <w:right w:val="single" w:sz="4" w:space="0" w:color="000000"/>
            </w:tcBorders>
          </w:tcPr>
          <w:p w14:paraId="43B4576B" w14:textId="77777777" w:rsidR="00C85844" w:rsidRDefault="00C85844" w:rsidP="00A26279">
            <w:pPr>
              <w:ind w:right="88"/>
              <w:jc w:val="both"/>
            </w:pPr>
            <w:r>
              <w:rPr>
                <w:rFonts w:ascii="Arial" w:eastAsia="Arial" w:hAnsi="Arial" w:cs="Arial"/>
              </w:rPr>
              <w:t xml:space="preserve">Strateški dokument u ovom dijelu ispunjava uslove postavljene Uredbom i Metodologijom. Predlogom Strategije je predviđeno da je MJUDDM zaduženo da u okviru Komisije za praćenje sprovođenja Strategije digitalne transformacije Crne Gore objedini podatke i pripremi godišnje Izvještaje o sprovođenju AP koje dostavlja na uvid Savjetu za elektronsku upravu, a zatim iste upućuje Vladi Crne Gore na usvajanje. Nakon usvajanja na Vladi, Izvještaji će se objaviti i na sajtu Ministarstva javne uprave, digitalnog društva i medija. </w:t>
            </w:r>
          </w:p>
        </w:tc>
      </w:tr>
      <w:tr w:rsidR="00C85844" w14:paraId="22553745" w14:textId="77777777" w:rsidTr="00C85844">
        <w:trPr>
          <w:trHeight w:val="440"/>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75363314" w14:textId="77777777" w:rsidR="00C85844" w:rsidRDefault="00C85844" w:rsidP="00A26279">
            <w:pPr>
              <w:tabs>
                <w:tab w:val="center" w:pos="1667"/>
                <w:tab w:val="center" w:pos="3735"/>
              </w:tabs>
            </w:pPr>
            <w:r>
              <w:tab/>
            </w:r>
            <w:r>
              <w:rPr>
                <w:rFonts w:ascii="Arial" w:eastAsia="Arial" w:hAnsi="Arial" w:cs="Arial"/>
              </w:rPr>
              <w:t xml:space="preserve">3.7.5. </w:t>
            </w:r>
            <w:r>
              <w:rPr>
                <w:rFonts w:ascii="Arial" w:eastAsia="Arial" w:hAnsi="Arial" w:cs="Arial"/>
              </w:rPr>
              <w:tab/>
              <w:t xml:space="preserve">Je li strategijom predviđena evaluacija?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3B52772F"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65B315B9" w14:textId="77777777" w:rsidR="00C85844" w:rsidRDefault="00C85844" w:rsidP="00A26279">
            <w:pPr>
              <w:ind w:left="1"/>
            </w:pPr>
            <w:r>
              <w:rPr>
                <w:rFonts w:ascii="Arial" w:eastAsia="Arial" w:hAnsi="Arial" w:cs="Arial"/>
              </w:rPr>
              <w:t xml:space="preserve"> </w:t>
            </w:r>
          </w:p>
        </w:tc>
      </w:tr>
      <w:tr w:rsidR="00C85844" w14:paraId="48EF0F98" w14:textId="77777777" w:rsidTr="00C85844">
        <w:trPr>
          <w:trHeight w:val="989"/>
        </w:trPr>
        <w:tc>
          <w:tcPr>
            <w:tcW w:w="5000" w:type="pct"/>
            <w:gridSpan w:val="3"/>
            <w:tcBorders>
              <w:top w:val="single" w:sz="4" w:space="0" w:color="000000"/>
              <w:left w:val="single" w:sz="4" w:space="0" w:color="000000"/>
              <w:bottom w:val="single" w:sz="4" w:space="0" w:color="000000"/>
              <w:right w:val="single" w:sz="4" w:space="0" w:color="000000"/>
            </w:tcBorders>
          </w:tcPr>
          <w:p w14:paraId="3A361C79" w14:textId="77777777" w:rsidR="00C85844" w:rsidRDefault="00C85844" w:rsidP="00A26279">
            <w:pPr>
              <w:ind w:right="86"/>
              <w:jc w:val="both"/>
            </w:pPr>
            <w:r>
              <w:rPr>
                <w:rFonts w:ascii="Arial" w:eastAsia="Arial" w:hAnsi="Arial" w:cs="Arial"/>
              </w:rPr>
              <w:t>Predlog strateškog dokumenta sadrži režim evaluacije primjene strategije. U predlogu je navedeno da će finalna evaluacija biti sprovedena od strane nezavisnog eksperta, a da će tim procesom koordinirati MJUDDM. Takođe, istaknuto je da će finalna evaluacija biti sprovedena na kraju implementacionog perioda, kako bi ocijenila efekte i učinke Strategije digitalne transformacije 2022-2026, sa početnom analizom stanja za donošenje narednog strateškog dokumenta.</w:t>
            </w:r>
            <w:r>
              <w:rPr>
                <w:rFonts w:ascii="Calibri" w:eastAsia="Calibri" w:hAnsi="Calibri" w:cs="Calibri"/>
              </w:rPr>
              <w:t xml:space="preserve"> </w:t>
            </w:r>
            <w:r>
              <w:rPr>
                <w:rFonts w:ascii="Arial" w:eastAsia="Arial" w:hAnsi="Arial" w:cs="Arial"/>
              </w:rPr>
              <w:t xml:space="preserve"> </w:t>
            </w:r>
          </w:p>
        </w:tc>
      </w:tr>
      <w:tr w:rsidR="00C85844" w14:paraId="07272410" w14:textId="77777777" w:rsidTr="00C85844">
        <w:trPr>
          <w:trHeight w:val="712"/>
        </w:trPr>
        <w:tc>
          <w:tcPr>
            <w:tcW w:w="3838" w:type="pct"/>
            <w:tcBorders>
              <w:top w:val="single" w:sz="4" w:space="0" w:color="000000"/>
              <w:left w:val="single" w:sz="4" w:space="0" w:color="000000"/>
              <w:bottom w:val="single" w:sz="4" w:space="0" w:color="000000"/>
              <w:right w:val="single" w:sz="4" w:space="0" w:color="000000"/>
            </w:tcBorders>
            <w:shd w:val="clear" w:color="auto" w:fill="D9E2F3"/>
          </w:tcPr>
          <w:p w14:paraId="1636188E" w14:textId="77777777" w:rsidR="00C85844" w:rsidRDefault="00C85844" w:rsidP="00A26279">
            <w:pPr>
              <w:ind w:left="2160" w:hanging="720"/>
            </w:pPr>
            <w:r>
              <w:rPr>
                <w:rFonts w:ascii="Arial" w:eastAsia="Arial" w:hAnsi="Arial" w:cs="Arial"/>
              </w:rPr>
              <w:t xml:space="preserve">3.7.6. </w:t>
            </w:r>
            <w:r>
              <w:rPr>
                <w:rFonts w:ascii="Arial" w:eastAsia="Arial" w:hAnsi="Arial" w:cs="Arial"/>
              </w:rPr>
              <w:tab/>
              <w:t xml:space="preserve">Ukoliko evaluaciju vrši eksterni evaluator (nezavisni evaluator), jesu li predviđena neophodna finansijska sredstva za njegovo angažovanje? </w:t>
            </w:r>
          </w:p>
        </w:tc>
        <w:tc>
          <w:tcPr>
            <w:tcW w:w="580" w:type="pct"/>
            <w:tcBorders>
              <w:top w:val="single" w:sz="4" w:space="0" w:color="000000"/>
              <w:left w:val="single" w:sz="4" w:space="0" w:color="000000"/>
              <w:bottom w:val="single" w:sz="4" w:space="0" w:color="000000"/>
              <w:right w:val="single" w:sz="4" w:space="0" w:color="000000"/>
            </w:tcBorders>
            <w:shd w:val="clear" w:color="auto" w:fill="70AD47"/>
          </w:tcPr>
          <w:p w14:paraId="3458CD5D" w14:textId="77777777" w:rsidR="00C85844" w:rsidRDefault="00C85844" w:rsidP="00A26279">
            <w:pPr>
              <w:ind w:right="237"/>
              <w:jc w:val="right"/>
            </w:pPr>
            <w:r>
              <w:rPr>
                <w:rFonts w:ascii="Wingdings" w:eastAsia="Wingdings" w:hAnsi="Wingdings" w:cs="Wingdings"/>
              </w:rPr>
              <w:t></w:t>
            </w:r>
            <w:r>
              <w:rPr>
                <w:rFonts w:ascii="Arial" w:eastAsia="Arial" w:hAnsi="Arial" w:cs="Arial"/>
              </w:rPr>
              <w:t xml:space="preserve"> </w:t>
            </w:r>
            <w:r>
              <w:rPr>
                <w:rFonts w:ascii="Arial" w:eastAsia="Arial" w:hAnsi="Arial" w:cs="Arial"/>
                <w:b/>
              </w:rPr>
              <w:t xml:space="preserve"> </w:t>
            </w:r>
          </w:p>
        </w:tc>
        <w:tc>
          <w:tcPr>
            <w:tcW w:w="582" w:type="pct"/>
            <w:tcBorders>
              <w:top w:val="single" w:sz="4" w:space="0" w:color="000000"/>
              <w:left w:val="single" w:sz="4" w:space="0" w:color="000000"/>
              <w:bottom w:val="single" w:sz="4" w:space="0" w:color="000000"/>
              <w:right w:val="single" w:sz="4" w:space="0" w:color="000000"/>
            </w:tcBorders>
          </w:tcPr>
          <w:p w14:paraId="4DCB3117" w14:textId="77777777" w:rsidR="00C85844" w:rsidRDefault="00C85844" w:rsidP="00A26279">
            <w:pPr>
              <w:ind w:left="1"/>
            </w:pPr>
            <w:r>
              <w:rPr>
                <w:rFonts w:ascii="Arial" w:eastAsia="Arial" w:hAnsi="Arial" w:cs="Arial"/>
              </w:rPr>
              <w:t xml:space="preserve"> </w:t>
            </w:r>
          </w:p>
        </w:tc>
      </w:tr>
      <w:tr w:rsidR="00C85844" w14:paraId="0D513948" w14:textId="77777777" w:rsidTr="00C85844">
        <w:trPr>
          <w:trHeight w:val="991"/>
        </w:trPr>
        <w:tc>
          <w:tcPr>
            <w:tcW w:w="5000" w:type="pct"/>
            <w:gridSpan w:val="3"/>
            <w:tcBorders>
              <w:top w:val="single" w:sz="4" w:space="0" w:color="000000"/>
              <w:left w:val="single" w:sz="4" w:space="0" w:color="000000"/>
              <w:bottom w:val="single" w:sz="4" w:space="0" w:color="000000"/>
              <w:right w:val="single" w:sz="4" w:space="0" w:color="000000"/>
            </w:tcBorders>
          </w:tcPr>
          <w:p w14:paraId="039F3216" w14:textId="77777777" w:rsidR="00C85844" w:rsidRDefault="00C85844" w:rsidP="00A26279">
            <w:pPr>
              <w:ind w:right="87"/>
              <w:jc w:val="both"/>
            </w:pPr>
            <w:r>
              <w:rPr>
                <w:rFonts w:ascii="Arial" w:eastAsia="Arial" w:hAnsi="Arial" w:cs="Arial"/>
              </w:rPr>
              <w:t xml:space="preserve">Strategijom je definisano da će evaluaciju sprovesti nezavisni evaluator. Predviđeno je da se u procesu evaluacije koristi kombinovana metoda sa ciljem obezbjeđivanja objektivnosti postupka evaluacije. U predlogu strateškog dokumenta je navedeno da će u budžetu Ministarstva javne uprave, digitalnog društva i medija biti predviđena, odobrena i za ove namjene upotrebljena sredstva, koja će se obezbijediti iz budžeta Vlade, u iznosu do 30.000 EUR.. </w:t>
            </w:r>
          </w:p>
        </w:tc>
      </w:tr>
    </w:tbl>
    <w:p w14:paraId="000F36FB" w14:textId="77777777" w:rsidR="00C85844" w:rsidRDefault="00C85844" w:rsidP="00C85844">
      <w:pPr>
        <w:spacing w:after="0"/>
        <w:jc w:val="both"/>
      </w:pPr>
      <w:r>
        <w:t xml:space="preserve"> </w:t>
      </w:r>
    </w:p>
    <w:p w14:paraId="62BCFB05" w14:textId="77777777" w:rsidR="004C791B" w:rsidRDefault="004C791B">
      <w:pPr>
        <w:pBdr>
          <w:top w:val="nil"/>
          <w:left w:val="nil"/>
          <w:bottom w:val="nil"/>
          <w:right w:val="nil"/>
          <w:between w:val="nil"/>
        </w:pBdr>
        <w:spacing w:before="20" w:after="20" w:line="240" w:lineRule="auto"/>
        <w:rPr>
          <w:rFonts w:ascii="Arial" w:eastAsia="Arial" w:hAnsi="Arial" w:cs="Arial"/>
          <w:b/>
          <w:sz w:val="28"/>
          <w:szCs w:val="28"/>
        </w:rPr>
      </w:pPr>
    </w:p>
    <w:p w14:paraId="06F6E5BC"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48D80229"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21D7C6D2"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6DF33DA7"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279127EE"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06B59D79"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0066CD6E"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02E3975B" w14:textId="77777777" w:rsidR="005038F6" w:rsidRDefault="00AE7DE0" w:rsidP="00AE7DE0">
      <w:pPr>
        <w:pBdr>
          <w:top w:val="nil"/>
          <w:left w:val="nil"/>
          <w:bottom w:val="nil"/>
          <w:right w:val="nil"/>
          <w:between w:val="nil"/>
        </w:pBdr>
        <w:spacing w:before="20" w:after="20" w:line="240" w:lineRule="auto"/>
        <w:jc w:val="center"/>
        <w:rPr>
          <w:rFonts w:ascii="Arial" w:eastAsia="Arial" w:hAnsi="Arial" w:cs="Arial"/>
          <w:b/>
          <w:sz w:val="28"/>
          <w:szCs w:val="28"/>
        </w:rPr>
      </w:pPr>
      <w:r>
        <w:rPr>
          <w:noProof/>
        </w:rPr>
        <w:drawing>
          <wp:inline distT="0" distB="0" distL="0" distR="0" wp14:anchorId="13F9A17F" wp14:editId="6AB550F6">
            <wp:extent cx="5972175" cy="8473158"/>
            <wp:effectExtent l="0" t="0" r="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74723" cy="8476773"/>
                    </a:xfrm>
                    <a:prstGeom prst="rect">
                      <a:avLst/>
                    </a:prstGeom>
                  </pic:spPr>
                </pic:pic>
              </a:graphicData>
            </a:graphic>
          </wp:inline>
        </w:drawing>
      </w:r>
    </w:p>
    <w:p w14:paraId="70323FD8" w14:textId="77777777" w:rsidR="00AE7DE0" w:rsidRPr="00393665" w:rsidRDefault="00AE7DE0" w:rsidP="00AE7DE0">
      <w:pPr>
        <w:autoSpaceDE w:val="0"/>
        <w:autoSpaceDN w:val="0"/>
        <w:adjustRightInd w:val="0"/>
        <w:rPr>
          <w:rFonts w:ascii="Arial" w:hAnsi="Arial" w:cs="Arial"/>
          <w:b/>
          <w:color w:val="365F91" w:themeColor="accent1" w:themeShade="BF"/>
          <w:sz w:val="20"/>
          <w:szCs w:val="20"/>
        </w:rPr>
      </w:pPr>
    </w:p>
    <w:p w14:paraId="52C83C1D" w14:textId="77777777" w:rsidR="00AE7DE0" w:rsidRPr="00817808" w:rsidRDefault="00AE7DE0" w:rsidP="00AE7DE0">
      <w:pPr>
        <w:autoSpaceDE w:val="0"/>
        <w:autoSpaceDN w:val="0"/>
        <w:adjustRightInd w:val="0"/>
        <w:jc w:val="right"/>
        <w:rPr>
          <w:rFonts w:ascii="Arial" w:hAnsi="Arial" w:cs="Arial"/>
          <w:b/>
          <w:color w:val="365F91" w:themeColor="accent1" w:themeShade="BF"/>
          <w:sz w:val="20"/>
          <w:szCs w:val="20"/>
        </w:rPr>
      </w:pPr>
      <w:r w:rsidRPr="00817808">
        <w:rPr>
          <w:rFonts w:ascii="Arial" w:hAnsi="Arial" w:cs="Arial"/>
          <w:b/>
          <w:color w:val="365F91" w:themeColor="accent1" w:themeShade="BF"/>
          <w:sz w:val="20"/>
          <w:szCs w:val="20"/>
        </w:rPr>
        <w:t>OBRAZAC</w:t>
      </w:r>
    </w:p>
    <w:p w14:paraId="66B70BDC" w14:textId="77777777" w:rsidR="00AE7DE0" w:rsidRPr="00817808" w:rsidRDefault="00AE7DE0" w:rsidP="00AE7DE0">
      <w:pPr>
        <w:autoSpaceDE w:val="0"/>
        <w:autoSpaceDN w:val="0"/>
        <w:adjustRightInd w:val="0"/>
        <w:rPr>
          <w:rFonts w:ascii="Arial" w:hAnsi="Arial" w:cs="Arial"/>
          <w:b/>
          <w:color w:val="365F91" w:themeColor="accent1" w:themeShade="BF"/>
          <w:sz w:val="20"/>
          <w:szCs w:val="20"/>
        </w:rPr>
      </w:pPr>
    </w:p>
    <w:tbl>
      <w:tblPr>
        <w:tblStyle w:val="LightGrid-Accent5"/>
        <w:tblW w:w="0" w:type="auto"/>
        <w:jc w:val="center"/>
        <w:tblLook w:val="04A0" w:firstRow="1" w:lastRow="0" w:firstColumn="1" w:lastColumn="0" w:noHBand="0" w:noVBand="1"/>
      </w:tblPr>
      <w:tblGrid>
        <w:gridCol w:w="3978"/>
        <w:gridCol w:w="5226"/>
      </w:tblGrid>
      <w:tr w:rsidR="00AE7DE0" w:rsidRPr="0047726C" w14:paraId="48719A91" w14:textId="77777777" w:rsidTr="00AE7D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174EE345" w14:textId="77777777" w:rsidR="00AE7DE0" w:rsidRPr="00F15F1C" w:rsidRDefault="00AE7DE0" w:rsidP="00A26279">
            <w:pPr>
              <w:autoSpaceDE w:val="0"/>
              <w:autoSpaceDN w:val="0"/>
              <w:adjustRightInd w:val="0"/>
              <w:spacing w:before="120" w:after="120"/>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IZVJEŠTAJ O SPROVEDENOJ ANALIZI PROCJENE UTICAJA PROPISA</w:t>
            </w:r>
          </w:p>
        </w:tc>
      </w:tr>
      <w:tr w:rsidR="00AE7DE0" w:rsidRPr="0052159A" w14:paraId="04BAFF0B"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14:paraId="494397F9" w14:textId="77777777" w:rsidR="00AE7DE0" w:rsidRPr="00817808" w:rsidRDefault="00AE7DE0" w:rsidP="00A26279">
            <w:pPr>
              <w:autoSpaceDE w:val="0"/>
              <w:autoSpaceDN w:val="0"/>
              <w:adjustRightInd w:val="0"/>
              <w:spacing w:before="120" w:after="120"/>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PREDLAGAČ PROPISA</w:t>
            </w:r>
          </w:p>
        </w:tc>
        <w:tc>
          <w:tcPr>
            <w:tcW w:w="5226" w:type="dxa"/>
          </w:tcPr>
          <w:p w14:paraId="412A097E" w14:textId="77777777" w:rsidR="00AE7DE0" w:rsidRPr="00817808" w:rsidRDefault="00AE7DE0" w:rsidP="00A26279">
            <w:pPr>
              <w:autoSpaceDE w:val="0"/>
              <w:autoSpaceDN w:val="0"/>
              <w:adjustRightInd w:val="0"/>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Ministarstvo javne uprave, digitalnog društva i medija</w:t>
            </w:r>
          </w:p>
        </w:tc>
      </w:tr>
      <w:tr w:rsidR="00AE7DE0" w:rsidRPr="0047726C" w14:paraId="6A415551" w14:textId="77777777" w:rsidTr="00AE7DE0">
        <w:trPr>
          <w:cnfStyle w:val="000000010000" w:firstRow="0" w:lastRow="0" w:firstColumn="0" w:lastColumn="0" w:oddVBand="0" w:evenVBand="0" w:oddHBand="0" w:evenHBand="1" w:firstRowFirstColumn="0" w:firstRowLastColumn="0" w:lastRowFirstColumn="0" w:lastRowLastColumn="0"/>
          <w:trHeight w:val="437"/>
          <w:jc w:val="center"/>
        </w:trPr>
        <w:tc>
          <w:tcPr>
            <w:cnfStyle w:val="001000000000" w:firstRow="0" w:lastRow="0" w:firstColumn="1" w:lastColumn="0" w:oddVBand="0" w:evenVBand="0" w:oddHBand="0" w:evenHBand="0" w:firstRowFirstColumn="0" w:firstRowLastColumn="0" w:lastRowFirstColumn="0" w:lastRowLastColumn="0"/>
            <w:tcW w:w="3978" w:type="dxa"/>
          </w:tcPr>
          <w:p w14:paraId="14D6FB6D" w14:textId="77777777" w:rsidR="00AE7DE0" w:rsidRPr="00817808" w:rsidRDefault="00AE7DE0" w:rsidP="00A26279">
            <w:pPr>
              <w:autoSpaceDE w:val="0"/>
              <w:autoSpaceDN w:val="0"/>
              <w:adjustRightInd w:val="0"/>
              <w:spacing w:before="120" w:after="120"/>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NAZIV PROPISA</w:t>
            </w:r>
          </w:p>
        </w:tc>
        <w:tc>
          <w:tcPr>
            <w:tcW w:w="5226" w:type="dxa"/>
          </w:tcPr>
          <w:p w14:paraId="16784171" w14:textId="77777777" w:rsidR="00AE7DE0" w:rsidRPr="00F15F1C" w:rsidRDefault="00AE7DE0" w:rsidP="00A26279">
            <w:pPr>
              <w:cnfStyle w:val="000000010000" w:firstRow="0" w:lastRow="0" w:firstColumn="0" w:lastColumn="0" w:oddVBand="0" w:evenVBand="0" w:oddHBand="0" w:evenHBand="1" w:firstRowFirstColumn="0" w:firstRowLastColumn="0" w:lastRowFirstColumn="0" w:lastRowLastColumn="0"/>
              <w:rPr>
                <w:rFonts w:ascii="Arial" w:hAnsi="Arial" w:cs="Arial"/>
                <w:color w:val="365F91" w:themeColor="accent1" w:themeShade="BF"/>
                <w:sz w:val="20"/>
                <w:szCs w:val="20"/>
                <w:lang w:val="it-IT"/>
              </w:rPr>
            </w:pPr>
          </w:p>
          <w:p w14:paraId="1E735269" w14:textId="77777777" w:rsidR="00AE7DE0" w:rsidRPr="00F15F1C" w:rsidRDefault="00AE7DE0" w:rsidP="00A26279">
            <w:pPr>
              <w:cnfStyle w:val="000000010000" w:firstRow="0" w:lastRow="0" w:firstColumn="0" w:lastColumn="0" w:oddVBand="0" w:evenVBand="0" w:oddHBand="0" w:evenHBand="1" w:firstRowFirstColumn="0" w:firstRowLastColumn="0" w:lastRowFirstColumn="0" w:lastRowLastColumn="0"/>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 xml:space="preserve">Strategija digitalne transformacije Crne Gore 2022-2026. sa Akcionim planom za 2022. i 2023. godinu </w:t>
            </w:r>
          </w:p>
          <w:p w14:paraId="492D4F20" w14:textId="77777777" w:rsidR="00AE7DE0" w:rsidRPr="00F15F1C" w:rsidRDefault="00AE7DE0" w:rsidP="00A26279">
            <w:pPr>
              <w:cnfStyle w:val="000000010000" w:firstRow="0" w:lastRow="0" w:firstColumn="0" w:lastColumn="0" w:oddVBand="0" w:evenVBand="0" w:oddHBand="0" w:evenHBand="1" w:firstRowFirstColumn="0" w:firstRowLastColumn="0" w:lastRowFirstColumn="0" w:lastRowLastColumn="0"/>
              <w:rPr>
                <w:rFonts w:ascii="Arial" w:hAnsi="Arial" w:cs="Arial"/>
                <w:noProof/>
                <w:sz w:val="20"/>
                <w:szCs w:val="20"/>
                <w:lang w:val="it-IT"/>
              </w:rPr>
            </w:pPr>
          </w:p>
        </w:tc>
      </w:tr>
      <w:tr w:rsidR="00AE7DE0" w:rsidRPr="0052159A" w14:paraId="3586C966"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6772E455" w14:textId="77777777" w:rsidR="00AE7DE0" w:rsidRPr="00817808" w:rsidRDefault="00AE7DE0" w:rsidP="00A26279">
            <w:pPr>
              <w:autoSpaceDE w:val="0"/>
              <w:autoSpaceDN w:val="0"/>
              <w:adjustRightInd w:val="0"/>
              <w:spacing w:before="120" w:after="120"/>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1. Definisanje problema</w:t>
            </w:r>
          </w:p>
          <w:p w14:paraId="3DAE7DE6" w14:textId="77777777" w:rsidR="00AE7DE0" w:rsidRPr="00F15F1C" w:rsidRDefault="00AE7DE0" w:rsidP="00AE7DE0">
            <w:pPr>
              <w:pStyle w:val="ListParagraph"/>
              <w:numPr>
                <w:ilvl w:val="0"/>
                <w:numId w:val="68"/>
              </w:numPr>
              <w:autoSpaceDE w:val="0"/>
              <w:autoSpaceDN w:val="0"/>
              <w:adjustRightInd w:val="0"/>
              <w:spacing w:before="120" w:after="120" w:line="240" w:lineRule="auto"/>
              <w:rPr>
                <w:rFonts w:ascii="Arial" w:hAnsi="Arial" w:cs="Arial"/>
                <w:b w:val="0"/>
                <w:color w:val="365F91" w:themeColor="accent1" w:themeShade="BF"/>
                <w:sz w:val="20"/>
                <w:szCs w:val="20"/>
                <w:lang w:val="it-IT"/>
              </w:rPr>
            </w:pPr>
            <w:r w:rsidRPr="00F15F1C">
              <w:rPr>
                <w:rFonts w:ascii="Arial" w:hAnsi="Arial" w:cs="Arial"/>
                <w:color w:val="365F91" w:themeColor="accent1" w:themeShade="BF"/>
                <w:sz w:val="20"/>
                <w:szCs w:val="20"/>
                <w:lang w:val="it-IT"/>
              </w:rPr>
              <w:t>Koje probleme  treba da riješi predloženi akt?</w:t>
            </w:r>
          </w:p>
          <w:p w14:paraId="6A20C568" w14:textId="77777777" w:rsidR="00AE7DE0" w:rsidRPr="00817808" w:rsidRDefault="00AE7DE0" w:rsidP="00AE7DE0">
            <w:pPr>
              <w:pStyle w:val="ListParagraph"/>
              <w:numPr>
                <w:ilvl w:val="0"/>
                <w:numId w:val="68"/>
              </w:numPr>
              <w:autoSpaceDE w:val="0"/>
              <w:autoSpaceDN w:val="0"/>
              <w:adjustRightInd w:val="0"/>
              <w:spacing w:before="120" w:after="120" w:line="240" w:lineRule="auto"/>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Koji su uzroci problema?</w:t>
            </w:r>
          </w:p>
          <w:p w14:paraId="0642135B" w14:textId="77777777" w:rsidR="00AE7DE0" w:rsidRPr="00817808" w:rsidRDefault="00AE7DE0" w:rsidP="00AE7DE0">
            <w:pPr>
              <w:pStyle w:val="ListParagraph"/>
              <w:numPr>
                <w:ilvl w:val="0"/>
                <w:numId w:val="68"/>
              </w:numPr>
              <w:autoSpaceDE w:val="0"/>
              <w:autoSpaceDN w:val="0"/>
              <w:adjustRightInd w:val="0"/>
              <w:spacing w:before="120" w:after="120" w:line="240" w:lineRule="auto"/>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Koje su posljedice problema?</w:t>
            </w:r>
          </w:p>
          <w:p w14:paraId="2FED451A" w14:textId="77777777" w:rsidR="00AE7DE0" w:rsidRPr="00817808" w:rsidRDefault="00AE7DE0" w:rsidP="00AE7DE0">
            <w:pPr>
              <w:pStyle w:val="ListParagraph"/>
              <w:numPr>
                <w:ilvl w:val="0"/>
                <w:numId w:val="68"/>
              </w:numPr>
              <w:autoSpaceDE w:val="0"/>
              <w:autoSpaceDN w:val="0"/>
              <w:adjustRightInd w:val="0"/>
              <w:spacing w:before="120" w:after="120" w:line="240" w:lineRule="auto"/>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Koji su subjekti oštećeni, na koji način i u kojoj mjeri?</w:t>
            </w:r>
          </w:p>
          <w:p w14:paraId="3C80D561" w14:textId="77777777" w:rsidR="00AE7DE0" w:rsidRPr="00817808" w:rsidRDefault="00AE7DE0" w:rsidP="00AE7DE0">
            <w:pPr>
              <w:pStyle w:val="ListParagraph"/>
              <w:numPr>
                <w:ilvl w:val="0"/>
                <w:numId w:val="68"/>
              </w:numPr>
              <w:autoSpaceDE w:val="0"/>
              <w:autoSpaceDN w:val="0"/>
              <w:adjustRightInd w:val="0"/>
              <w:spacing w:before="120" w:after="120" w:line="240" w:lineRule="auto"/>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Kako bi problem evoluirao bez promjene propisa (“status quo” opcija)?</w:t>
            </w:r>
          </w:p>
        </w:tc>
      </w:tr>
      <w:tr w:rsidR="00AE7DE0" w:rsidRPr="0047726C" w14:paraId="0E4046B6" w14:textId="77777777" w:rsidTr="00AE7D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0EE91BC2" w14:textId="77777777" w:rsidR="00AE7DE0" w:rsidRPr="002441B2" w:rsidRDefault="00AE7DE0" w:rsidP="00A26279">
            <w:pPr>
              <w:tabs>
                <w:tab w:val="left" w:pos="270"/>
              </w:tabs>
              <w:rPr>
                <w:rFonts w:ascii="Arial" w:hAnsi="Arial" w:cs="Arial"/>
                <w:b w:val="0"/>
                <w:sz w:val="20"/>
                <w:szCs w:val="20"/>
              </w:rPr>
            </w:pPr>
          </w:p>
          <w:p w14:paraId="1FDAA2D1" w14:textId="77777777" w:rsidR="00AE7DE0" w:rsidRPr="002441B2" w:rsidRDefault="00AE7DE0" w:rsidP="00A26279">
            <w:pPr>
              <w:autoSpaceDE w:val="0"/>
              <w:autoSpaceDN w:val="0"/>
              <w:adjustRightInd w:val="0"/>
              <w:spacing w:before="120" w:after="120"/>
              <w:contextualSpacing/>
              <w:rPr>
                <w:rFonts w:ascii="Arial" w:hAnsi="Arial" w:cs="Arial"/>
                <w:b w:val="0"/>
                <w:color w:val="365F91" w:themeColor="accent1" w:themeShade="BF"/>
                <w:sz w:val="16"/>
                <w:szCs w:val="16"/>
                <w:lang w:val="it-IT"/>
              </w:rPr>
            </w:pPr>
          </w:p>
          <w:p w14:paraId="21A4EE64" w14:textId="77777777" w:rsidR="00AE7DE0" w:rsidRPr="00FA373D"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FA373D">
              <w:rPr>
                <w:rFonts w:ascii="Arial" w:hAnsi="Arial" w:cs="Arial"/>
                <w:b w:val="0"/>
                <w:sz w:val="20"/>
                <w:szCs w:val="20"/>
                <w:lang w:val="it-IT"/>
              </w:rPr>
              <w:t>Nova Strategija digitalne transformacije ima za cilj prepoznavanje principa na kojima treba graditi dalju transformaciju društva kroz približavanje i usvajanje načela kojima se rukovodi, ne samo Evropska unija, već i druge razvijene zemlje svijeta.</w:t>
            </w:r>
          </w:p>
          <w:p w14:paraId="4F5A2A39" w14:textId="77777777" w:rsidR="00AE7DE0" w:rsidRPr="00FA373D" w:rsidRDefault="00AE7DE0" w:rsidP="00A26279">
            <w:pPr>
              <w:pStyle w:val="ListParagraph"/>
              <w:tabs>
                <w:tab w:val="left" w:pos="270"/>
              </w:tabs>
              <w:ind w:left="630"/>
              <w:rPr>
                <w:rFonts w:ascii="Arial" w:hAnsi="Arial" w:cs="Arial"/>
                <w:b w:val="0"/>
                <w:sz w:val="20"/>
                <w:szCs w:val="20"/>
                <w:lang w:val="it-IT"/>
              </w:rPr>
            </w:pPr>
          </w:p>
          <w:p w14:paraId="5112B9E0" w14:textId="77777777" w:rsidR="00AE7DE0" w:rsidRPr="00FA373D"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FA373D">
              <w:rPr>
                <w:rFonts w:ascii="Arial" w:hAnsi="Arial" w:cs="Arial"/>
                <w:b w:val="0"/>
                <w:sz w:val="20"/>
                <w:szCs w:val="20"/>
                <w:lang w:val="it-IT"/>
              </w:rPr>
              <w:t xml:space="preserve">Strategija </w:t>
            </w:r>
            <w:r>
              <w:rPr>
                <w:rFonts w:ascii="Arial" w:hAnsi="Arial" w:cs="Arial"/>
                <w:b w:val="0"/>
                <w:sz w:val="20"/>
                <w:szCs w:val="20"/>
                <w:lang w:val="it-IT"/>
              </w:rPr>
              <w:t>definiše</w:t>
            </w:r>
            <w:r w:rsidRPr="00FA373D">
              <w:rPr>
                <w:rFonts w:ascii="Arial" w:hAnsi="Arial" w:cs="Arial"/>
                <w:b w:val="0"/>
                <w:sz w:val="20"/>
                <w:szCs w:val="20"/>
                <w:lang w:val="it-IT"/>
              </w:rPr>
              <w:t xml:space="preserve"> aktivnosti koje će omogućiti bržu i efikasniju transformaciju privrede, javnog sektora i cjelokupnog društva, kao i promjene u organizaciji i načinu tradicionalnog poslovanja korištenjem digitalnih tehnologija i primjenom novih poslovnih modela. Strategijom </w:t>
            </w:r>
            <w:r>
              <w:rPr>
                <w:rFonts w:ascii="Arial" w:hAnsi="Arial" w:cs="Arial"/>
                <w:b w:val="0"/>
                <w:sz w:val="20"/>
                <w:szCs w:val="20"/>
                <w:lang w:val="it-IT"/>
              </w:rPr>
              <w:t xml:space="preserve">će se </w:t>
            </w:r>
            <w:r w:rsidRPr="00FA373D">
              <w:rPr>
                <w:rFonts w:ascii="Arial" w:hAnsi="Arial" w:cs="Arial"/>
                <w:b w:val="0"/>
                <w:sz w:val="20"/>
                <w:szCs w:val="20"/>
                <w:lang w:val="it-IT"/>
              </w:rPr>
              <w:t>omogući</w:t>
            </w:r>
            <w:r>
              <w:rPr>
                <w:rFonts w:ascii="Arial" w:hAnsi="Arial" w:cs="Arial"/>
                <w:b w:val="0"/>
                <w:sz w:val="20"/>
                <w:szCs w:val="20"/>
                <w:lang w:val="it-IT"/>
              </w:rPr>
              <w:t>ti</w:t>
            </w:r>
            <w:r w:rsidRPr="00FA373D">
              <w:rPr>
                <w:rFonts w:ascii="Arial" w:hAnsi="Arial" w:cs="Arial"/>
                <w:b w:val="0"/>
                <w:sz w:val="20"/>
                <w:szCs w:val="20"/>
                <w:lang w:val="it-IT"/>
              </w:rPr>
              <w:t xml:space="preserve"> podsticaj razvoja inovativnih rješenja, proizvoda i pristupa; uz poboljšanje performansi organizacije i bržeg prilagođavanja u okruženju</w:t>
            </w:r>
            <w:r>
              <w:rPr>
                <w:rFonts w:ascii="Arial" w:hAnsi="Arial" w:cs="Arial"/>
                <w:b w:val="0"/>
                <w:sz w:val="20"/>
                <w:szCs w:val="20"/>
                <w:lang w:val="it-IT"/>
              </w:rPr>
              <w:t>.</w:t>
            </w:r>
          </w:p>
          <w:p w14:paraId="5671B92A" w14:textId="77777777" w:rsidR="00AE7DE0" w:rsidRPr="00FA373D" w:rsidRDefault="00AE7DE0" w:rsidP="00A26279">
            <w:pPr>
              <w:pStyle w:val="ListParagraph"/>
              <w:tabs>
                <w:tab w:val="left" w:pos="270"/>
              </w:tabs>
              <w:ind w:left="630"/>
              <w:rPr>
                <w:rFonts w:ascii="Arial" w:hAnsi="Arial" w:cs="Arial"/>
                <w:b w:val="0"/>
                <w:sz w:val="20"/>
                <w:szCs w:val="20"/>
                <w:lang w:val="it-IT"/>
              </w:rPr>
            </w:pPr>
          </w:p>
          <w:p w14:paraId="63D96496" w14:textId="77777777" w:rsidR="00AE7DE0" w:rsidRPr="0097008B"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97008B">
              <w:rPr>
                <w:rFonts w:ascii="Arial" w:hAnsi="Arial" w:cs="Arial"/>
                <w:b w:val="0"/>
                <w:sz w:val="20"/>
                <w:szCs w:val="20"/>
                <w:lang w:val="it-IT"/>
              </w:rPr>
              <w:t xml:space="preserve">Digitalna transformacija kao kontinuirani proces treba da podstakne i podrži stvaranje digitalnog ekosistema u Crnoj Gori u kojem će svi imati jednake mogućnosti kada je riječ o upotrebi IKT-a ali i ostvarenju benefita koje ta upotreba pruža. Značaj digitalne transformacije je višestruk - sa jedne strane kreiraće moderno društvo zasnovano na znanju ali i podstaći razvoj ekonomije. Strategija digitalnog razvoja Crne Gore 2021-2026 kao važan dokument u oblasti strateškog planiranja i usmjeravanja promjena, obuhvata nekoliko ciljeva i smjernica daljeg razvoja a koji će dalje biti razrađeni kroz Akcione planove. </w:t>
            </w:r>
          </w:p>
          <w:p w14:paraId="25F4B0A6" w14:textId="77777777" w:rsidR="00AE7DE0" w:rsidRPr="0097008B" w:rsidRDefault="00AE7DE0" w:rsidP="00A26279">
            <w:pPr>
              <w:tabs>
                <w:tab w:val="left" w:pos="270"/>
              </w:tabs>
              <w:rPr>
                <w:rFonts w:ascii="Arial" w:hAnsi="Arial" w:cs="Arial"/>
                <w:b w:val="0"/>
                <w:sz w:val="20"/>
                <w:szCs w:val="20"/>
                <w:lang w:val="it-IT"/>
              </w:rPr>
            </w:pPr>
          </w:p>
          <w:p w14:paraId="3729A832" w14:textId="77777777" w:rsidR="00AE7DE0" w:rsidRPr="00875E46" w:rsidRDefault="00AE7DE0" w:rsidP="00AE7DE0">
            <w:pPr>
              <w:pStyle w:val="ListParagraph"/>
              <w:numPr>
                <w:ilvl w:val="0"/>
                <w:numId w:val="68"/>
              </w:numPr>
              <w:tabs>
                <w:tab w:val="left" w:pos="270"/>
              </w:tabs>
              <w:spacing w:after="0" w:line="240" w:lineRule="auto"/>
              <w:contextualSpacing w:val="0"/>
              <w:jc w:val="both"/>
              <w:rPr>
                <w:rFonts w:ascii="Arial" w:hAnsi="Arial" w:cs="Arial"/>
                <w:sz w:val="20"/>
                <w:szCs w:val="20"/>
                <w:lang w:val="sr-Latn-ME"/>
              </w:rPr>
            </w:pPr>
            <w:r w:rsidRPr="002441B2">
              <w:rPr>
                <w:rFonts w:ascii="Arial" w:hAnsi="Arial" w:cs="Arial"/>
                <w:b w:val="0"/>
                <w:sz w:val="20"/>
                <w:szCs w:val="20"/>
                <w:lang w:val="it-IT"/>
              </w:rPr>
              <w:t xml:space="preserve">Kao sastavni dio svakog strateškog planiranja, pa i ovog strateškog dokumenta, urađena je </w:t>
            </w:r>
            <w:r w:rsidRPr="00FA373D">
              <w:rPr>
                <w:rFonts w:ascii="Arial" w:hAnsi="Arial" w:cs="Arial"/>
                <w:b w:val="0"/>
                <w:sz w:val="20"/>
                <w:szCs w:val="20"/>
                <w:lang w:val="it-IT"/>
              </w:rPr>
              <w:t>Analiza stanja za pripremu strategije digitalne transformacije Crne Gore 2022-2026</w:t>
            </w:r>
            <w:r w:rsidRPr="002441B2">
              <w:rPr>
                <w:rFonts w:ascii="Arial" w:hAnsi="Arial" w:cs="Arial"/>
                <w:b w:val="0"/>
                <w:sz w:val="20"/>
                <w:szCs w:val="20"/>
                <w:lang w:val="it-IT"/>
              </w:rPr>
              <w:t xml:space="preserve"> koja daje uvidu u poziciju i stepen razvoja društva u oblasti digitalnih tehnologija (razvoja, implementacije, upotrebe i sl.). </w:t>
            </w:r>
            <w:r w:rsidRPr="00DB4960">
              <w:rPr>
                <w:rFonts w:ascii="Arial" w:hAnsi="Arial" w:cs="Arial"/>
                <w:b w:val="0"/>
                <w:sz w:val="20"/>
                <w:szCs w:val="20"/>
                <w:lang w:val="it-IT"/>
              </w:rPr>
              <w:t>U</w:t>
            </w:r>
            <w:r>
              <w:rPr>
                <w:rFonts w:ascii="Arial" w:hAnsi="Arial" w:cs="Arial"/>
                <w:b w:val="0"/>
                <w:sz w:val="20"/>
                <w:szCs w:val="20"/>
                <w:lang w:val="sr-Latn-ME"/>
              </w:rPr>
              <w:t xml:space="preserve">zroci problema koji su prepoznati analizom odnose se na nedostatak IKT vještina i potrebu uvođenja informatičkog obrazovanja u okviru formalnog obrazovanja, nedovoljan stepen upotrebe elektornskih usluga, nedostatak podsticaja za IKT kompanije i sl. </w:t>
            </w:r>
            <w:r w:rsidRPr="002441B2">
              <w:rPr>
                <w:rFonts w:ascii="Arial" w:hAnsi="Arial" w:cs="Arial"/>
                <w:b w:val="0"/>
                <w:sz w:val="20"/>
                <w:szCs w:val="20"/>
                <w:lang w:val="it-IT"/>
              </w:rPr>
              <w:t>Strate</w:t>
            </w:r>
            <w:r w:rsidRPr="0097008B">
              <w:rPr>
                <w:rFonts w:ascii="Arial" w:hAnsi="Arial" w:cs="Arial"/>
                <w:b w:val="0"/>
                <w:sz w:val="20"/>
                <w:szCs w:val="20"/>
                <w:lang w:val="sr-Latn-ME"/>
              </w:rPr>
              <w:t>š</w:t>
            </w:r>
            <w:r w:rsidRPr="002441B2">
              <w:rPr>
                <w:rFonts w:ascii="Arial" w:hAnsi="Arial" w:cs="Arial"/>
                <w:b w:val="0"/>
                <w:sz w:val="20"/>
                <w:szCs w:val="20"/>
                <w:lang w:val="it-IT"/>
              </w:rPr>
              <w:t>kim</w:t>
            </w:r>
            <w:r w:rsidRPr="0097008B">
              <w:rPr>
                <w:rFonts w:ascii="Arial" w:hAnsi="Arial" w:cs="Arial"/>
                <w:b w:val="0"/>
                <w:sz w:val="20"/>
                <w:szCs w:val="20"/>
                <w:lang w:val="sr-Latn-ME"/>
              </w:rPr>
              <w:t xml:space="preserve"> </w:t>
            </w:r>
            <w:r w:rsidRPr="002441B2">
              <w:rPr>
                <w:rFonts w:ascii="Arial" w:hAnsi="Arial" w:cs="Arial"/>
                <w:b w:val="0"/>
                <w:sz w:val="20"/>
                <w:szCs w:val="20"/>
                <w:lang w:val="it-IT"/>
              </w:rPr>
              <w:t>planiranjem</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jasnom</w:t>
            </w:r>
            <w:r w:rsidRPr="0097008B">
              <w:rPr>
                <w:rFonts w:ascii="Arial" w:hAnsi="Arial" w:cs="Arial"/>
                <w:b w:val="0"/>
                <w:sz w:val="20"/>
                <w:szCs w:val="20"/>
                <w:lang w:val="sr-Latn-ME"/>
              </w:rPr>
              <w:t xml:space="preserve"> </w:t>
            </w:r>
            <w:r w:rsidRPr="002441B2">
              <w:rPr>
                <w:rFonts w:ascii="Arial" w:hAnsi="Arial" w:cs="Arial"/>
                <w:b w:val="0"/>
                <w:sz w:val="20"/>
                <w:szCs w:val="20"/>
                <w:lang w:val="it-IT"/>
              </w:rPr>
              <w:t>vizijom</w:t>
            </w:r>
            <w:r w:rsidRPr="0097008B">
              <w:rPr>
                <w:rFonts w:ascii="Arial" w:hAnsi="Arial" w:cs="Arial"/>
                <w:b w:val="0"/>
                <w:sz w:val="20"/>
                <w:szCs w:val="20"/>
                <w:lang w:val="sr-Latn-ME"/>
              </w:rPr>
              <w:t xml:space="preserve"> </w:t>
            </w:r>
            <w:r>
              <w:rPr>
                <w:rFonts w:ascii="Arial" w:hAnsi="Arial" w:cs="Arial"/>
                <w:b w:val="0"/>
                <w:sz w:val="20"/>
                <w:szCs w:val="20"/>
                <w:lang w:val="it-IT"/>
              </w:rPr>
              <w:t>koji</w:t>
            </w:r>
            <w:r w:rsidRPr="0097008B">
              <w:rPr>
                <w:rFonts w:ascii="Arial" w:hAnsi="Arial" w:cs="Arial"/>
                <w:b w:val="0"/>
                <w:sz w:val="20"/>
                <w:szCs w:val="20"/>
                <w:lang w:val="sr-Latn-ME"/>
              </w:rPr>
              <w:t xml:space="preserve"> </w:t>
            </w:r>
            <w:r>
              <w:rPr>
                <w:rFonts w:ascii="Arial" w:hAnsi="Arial" w:cs="Arial"/>
                <w:b w:val="0"/>
                <w:sz w:val="20"/>
                <w:szCs w:val="20"/>
                <w:lang w:val="it-IT"/>
              </w:rPr>
              <w:t>sadr</w:t>
            </w:r>
            <w:r w:rsidRPr="0097008B">
              <w:rPr>
                <w:rFonts w:ascii="Arial" w:hAnsi="Arial" w:cs="Arial"/>
                <w:b w:val="0"/>
                <w:sz w:val="20"/>
                <w:szCs w:val="20"/>
                <w:lang w:val="sr-Latn-ME"/>
              </w:rPr>
              <w:t>ž</w:t>
            </w:r>
            <w:r>
              <w:rPr>
                <w:rFonts w:ascii="Arial" w:hAnsi="Arial" w:cs="Arial"/>
                <w:b w:val="0"/>
                <w:sz w:val="20"/>
                <w:szCs w:val="20"/>
                <w:lang w:val="it-IT"/>
              </w:rPr>
              <w:t>i</w:t>
            </w:r>
            <w:r w:rsidRPr="0097008B">
              <w:rPr>
                <w:rFonts w:ascii="Arial" w:hAnsi="Arial" w:cs="Arial"/>
                <w:b w:val="0"/>
                <w:sz w:val="20"/>
                <w:szCs w:val="20"/>
                <w:lang w:val="sr-Latn-ME"/>
              </w:rPr>
              <w:t xml:space="preserve"> </w:t>
            </w:r>
            <w:r>
              <w:rPr>
                <w:rFonts w:ascii="Arial" w:hAnsi="Arial" w:cs="Arial"/>
                <w:b w:val="0"/>
                <w:sz w:val="20"/>
                <w:szCs w:val="20"/>
                <w:lang w:val="it-IT"/>
              </w:rPr>
              <w:t>predlo</w:t>
            </w:r>
            <w:r w:rsidRPr="0097008B">
              <w:rPr>
                <w:rFonts w:ascii="Arial" w:hAnsi="Arial" w:cs="Arial"/>
                <w:b w:val="0"/>
                <w:sz w:val="20"/>
                <w:szCs w:val="20"/>
                <w:lang w:val="sr-Latn-ME"/>
              </w:rPr>
              <w:t>ž</w:t>
            </w:r>
            <w:r>
              <w:rPr>
                <w:rFonts w:ascii="Arial" w:hAnsi="Arial" w:cs="Arial"/>
                <w:b w:val="0"/>
                <w:sz w:val="20"/>
                <w:szCs w:val="20"/>
                <w:lang w:val="it-IT"/>
              </w:rPr>
              <w:t>eni</w:t>
            </w:r>
            <w:r w:rsidRPr="0097008B">
              <w:rPr>
                <w:rFonts w:ascii="Arial" w:hAnsi="Arial" w:cs="Arial"/>
                <w:b w:val="0"/>
                <w:sz w:val="20"/>
                <w:szCs w:val="20"/>
                <w:lang w:val="sr-Latn-ME"/>
              </w:rPr>
              <w:t xml:space="preserve"> </w:t>
            </w:r>
            <w:r>
              <w:rPr>
                <w:rFonts w:ascii="Arial" w:hAnsi="Arial" w:cs="Arial"/>
                <w:b w:val="0"/>
                <w:sz w:val="20"/>
                <w:szCs w:val="20"/>
                <w:lang w:val="it-IT"/>
              </w:rPr>
              <w:t>dokument</w:t>
            </w:r>
            <w:r w:rsidRPr="0097008B">
              <w:rPr>
                <w:rFonts w:ascii="Arial" w:hAnsi="Arial" w:cs="Arial"/>
                <w:b w:val="0"/>
                <w:sz w:val="20"/>
                <w:szCs w:val="20"/>
                <w:lang w:val="sr-Latn-ME"/>
              </w:rPr>
              <w:t xml:space="preserve">, </w:t>
            </w:r>
            <w:r w:rsidRPr="002441B2">
              <w:rPr>
                <w:rFonts w:ascii="Arial" w:hAnsi="Arial" w:cs="Arial"/>
                <w:b w:val="0"/>
                <w:sz w:val="20"/>
                <w:szCs w:val="20"/>
                <w:lang w:val="it-IT"/>
              </w:rPr>
              <w:t>te</w:t>
            </w:r>
            <w:r w:rsidRPr="0097008B">
              <w:rPr>
                <w:rFonts w:ascii="Arial" w:hAnsi="Arial" w:cs="Arial"/>
                <w:b w:val="0"/>
                <w:sz w:val="20"/>
                <w:szCs w:val="20"/>
                <w:lang w:val="sr-Latn-ME"/>
              </w:rPr>
              <w:t>ž</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se</w:t>
            </w:r>
            <w:r w:rsidRPr="0097008B">
              <w:rPr>
                <w:rFonts w:ascii="Arial" w:hAnsi="Arial" w:cs="Arial"/>
                <w:b w:val="0"/>
                <w:sz w:val="20"/>
                <w:szCs w:val="20"/>
                <w:lang w:val="sr-Latn-ME"/>
              </w:rPr>
              <w:t xml:space="preserve"> </w:t>
            </w:r>
            <w:r>
              <w:rPr>
                <w:rFonts w:ascii="Arial" w:hAnsi="Arial" w:cs="Arial"/>
                <w:b w:val="0"/>
                <w:sz w:val="20"/>
                <w:szCs w:val="20"/>
                <w:lang w:val="it-IT"/>
              </w:rPr>
              <w:t>digitalnoj</w:t>
            </w:r>
            <w:r w:rsidRPr="0097008B">
              <w:rPr>
                <w:rFonts w:ascii="Arial" w:hAnsi="Arial" w:cs="Arial"/>
                <w:b w:val="0"/>
                <w:sz w:val="20"/>
                <w:szCs w:val="20"/>
                <w:lang w:val="sr-Latn-ME"/>
              </w:rPr>
              <w:t xml:space="preserve"> </w:t>
            </w:r>
            <w:r>
              <w:rPr>
                <w:rFonts w:ascii="Arial" w:hAnsi="Arial" w:cs="Arial"/>
                <w:b w:val="0"/>
                <w:sz w:val="20"/>
                <w:szCs w:val="20"/>
                <w:lang w:val="it-IT"/>
              </w:rPr>
              <w:t>transformaciji</w:t>
            </w:r>
            <w:r w:rsidRPr="0097008B">
              <w:rPr>
                <w:rFonts w:ascii="Arial" w:hAnsi="Arial" w:cs="Arial"/>
                <w:b w:val="0"/>
                <w:sz w:val="20"/>
                <w:szCs w:val="20"/>
                <w:lang w:val="sr-Latn-ME"/>
              </w:rPr>
              <w:t xml:space="preserve"> </w:t>
            </w:r>
            <w:r w:rsidRPr="002441B2">
              <w:rPr>
                <w:rFonts w:ascii="Arial" w:hAnsi="Arial" w:cs="Arial"/>
                <w:b w:val="0"/>
                <w:sz w:val="20"/>
                <w:szCs w:val="20"/>
                <w:lang w:val="it-IT"/>
              </w:rPr>
              <w:t>sistema</w:t>
            </w:r>
            <w:r w:rsidRPr="0097008B">
              <w:rPr>
                <w:rFonts w:ascii="Arial" w:hAnsi="Arial" w:cs="Arial"/>
                <w:b w:val="0"/>
                <w:sz w:val="20"/>
                <w:szCs w:val="20"/>
                <w:lang w:val="sr-Latn-ME"/>
              </w:rPr>
              <w:t xml:space="preserve"> </w:t>
            </w:r>
            <w:r w:rsidRPr="002441B2">
              <w:rPr>
                <w:rFonts w:ascii="Arial" w:hAnsi="Arial" w:cs="Arial"/>
                <w:b w:val="0"/>
                <w:sz w:val="20"/>
                <w:szCs w:val="20"/>
                <w:lang w:val="it-IT"/>
              </w:rPr>
              <w:t>koji</w:t>
            </w:r>
            <w:r w:rsidRPr="0097008B">
              <w:rPr>
                <w:rFonts w:ascii="Arial" w:hAnsi="Arial" w:cs="Arial"/>
                <w:b w:val="0"/>
                <w:sz w:val="20"/>
                <w:szCs w:val="20"/>
                <w:lang w:val="sr-Latn-ME"/>
              </w:rPr>
              <w:t xml:space="preserve"> </w:t>
            </w:r>
            <w:r>
              <w:rPr>
                <w:rFonts w:ascii="Arial" w:hAnsi="Arial" w:cs="Arial"/>
                <w:b w:val="0"/>
                <w:sz w:val="20"/>
                <w:szCs w:val="20"/>
                <w:lang w:val="it-IT"/>
              </w:rPr>
              <w:t>treba</w:t>
            </w:r>
            <w:r w:rsidRPr="0097008B">
              <w:rPr>
                <w:rFonts w:ascii="Arial" w:hAnsi="Arial" w:cs="Arial"/>
                <w:b w:val="0"/>
                <w:sz w:val="20"/>
                <w:szCs w:val="20"/>
                <w:lang w:val="sr-Latn-ME"/>
              </w:rPr>
              <w:t xml:space="preserve"> </w:t>
            </w:r>
            <w:r>
              <w:rPr>
                <w:rFonts w:ascii="Arial" w:hAnsi="Arial" w:cs="Arial"/>
                <w:b w:val="0"/>
                <w:sz w:val="20"/>
                <w:szCs w:val="20"/>
                <w:lang w:val="it-IT"/>
              </w:rPr>
              <w:t>da</w:t>
            </w:r>
            <w:r w:rsidRPr="0097008B">
              <w:rPr>
                <w:rFonts w:ascii="Arial" w:hAnsi="Arial" w:cs="Arial"/>
                <w:b w:val="0"/>
                <w:sz w:val="20"/>
                <w:szCs w:val="20"/>
                <w:lang w:val="sr-Latn-ME"/>
              </w:rPr>
              <w:t xml:space="preserve"> </w:t>
            </w:r>
            <w:r>
              <w:rPr>
                <w:rFonts w:ascii="Arial" w:hAnsi="Arial" w:cs="Arial"/>
                <w:b w:val="0"/>
                <w:sz w:val="20"/>
                <w:szCs w:val="20"/>
                <w:lang w:val="it-IT"/>
              </w:rPr>
              <w:t>bude</w:t>
            </w:r>
            <w:r w:rsidRPr="0097008B">
              <w:rPr>
                <w:rFonts w:ascii="Arial" w:hAnsi="Arial" w:cs="Arial"/>
                <w:b w:val="0"/>
                <w:sz w:val="20"/>
                <w:szCs w:val="20"/>
                <w:lang w:val="sr-Latn-ME"/>
              </w:rPr>
              <w:t xml:space="preserve"> </w:t>
            </w:r>
            <w:r w:rsidRPr="002441B2">
              <w:rPr>
                <w:rFonts w:ascii="Arial" w:hAnsi="Arial" w:cs="Arial"/>
                <w:b w:val="0"/>
                <w:sz w:val="20"/>
                <w:szCs w:val="20"/>
                <w:lang w:val="it-IT"/>
              </w:rPr>
              <w:t>razvijen</w:t>
            </w:r>
            <w:r w:rsidRPr="0097008B">
              <w:rPr>
                <w:rFonts w:ascii="Arial" w:hAnsi="Arial" w:cs="Arial"/>
                <w:b w:val="0"/>
                <w:sz w:val="20"/>
                <w:szCs w:val="20"/>
                <w:lang w:val="sr-Latn-ME"/>
              </w:rPr>
              <w:t xml:space="preserve">, </w:t>
            </w:r>
            <w:r w:rsidRPr="002441B2">
              <w:rPr>
                <w:rFonts w:ascii="Arial" w:hAnsi="Arial" w:cs="Arial"/>
                <w:b w:val="0"/>
                <w:sz w:val="20"/>
                <w:szCs w:val="20"/>
                <w:lang w:val="it-IT"/>
              </w:rPr>
              <w:t>moderan</w:t>
            </w:r>
            <w:r w:rsidRPr="0097008B">
              <w:rPr>
                <w:rFonts w:ascii="Arial" w:hAnsi="Arial" w:cs="Arial"/>
                <w:b w:val="0"/>
                <w:sz w:val="20"/>
                <w:szCs w:val="20"/>
                <w:lang w:val="sr-Latn-ME"/>
              </w:rPr>
              <w:t xml:space="preserve"> </w:t>
            </w:r>
            <w:r>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konkurentan</w:t>
            </w:r>
            <w:r w:rsidRPr="0097008B">
              <w:rPr>
                <w:rFonts w:ascii="Arial" w:hAnsi="Arial" w:cs="Arial"/>
                <w:b w:val="0"/>
                <w:sz w:val="20"/>
                <w:szCs w:val="20"/>
                <w:lang w:val="sr-Latn-ME"/>
              </w:rPr>
              <w:t xml:space="preserve">. </w:t>
            </w:r>
          </w:p>
          <w:p w14:paraId="5426627A" w14:textId="77777777" w:rsidR="00AE7DE0" w:rsidRPr="00875E46" w:rsidRDefault="00AE7DE0" w:rsidP="00A26279">
            <w:pPr>
              <w:pStyle w:val="ListParagraph"/>
              <w:rPr>
                <w:rFonts w:ascii="Arial" w:hAnsi="Arial" w:cs="Arial"/>
                <w:bCs w:val="0"/>
                <w:sz w:val="20"/>
                <w:szCs w:val="20"/>
                <w:lang w:val="sr-Latn-ME"/>
              </w:rPr>
            </w:pPr>
          </w:p>
          <w:p w14:paraId="5F9CB3C4" w14:textId="77777777" w:rsidR="00AE7DE0" w:rsidRPr="00743629"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sr-Latn-ME"/>
              </w:rPr>
            </w:pPr>
            <w:r>
              <w:rPr>
                <w:rFonts w:ascii="Arial" w:hAnsi="Arial" w:cs="Arial"/>
                <w:b w:val="0"/>
                <w:sz w:val="20"/>
                <w:szCs w:val="20"/>
                <w:lang w:val="it-IT"/>
              </w:rPr>
              <w:t>Navedeni</w:t>
            </w:r>
            <w:r w:rsidRPr="0097008B">
              <w:rPr>
                <w:rFonts w:ascii="Arial" w:hAnsi="Arial" w:cs="Arial"/>
                <w:b w:val="0"/>
                <w:sz w:val="20"/>
                <w:szCs w:val="20"/>
                <w:lang w:val="sr-Latn-ME"/>
              </w:rPr>
              <w:t xml:space="preserve"> </w:t>
            </w:r>
            <w:r>
              <w:rPr>
                <w:rFonts w:ascii="Arial" w:hAnsi="Arial" w:cs="Arial"/>
                <w:b w:val="0"/>
                <w:sz w:val="20"/>
                <w:szCs w:val="20"/>
                <w:lang w:val="it-IT"/>
              </w:rPr>
              <w:t>uzroci</w:t>
            </w:r>
            <w:r w:rsidRPr="0097008B">
              <w:rPr>
                <w:rFonts w:ascii="Arial" w:hAnsi="Arial" w:cs="Arial"/>
                <w:b w:val="0"/>
                <w:sz w:val="20"/>
                <w:szCs w:val="20"/>
                <w:lang w:val="sr-Latn-ME"/>
              </w:rPr>
              <w:t xml:space="preserve"> </w:t>
            </w:r>
            <w:r>
              <w:rPr>
                <w:rFonts w:ascii="Arial" w:hAnsi="Arial" w:cs="Arial"/>
                <w:b w:val="0"/>
                <w:sz w:val="20"/>
                <w:szCs w:val="20"/>
                <w:lang w:val="it-IT"/>
              </w:rPr>
              <w:t>problema</w:t>
            </w:r>
            <w:r w:rsidRPr="0097008B">
              <w:rPr>
                <w:rFonts w:ascii="Arial" w:hAnsi="Arial" w:cs="Arial"/>
                <w:b w:val="0"/>
                <w:sz w:val="20"/>
                <w:szCs w:val="20"/>
                <w:lang w:val="sr-Latn-ME"/>
              </w:rPr>
              <w:t xml:space="preserve"> </w:t>
            </w:r>
            <w:r>
              <w:rPr>
                <w:rFonts w:ascii="Arial" w:hAnsi="Arial" w:cs="Arial"/>
                <w:b w:val="0"/>
                <w:sz w:val="20"/>
                <w:szCs w:val="20"/>
                <w:lang w:val="it-IT"/>
              </w:rPr>
              <w:t>posljedi</w:t>
            </w:r>
            <w:r w:rsidRPr="0097008B">
              <w:rPr>
                <w:rFonts w:ascii="Arial" w:hAnsi="Arial" w:cs="Arial"/>
                <w:b w:val="0"/>
                <w:sz w:val="20"/>
                <w:szCs w:val="20"/>
                <w:lang w:val="sr-Latn-ME"/>
              </w:rPr>
              <w:t>č</w:t>
            </w:r>
            <w:r>
              <w:rPr>
                <w:rFonts w:ascii="Arial" w:hAnsi="Arial" w:cs="Arial"/>
                <w:b w:val="0"/>
                <w:sz w:val="20"/>
                <w:szCs w:val="20"/>
                <w:lang w:val="it-IT"/>
              </w:rPr>
              <w:t>no</w:t>
            </w:r>
            <w:r w:rsidRPr="0097008B">
              <w:rPr>
                <w:rFonts w:ascii="Arial" w:hAnsi="Arial" w:cs="Arial"/>
                <w:b w:val="0"/>
                <w:sz w:val="20"/>
                <w:szCs w:val="20"/>
                <w:lang w:val="sr-Latn-ME"/>
              </w:rPr>
              <w:t xml:space="preserve"> </w:t>
            </w:r>
            <w:r>
              <w:rPr>
                <w:rFonts w:ascii="Arial" w:hAnsi="Arial" w:cs="Arial"/>
                <w:b w:val="0"/>
                <w:sz w:val="20"/>
                <w:szCs w:val="20"/>
                <w:lang w:val="it-IT"/>
              </w:rPr>
              <w:t>dovode</w:t>
            </w:r>
            <w:r w:rsidRPr="0097008B">
              <w:rPr>
                <w:rFonts w:ascii="Arial" w:hAnsi="Arial" w:cs="Arial"/>
                <w:b w:val="0"/>
                <w:sz w:val="20"/>
                <w:szCs w:val="20"/>
                <w:lang w:val="sr-Latn-ME"/>
              </w:rPr>
              <w:t xml:space="preserve"> </w:t>
            </w:r>
            <w:r>
              <w:rPr>
                <w:rFonts w:ascii="Arial" w:hAnsi="Arial" w:cs="Arial"/>
                <w:b w:val="0"/>
                <w:sz w:val="20"/>
                <w:szCs w:val="20"/>
                <w:lang w:val="it-IT"/>
              </w:rPr>
              <w:t>do</w:t>
            </w:r>
            <w:r w:rsidRPr="0097008B">
              <w:rPr>
                <w:rFonts w:ascii="Arial" w:hAnsi="Arial" w:cs="Arial"/>
                <w:b w:val="0"/>
                <w:sz w:val="20"/>
                <w:szCs w:val="20"/>
                <w:lang w:val="sr-Latn-ME"/>
              </w:rPr>
              <w:t xml:space="preserve"> </w:t>
            </w:r>
            <w:r>
              <w:rPr>
                <w:rFonts w:ascii="Arial" w:hAnsi="Arial" w:cs="Arial"/>
                <w:b w:val="0"/>
                <w:sz w:val="20"/>
                <w:szCs w:val="20"/>
                <w:lang w:val="it-IT"/>
              </w:rPr>
              <w:t>ni</w:t>
            </w:r>
            <w:r w:rsidRPr="0097008B">
              <w:rPr>
                <w:rFonts w:ascii="Arial" w:hAnsi="Arial" w:cs="Arial"/>
                <w:b w:val="0"/>
                <w:sz w:val="20"/>
                <w:szCs w:val="20"/>
                <w:lang w:val="sr-Latn-ME"/>
              </w:rPr>
              <w:t>ž</w:t>
            </w:r>
            <w:r>
              <w:rPr>
                <w:rFonts w:ascii="Arial" w:hAnsi="Arial" w:cs="Arial"/>
                <w:b w:val="0"/>
                <w:sz w:val="20"/>
                <w:szCs w:val="20"/>
                <w:lang w:val="it-IT"/>
              </w:rPr>
              <w:t>eg</w:t>
            </w:r>
            <w:r w:rsidRPr="0097008B">
              <w:rPr>
                <w:rFonts w:ascii="Arial" w:hAnsi="Arial" w:cs="Arial"/>
                <w:b w:val="0"/>
                <w:sz w:val="20"/>
                <w:szCs w:val="20"/>
                <w:lang w:val="sr-Latn-ME"/>
              </w:rPr>
              <w:t xml:space="preserve"> </w:t>
            </w:r>
            <w:r>
              <w:rPr>
                <w:rFonts w:ascii="Arial" w:hAnsi="Arial" w:cs="Arial"/>
                <w:b w:val="0"/>
                <w:sz w:val="20"/>
                <w:szCs w:val="20"/>
                <w:lang w:val="it-IT"/>
              </w:rPr>
              <w:t>stepena</w:t>
            </w:r>
            <w:r w:rsidRPr="0097008B">
              <w:rPr>
                <w:rFonts w:ascii="Arial" w:hAnsi="Arial" w:cs="Arial"/>
                <w:b w:val="0"/>
                <w:sz w:val="20"/>
                <w:szCs w:val="20"/>
                <w:lang w:val="sr-Latn-ME"/>
              </w:rPr>
              <w:t xml:space="preserve"> </w:t>
            </w:r>
            <w:r>
              <w:rPr>
                <w:rFonts w:ascii="Arial" w:hAnsi="Arial" w:cs="Arial"/>
                <w:b w:val="0"/>
                <w:sz w:val="20"/>
                <w:szCs w:val="20"/>
                <w:lang w:val="it-IT"/>
              </w:rPr>
              <w:t>upotrebe</w:t>
            </w:r>
            <w:r w:rsidRPr="0097008B">
              <w:rPr>
                <w:rFonts w:ascii="Arial" w:hAnsi="Arial" w:cs="Arial"/>
                <w:b w:val="0"/>
                <w:sz w:val="20"/>
                <w:szCs w:val="20"/>
                <w:lang w:val="sr-Latn-ME"/>
              </w:rPr>
              <w:t xml:space="preserve"> </w:t>
            </w:r>
            <w:r>
              <w:rPr>
                <w:rFonts w:ascii="Arial" w:hAnsi="Arial" w:cs="Arial"/>
                <w:b w:val="0"/>
                <w:sz w:val="20"/>
                <w:szCs w:val="20"/>
                <w:lang w:val="it-IT"/>
              </w:rPr>
              <w:t>tehnologije</w:t>
            </w:r>
            <w:r w:rsidRPr="0097008B">
              <w:rPr>
                <w:rFonts w:ascii="Arial" w:hAnsi="Arial" w:cs="Arial"/>
                <w:b w:val="0"/>
                <w:sz w:val="20"/>
                <w:szCs w:val="20"/>
                <w:lang w:val="sr-Latn-ME"/>
              </w:rPr>
              <w:t xml:space="preserve">, </w:t>
            </w:r>
            <w:r>
              <w:rPr>
                <w:rFonts w:ascii="Arial" w:hAnsi="Arial" w:cs="Arial"/>
                <w:b w:val="0"/>
                <w:sz w:val="20"/>
                <w:szCs w:val="20"/>
                <w:lang w:val="it-IT"/>
              </w:rPr>
              <w:t>nedostatak</w:t>
            </w:r>
            <w:r w:rsidRPr="0097008B">
              <w:rPr>
                <w:rFonts w:ascii="Arial" w:hAnsi="Arial" w:cs="Arial"/>
                <w:b w:val="0"/>
                <w:sz w:val="20"/>
                <w:szCs w:val="20"/>
                <w:lang w:val="sr-Latn-ME"/>
              </w:rPr>
              <w:t xml:space="preserve"> </w:t>
            </w:r>
            <w:r>
              <w:rPr>
                <w:rFonts w:ascii="Arial" w:hAnsi="Arial" w:cs="Arial"/>
                <w:b w:val="0"/>
                <w:sz w:val="20"/>
                <w:szCs w:val="20"/>
                <w:lang w:val="it-IT"/>
              </w:rPr>
              <w:t>povjerenja</w:t>
            </w:r>
            <w:r w:rsidRPr="0097008B">
              <w:rPr>
                <w:rFonts w:ascii="Arial" w:hAnsi="Arial" w:cs="Arial"/>
                <w:b w:val="0"/>
                <w:sz w:val="20"/>
                <w:szCs w:val="20"/>
                <w:lang w:val="sr-Latn-ME"/>
              </w:rPr>
              <w:t xml:space="preserve"> </w:t>
            </w:r>
            <w:r>
              <w:rPr>
                <w:rFonts w:ascii="Arial" w:hAnsi="Arial" w:cs="Arial"/>
                <w:b w:val="0"/>
                <w:sz w:val="20"/>
                <w:szCs w:val="20"/>
                <w:lang w:val="it-IT"/>
              </w:rPr>
              <w:t>u</w:t>
            </w:r>
            <w:r w:rsidRPr="0097008B">
              <w:rPr>
                <w:rFonts w:ascii="Arial" w:hAnsi="Arial" w:cs="Arial"/>
                <w:b w:val="0"/>
                <w:sz w:val="20"/>
                <w:szCs w:val="20"/>
                <w:lang w:val="sr-Latn-ME"/>
              </w:rPr>
              <w:t xml:space="preserve"> </w:t>
            </w:r>
            <w:r>
              <w:rPr>
                <w:rFonts w:ascii="Arial" w:hAnsi="Arial" w:cs="Arial"/>
                <w:b w:val="0"/>
                <w:sz w:val="20"/>
                <w:szCs w:val="20"/>
                <w:lang w:val="it-IT"/>
              </w:rPr>
              <w:t>upotrebu</w:t>
            </w:r>
            <w:r w:rsidRPr="0097008B">
              <w:rPr>
                <w:rFonts w:ascii="Arial" w:hAnsi="Arial" w:cs="Arial"/>
                <w:b w:val="0"/>
                <w:sz w:val="20"/>
                <w:szCs w:val="20"/>
                <w:lang w:val="sr-Latn-ME"/>
              </w:rPr>
              <w:t xml:space="preserve"> </w:t>
            </w:r>
            <w:r>
              <w:rPr>
                <w:rFonts w:ascii="Arial" w:hAnsi="Arial" w:cs="Arial"/>
                <w:b w:val="0"/>
                <w:sz w:val="20"/>
                <w:szCs w:val="20"/>
                <w:lang w:val="it-IT"/>
              </w:rPr>
              <w:t>tehnologije</w:t>
            </w:r>
            <w:r w:rsidRPr="0097008B">
              <w:rPr>
                <w:rFonts w:ascii="Arial" w:hAnsi="Arial" w:cs="Arial"/>
                <w:b w:val="0"/>
                <w:sz w:val="20"/>
                <w:szCs w:val="20"/>
                <w:lang w:val="sr-Latn-ME"/>
              </w:rPr>
              <w:t xml:space="preserve">, </w:t>
            </w:r>
            <w:r w:rsidRPr="002441B2">
              <w:rPr>
                <w:rFonts w:ascii="Arial" w:hAnsi="Arial" w:cs="Arial"/>
                <w:b w:val="0"/>
                <w:sz w:val="20"/>
                <w:szCs w:val="20"/>
                <w:lang w:val="it-IT"/>
              </w:rPr>
              <w:t>postojanje</w:t>
            </w:r>
            <w:r w:rsidRPr="0097008B">
              <w:rPr>
                <w:rFonts w:ascii="Arial" w:hAnsi="Arial" w:cs="Arial"/>
                <w:b w:val="0"/>
                <w:sz w:val="20"/>
                <w:szCs w:val="20"/>
                <w:lang w:val="sr-Latn-ME"/>
              </w:rPr>
              <w:t xml:space="preserve"> </w:t>
            </w:r>
            <w:r>
              <w:rPr>
                <w:rFonts w:ascii="Arial" w:hAnsi="Arial" w:cs="Arial"/>
                <w:b w:val="0"/>
                <w:sz w:val="20"/>
                <w:szCs w:val="20"/>
                <w:lang w:val="it-IT"/>
              </w:rPr>
              <w:t>ve</w:t>
            </w:r>
            <w:r w:rsidRPr="0097008B">
              <w:rPr>
                <w:rFonts w:ascii="Arial" w:hAnsi="Arial" w:cs="Arial"/>
                <w:b w:val="0"/>
                <w:sz w:val="20"/>
                <w:szCs w:val="20"/>
                <w:lang w:val="sr-Latn-ME"/>
              </w:rPr>
              <w:t>ć</w:t>
            </w:r>
            <w:r>
              <w:rPr>
                <w:rFonts w:ascii="Arial" w:hAnsi="Arial" w:cs="Arial"/>
                <w:b w:val="0"/>
                <w:sz w:val="20"/>
                <w:szCs w:val="20"/>
                <w:lang w:val="it-IT"/>
              </w:rPr>
              <w:t>e</w:t>
            </w:r>
            <w:r w:rsidRPr="0097008B">
              <w:rPr>
                <w:rFonts w:ascii="Arial" w:hAnsi="Arial" w:cs="Arial"/>
                <w:b w:val="0"/>
                <w:sz w:val="20"/>
                <w:szCs w:val="20"/>
                <w:lang w:val="sr-Latn-ME"/>
              </w:rPr>
              <w:t xml:space="preserve"> </w:t>
            </w:r>
            <w:r w:rsidRPr="002441B2">
              <w:rPr>
                <w:rFonts w:ascii="Arial" w:hAnsi="Arial" w:cs="Arial"/>
                <w:b w:val="0"/>
                <w:sz w:val="20"/>
                <w:szCs w:val="20"/>
                <w:lang w:val="it-IT"/>
              </w:rPr>
              <w:t>nejednakosti</w:t>
            </w:r>
            <w:r w:rsidRPr="0097008B">
              <w:rPr>
                <w:rFonts w:ascii="Arial" w:hAnsi="Arial" w:cs="Arial"/>
                <w:b w:val="0"/>
                <w:sz w:val="20"/>
                <w:szCs w:val="20"/>
                <w:lang w:val="sr-Latn-ME"/>
              </w:rPr>
              <w:t xml:space="preserve"> </w:t>
            </w:r>
            <w:r w:rsidRPr="002441B2">
              <w:rPr>
                <w:rFonts w:ascii="Arial" w:hAnsi="Arial" w:cs="Arial"/>
                <w:b w:val="0"/>
                <w:sz w:val="20"/>
                <w:szCs w:val="20"/>
                <w:lang w:val="it-IT"/>
              </w:rPr>
              <w:t>u</w:t>
            </w:r>
            <w:r w:rsidRPr="0097008B">
              <w:rPr>
                <w:rFonts w:ascii="Arial" w:hAnsi="Arial" w:cs="Arial"/>
                <w:b w:val="0"/>
                <w:sz w:val="20"/>
                <w:szCs w:val="20"/>
                <w:lang w:val="sr-Latn-ME"/>
              </w:rPr>
              <w:t xml:space="preserve"> </w:t>
            </w:r>
            <w:r w:rsidRPr="002441B2">
              <w:rPr>
                <w:rFonts w:ascii="Arial" w:hAnsi="Arial" w:cs="Arial"/>
                <w:b w:val="0"/>
                <w:sz w:val="20"/>
                <w:szCs w:val="20"/>
                <w:lang w:val="it-IT"/>
              </w:rPr>
              <w:t>stepenu</w:t>
            </w:r>
            <w:r w:rsidRPr="0097008B">
              <w:rPr>
                <w:rFonts w:ascii="Arial" w:hAnsi="Arial" w:cs="Arial"/>
                <w:b w:val="0"/>
                <w:sz w:val="20"/>
                <w:szCs w:val="20"/>
                <w:lang w:val="sr-Latn-ME"/>
              </w:rPr>
              <w:t xml:space="preserve"> </w:t>
            </w:r>
            <w:r w:rsidRPr="002441B2">
              <w:rPr>
                <w:rFonts w:ascii="Arial" w:hAnsi="Arial" w:cs="Arial"/>
                <w:b w:val="0"/>
                <w:sz w:val="20"/>
                <w:szCs w:val="20"/>
                <w:lang w:val="it-IT"/>
              </w:rPr>
              <w:t>kori</w:t>
            </w:r>
            <w:r w:rsidRPr="0097008B">
              <w:rPr>
                <w:rFonts w:ascii="Arial" w:hAnsi="Arial" w:cs="Arial"/>
                <w:b w:val="0"/>
                <w:sz w:val="20"/>
                <w:szCs w:val="20"/>
                <w:lang w:val="sr-Latn-ME"/>
              </w:rPr>
              <w:t>šć</w:t>
            </w:r>
            <w:r w:rsidRPr="002441B2">
              <w:rPr>
                <w:rFonts w:ascii="Arial" w:hAnsi="Arial" w:cs="Arial"/>
                <w:b w:val="0"/>
                <w:sz w:val="20"/>
                <w:szCs w:val="20"/>
                <w:lang w:val="it-IT"/>
              </w:rPr>
              <w:t>enja</w:t>
            </w:r>
            <w:r w:rsidRPr="0097008B">
              <w:rPr>
                <w:rFonts w:ascii="Arial" w:hAnsi="Arial" w:cs="Arial"/>
                <w:b w:val="0"/>
                <w:sz w:val="20"/>
                <w:szCs w:val="20"/>
                <w:lang w:val="sr-Latn-ME"/>
              </w:rPr>
              <w:t xml:space="preserve"> </w:t>
            </w:r>
            <w:r w:rsidRPr="002441B2">
              <w:rPr>
                <w:rFonts w:ascii="Arial" w:hAnsi="Arial" w:cs="Arial"/>
                <w:b w:val="0"/>
                <w:sz w:val="20"/>
                <w:szCs w:val="20"/>
                <w:lang w:val="it-IT"/>
              </w:rPr>
              <w:t>tehnologije</w:t>
            </w:r>
            <w:r w:rsidRPr="0097008B">
              <w:rPr>
                <w:rFonts w:ascii="Arial" w:hAnsi="Arial" w:cs="Arial"/>
                <w:b w:val="0"/>
                <w:sz w:val="20"/>
                <w:szCs w:val="20"/>
                <w:lang w:val="sr-Latn-ME"/>
              </w:rPr>
              <w:t xml:space="preserve"> (</w:t>
            </w:r>
            <w:r w:rsidRPr="002441B2">
              <w:rPr>
                <w:rFonts w:ascii="Arial" w:hAnsi="Arial" w:cs="Arial"/>
                <w:b w:val="0"/>
                <w:sz w:val="20"/>
                <w:szCs w:val="20"/>
                <w:lang w:val="it-IT"/>
              </w:rPr>
              <w:t>kako</w:t>
            </w:r>
            <w:r w:rsidRPr="0097008B">
              <w:rPr>
                <w:rFonts w:ascii="Arial" w:hAnsi="Arial" w:cs="Arial"/>
                <w:b w:val="0"/>
                <w:sz w:val="20"/>
                <w:szCs w:val="20"/>
                <w:lang w:val="sr-Latn-ME"/>
              </w:rPr>
              <w:t xml:space="preserve"> </w:t>
            </w:r>
            <w:r w:rsidRPr="002441B2">
              <w:rPr>
                <w:rFonts w:ascii="Arial" w:hAnsi="Arial" w:cs="Arial"/>
                <w:b w:val="0"/>
                <w:sz w:val="20"/>
                <w:szCs w:val="20"/>
                <w:lang w:val="it-IT"/>
              </w:rPr>
              <w:t>sa</w:t>
            </w:r>
            <w:r w:rsidRPr="0097008B">
              <w:rPr>
                <w:rFonts w:ascii="Arial" w:hAnsi="Arial" w:cs="Arial"/>
                <w:b w:val="0"/>
                <w:sz w:val="20"/>
                <w:szCs w:val="20"/>
                <w:lang w:val="sr-Latn-ME"/>
              </w:rPr>
              <w:t xml:space="preserve"> </w:t>
            </w:r>
            <w:r w:rsidRPr="002441B2">
              <w:rPr>
                <w:rFonts w:ascii="Arial" w:hAnsi="Arial" w:cs="Arial"/>
                <w:b w:val="0"/>
                <w:sz w:val="20"/>
                <w:szCs w:val="20"/>
                <w:lang w:val="it-IT"/>
              </w:rPr>
              <w:t>aspekta</w:t>
            </w:r>
            <w:r w:rsidRPr="0097008B">
              <w:rPr>
                <w:rFonts w:ascii="Arial" w:hAnsi="Arial" w:cs="Arial"/>
                <w:b w:val="0"/>
                <w:sz w:val="20"/>
                <w:szCs w:val="20"/>
                <w:lang w:val="sr-Latn-ME"/>
              </w:rPr>
              <w:t xml:space="preserve"> </w:t>
            </w:r>
            <w:r w:rsidRPr="002441B2">
              <w:rPr>
                <w:rFonts w:ascii="Arial" w:hAnsi="Arial" w:cs="Arial"/>
                <w:b w:val="0"/>
                <w:sz w:val="20"/>
                <w:szCs w:val="20"/>
                <w:lang w:val="it-IT"/>
              </w:rPr>
              <w:t>obrazovanja</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vje</w:t>
            </w:r>
            <w:r w:rsidRPr="0097008B">
              <w:rPr>
                <w:rFonts w:ascii="Arial" w:hAnsi="Arial" w:cs="Arial"/>
                <w:b w:val="0"/>
                <w:sz w:val="20"/>
                <w:szCs w:val="20"/>
                <w:lang w:val="sr-Latn-ME"/>
              </w:rPr>
              <w:t>š</w:t>
            </w:r>
            <w:r w:rsidRPr="002441B2">
              <w:rPr>
                <w:rFonts w:ascii="Arial" w:hAnsi="Arial" w:cs="Arial"/>
                <w:b w:val="0"/>
                <w:sz w:val="20"/>
                <w:szCs w:val="20"/>
                <w:lang w:val="it-IT"/>
              </w:rPr>
              <w:t>tina</w:t>
            </w:r>
            <w:r w:rsidRPr="0097008B">
              <w:rPr>
                <w:rFonts w:ascii="Arial" w:hAnsi="Arial" w:cs="Arial"/>
                <w:b w:val="0"/>
                <w:sz w:val="20"/>
                <w:szCs w:val="20"/>
                <w:lang w:val="sr-Latn-ME"/>
              </w:rPr>
              <w:t xml:space="preserve"> </w:t>
            </w:r>
            <w:r w:rsidRPr="002441B2">
              <w:rPr>
                <w:rFonts w:ascii="Arial" w:hAnsi="Arial" w:cs="Arial"/>
                <w:b w:val="0"/>
                <w:sz w:val="20"/>
                <w:szCs w:val="20"/>
                <w:lang w:val="it-IT"/>
              </w:rPr>
              <w:t>tako</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sa</w:t>
            </w:r>
            <w:r w:rsidRPr="0097008B">
              <w:rPr>
                <w:rFonts w:ascii="Arial" w:hAnsi="Arial" w:cs="Arial"/>
                <w:b w:val="0"/>
                <w:sz w:val="20"/>
                <w:szCs w:val="20"/>
                <w:lang w:val="sr-Latn-ME"/>
              </w:rPr>
              <w:t xml:space="preserve"> </w:t>
            </w:r>
            <w:r w:rsidRPr="002441B2">
              <w:rPr>
                <w:rFonts w:ascii="Arial" w:hAnsi="Arial" w:cs="Arial"/>
                <w:b w:val="0"/>
                <w:sz w:val="20"/>
                <w:szCs w:val="20"/>
                <w:lang w:val="it-IT"/>
              </w:rPr>
              <w:t>aspekta</w:t>
            </w:r>
            <w:r w:rsidRPr="0097008B">
              <w:rPr>
                <w:rFonts w:ascii="Arial" w:hAnsi="Arial" w:cs="Arial"/>
                <w:b w:val="0"/>
                <w:sz w:val="20"/>
                <w:szCs w:val="20"/>
                <w:lang w:val="sr-Latn-ME"/>
              </w:rPr>
              <w:t xml:space="preserve"> </w:t>
            </w:r>
            <w:r w:rsidRPr="002441B2">
              <w:rPr>
                <w:rFonts w:ascii="Arial" w:hAnsi="Arial" w:cs="Arial"/>
                <w:b w:val="0"/>
                <w:sz w:val="20"/>
                <w:szCs w:val="20"/>
                <w:lang w:val="it-IT"/>
              </w:rPr>
              <w:t>dostupnosti</w:t>
            </w:r>
            <w:r w:rsidRPr="0097008B">
              <w:rPr>
                <w:rFonts w:ascii="Arial" w:hAnsi="Arial" w:cs="Arial"/>
                <w:b w:val="0"/>
                <w:sz w:val="20"/>
                <w:szCs w:val="20"/>
                <w:lang w:val="sr-Latn-ME"/>
              </w:rPr>
              <w:t xml:space="preserve"> </w:t>
            </w:r>
            <w:r w:rsidRPr="002441B2">
              <w:rPr>
                <w:rFonts w:ascii="Arial" w:hAnsi="Arial" w:cs="Arial"/>
                <w:b w:val="0"/>
                <w:sz w:val="20"/>
                <w:szCs w:val="20"/>
                <w:lang w:val="it-IT"/>
              </w:rPr>
              <w:t>odnosno</w:t>
            </w:r>
            <w:r w:rsidRPr="0097008B">
              <w:rPr>
                <w:rFonts w:ascii="Arial" w:hAnsi="Arial" w:cs="Arial"/>
                <w:b w:val="0"/>
                <w:sz w:val="20"/>
                <w:szCs w:val="20"/>
                <w:lang w:val="sr-Latn-ME"/>
              </w:rPr>
              <w:t xml:space="preserve"> </w:t>
            </w:r>
            <w:r w:rsidRPr="002441B2">
              <w:rPr>
                <w:rFonts w:ascii="Arial" w:hAnsi="Arial" w:cs="Arial"/>
                <w:b w:val="0"/>
                <w:sz w:val="20"/>
                <w:szCs w:val="20"/>
                <w:lang w:val="it-IT"/>
              </w:rPr>
              <w:t>nedostupnosti</w:t>
            </w:r>
            <w:r w:rsidRPr="0097008B">
              <w:rPr>
                <w:rFonts w:ascii="Arial" w:hAnsi="Arial" w:cs="Arial"/>
                <w:b w:val="0"/>
                <w:sz w:val="20"/>
                <w:szCs w:val="20"/>
                <w:lang w:val="sr-Latn-ME"/>
              </w:rPr>
              <w:t xml:space="preserve"> </w:t>
            </w:r>
            <w:r w:rsidRPr="002441B2">
              <w:rPr>
                <w:rFonts w:ascii="Arial" w:hAnsi="Arial" w:cs="Arial"/>
                <w:b w:val="0"/>
                <w:sz w:val="20"/>
                <w:szCs w:val="20"/>
                <w:lang w:val="it-IT"/>
              </w:rPr>
              <w:t>tehnologije</w:t>
            </w:r>
            <w:r w:rsidRPr="0097008B">
              <w:rPr>
                <w:rFonts w:ascii="Arial" w:hAnsi="Arial" w:cs="Arial"/>
                <w:b w:val="0"/>
                <w:sz w:val="20"/>
                <w:szCs w:val="20"/>
                <w:lang w:val="sr-Latn-ME"/>
              </w:rPr>
              <w:t xml:space="preserve">), </w:t>
            </w:r>
            <w:r w:rsidRPr="002441B2">
              <w:rPr>
                <w:rFonts w:ascii="Arial" w:hAnsi="Arial" w:cs="Arial"/>
                <w:b w:val="0"/>
                <w:sz w:val="20"/>
                <w:szCs w:val="20"/>
                <w:lang w:val="it-IT"/>
              </w:rPr>
              <w:t>nemogu</w:t>
            </w:r>
            <w:r w:rsidRPr="0097008B">
              <w:rPr>
                <w:rFonts w:ascii="Arial" w:hAnsi="Arial" w:cs="Arial"/>
                <w:b w:val="0"/>
                <w:sz w:val="20"/>
                <w:szCs w:val="20"/>
                <w:lang w:val="sr-Latn-ME"/>
              </w:rPr>
              <w:t>ć</w:t>
            </w:r>
            <w:r w:rsidRPr="002441B2">
              <w:rPr>
                <w:rFonts w:ascii="Arial" w:hAnsi="Arial" w:cs="Arial"/>
                <w:b w:val="0"/>
                <w:sz w:val="20"/>
                <w:szCs w:val="20"/>
                <w:lang w:val="it-IT"/>
              </w:rPr>
              <w:t>nosti</w:t>
            </w:r>
            <w:r w:rsidRPr="0097008B">
              <w:rPr>
                <w:rFonts w:ascii="Arial" w:hAnsi="Arial" w:cs="Arial"/>
                <w:b w:val="0"/>
                <w:sz w:val="20"/>
                <w:szCs w:val="20"/>
                <w:lang w:val="sr-Latn-ME"/>
              </w:rPr>
              <w:t xml:space="preserve"> </w:t>
            </w:r>
            <w:r w:rsidRPr="002441B2">
              <w:rPr>
                <w:rFonts w:ascii="Arial" w:hAnsi="Arial" w:cs="Arial"/>
                <w:b w:val="0"/>
                <w:sz w:val="20"/>
                <w:szCs w:val="20"/>
                <w:lang w:val="it-IT"/>
              </w:rPr>
              <w:t>da</w:t>
            </w:r>
            <w:r w:rsidRPr="0097008B">
              <w:rPr>
                <w:rFonts w:ascii="Arial" w:hAnsi="Arial" w:cs="Arial"/>
                <w:b w:val="0"/>
                <w:sz w:val="20"/>
                <w:szCs w:val="20"/>
                <w:lang w:val="sr-Latn-ME"/>
              </w:rPr>
              <w:t xml:space="preserve"> </w:t>
            </w:r>
            <w:r w:rsidRPr="002441B2">
              <w:rPr>
                <w:rFonts w:ascii="Arial" w:hAnsi="Arial" w:cs="Arial"/>
                <w:b w:val="0"/>
                <w:sz w:val="20"/>
                <w:szCs w:val="20"/>
                <w:lang w:val="it-IT"/>
              </w:rPr>
              <w:t>se</w:t>
            </w:r>
            <w:r w:rsidRPr="0097008B">
              <w:rPr>
                <w:rFonts w:ascii="Arial" w:hAnsi="Arial" w:cs="Arial"/>
                <w:b w:val="0"/>
                <w:sz w:val="20"/>
                <w:szCs w:val="20"/>
                <w:lang w:val="sr-Latn-ME"/>
              </w:rPr>
              <w:t xml:space="preserve"> </w:t>
            </w:r>
            <w:r w:rsidRPr="002441B2">
              <w:rPr>
                <w:rFonts w:ascii="Arial" w:hAnsi="Arial" w:cs="Arial"/>
                <w:b w:val="0"/>
                <w:sz w:val="20"/>
                <w:szCs w:val="20"/>
                <w:lang w:val="it-IT"/>
              </w:rPr>
              <w:t>tehnologija</w:t>
            </w:r>
            <w:r w:rsidRPr="0097008B">
              <w:rPr>
                <w:rFonts w:ascii="Arial" w:hAnsi="Arial" w:cs="Arial"/>
                <w:b w:val="0"/>
                <w:sz w:val="20"/>
                <w:szCs w:val="20"/>
                <w:lang w:val="sr-Latn-ME"/>
              </w:rPr>
              <w:t xml:space="preserve"> </w:t>
            </w:r>
            <w:r>
              <w:rPr>
                <w:rFonts w:ascii="Arial" w:hAnsi="Arial" w:cs="Arial"/>
                <w:b w:val="0"/>
                <w:sz w:val="20"/>
                <w:szCs w:val="20"/>
                <w:lang w:val="it-IT"/>
              </w:rPr>
              <w:t>koristi</w:t>
            </w:r>
            <w:r w:rsidRPr="0097008B">
              <w:rPr>
                <w:rFonts w:ascii="Arial" w:hAnsi="Arial" w:cs="Arial"/>
                <w:b w:val="0"/>
                <w:sz w:val="20"/>
                <w:szCs w:val="20"/>
                <w:lang w:val="sr-Latn-ME"/>
              </w:rPr>
              <w:t xml:space="preserve"> (</w:t>
            </w:r>
            <w:r w:rsidRPr="002441B2">
              <w:rPr>
                <w:rFonts w:ascii="Arial" w:hAnsi="Arial" w:cs="Arial"/>
                <w:b w:val="0"/>
                <w:sz w:val="20"/>
                <w:szCs w:val="20"/>
                <w:lang w:val="it-IT"/>
              </w:rPr>
              <w:t>kako</w:t>
            </w:r>
            <w:r w:rsidRPr="0097008B">
              <w:rPr>
                <w:rFonts w:ascii="Arial" w:hAnsi="Arial" w:cs="Arial"/>
                <w:b w:val="0"/>
                <w:sz w:val="20"/>
                <w:szCs w:val="20"/>
                <w:lang w:val="sr-Latn-ME"/>
              </w:rPr>
              <w:t xml:space="preserve"> </w:t>
            </w:r>
            <w:r w:rsidRPr="002441B2">
              <w:rPr>
                <w:rFonts w:ascii="Arial" w:hAnsi="Arial" w:cs="Arial"/>
                <w:b w:val="0"/>
                <w:sz w:val="20"/>
                <w:szCs w:val="20"/>
                <w:lang w:val="it-IT"/>
              </w:rPr>
              <w:t>zbog</w:t>
            </w:r>
            <w:r w:rsidRPr="0097008B">
              <w:rPr>
                <w:rFonts w:ascii="Arial" w:hAnsi="Arial" w:cs="Arial"/>
                <w:b w:val="0"/>
                <w:sz w:val="20"/>
                <w:szCs w:val="20"/>
                <w:lang w:val="sr-Latn-ME"/>
              </w:rPr>
              <w:t xml:space="preserve"> </w:t>
            </w:r>
            <w:r w:rsidRPr="002441B2">
              <w:rPr>
                <w:rFonts w:ascii="Arial" w:hAnsi="Arial" w:cs="Arial"/>
                <w:b w:val="0"/>
                <w:sz w:val="20"/>
                <w:szCs w:val="20"/>
                <w:lang w:val="it-IT"/>
              </w:rPr>
              <w:t>materijalnih</w:t>
            </w:r>
            <w:r w:rsidRPr="0097008B">
              <w:rPr>
                <w:rFonts w:ascii="Arial" w:hAnsi="Arial" w:cs="Arial"/>
                <w:b w:val="0"/>
                <w:sz w:val="20"/>
                <w:szCs w:val="20"/>
                <w:lang w:val="sr-Latn-ME"/>
              </w:rPr>
              <w:t xml:space="preserve"> </w:t>
            </w:r>
            <w:r w:rsidRPr="002441B2">
              <w:rPr>
                <w:rFonts w:ascii="Arial" w:hAnsi="Arial" w:cs="Arial"/>
                <w:b w:val="0"/>
                <w:sz w:val="20"/>
                <w:szCs w:val="20"/>
                <w:lang w:val="it-IT"/>
              </w:rPr>
              <w:t>tako</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zbog</w:t>
            </w:r>
            <w:r w:rsidRPr="0097008B">
              <w:rPr>
                <w:rFonts w:ascii="Arial" w:hAnsi="Arial" w:cs="Arial"/>
                <w:b w:val="0"/>
                <w:sz w:val="20"/>
                <w:szCs w:val="20"/>
                <w:lang w:val="sr-Latn-ME"/>
              </w:rPr>
              <w:t xml:space="preserve"> </w:t>
            </w:r>
            <w:r w:rsidRPr="002441B2">
              <w:rPr>
                <w:rFonts w:ascii="Arial" w:hAnsi="Arial" w:cs="Arial"/>
                <w:b w:val="0"/>
                <w:sz w:val="20"/>
                <w:szCs w:val="20"/>
                <w:lang w:val="it-IT"/>
              </w:rPr>
              <w:t>nedostatka</w:t>
            </w:r>
            <w:r w:rsidRPr="0097008B">
              <w:rPr>
                <w:rFonts w:ascii="Arial" w:hAnsi="Arial" w:cs="Arial"/>
                <w:b w:val="0"/>
                <w:sz w:val="20"/>
                <w:szCs w:val="20"/>
                <w:lang w:val="sr-Latn-ME"/>
              </w:rPr>
              <w:t xml:space="preserve"> </w:t>
            </w:r>
            <w:r w:rsidRPr="002441B2">
              <w:rPr>
                <w:rFonts w:ascii="Arial" w:hAnsi="Arial" w:cs="Arial"/>
                <w:b w:val="0"/>
                <w:sz w:val="20"/>
                <w:szCs w:val="20"/>
                <w:lang w:val="it-IT"/>
              </w:rPr>
              <w:t>povjerenja</w:t>
            </w:r>
            <w:r w:rsidRPr="0097008B">
              <w:rPr>
                <w:rFonts w:ascii="Arial" w:hAnsi="Arial" w:cs="Arial"/>
                <w:b w:val="0"/>
                <w:sz w:val="20"/>
                <w:szCs w:val="20"/>
                <w:lang w:val="sr-Latn-ME"/>
              </w:rPr>
              <w:t xml:space="preserve">, </w:t>
            </w:r>
            <w:r w:rsidRPr="002441B2">
              <w:rPr>
                <w:rFonts w:ascii="Arial" w:hAnsi="Arial" w:cs="Arial"/>
                <w:b w:val="0"/>
                <w:sz w:val="20"/>
                <w:szCs w:val="20"/>
                <w:lang w:val="it-IT"/>
              </w:rPr>
              <w:t>otpora</w:t>
            </w:r>
            <w:r w:rsidRPr="0097008B">
              <w:rPr>
                <w:rFonts w:ascii="Arial" w:hAnsi="Arial" w:cs="Arial"/>
                <w:b w:val="0"/>
                <w:sz w:val="20"/>
                <w:szCs w:val="20"/>
                <w:lang w:val="sr-Latn-ME"/>
              </w:rPr>
              <w:t xml:space="preserve"> </w:t>
            </w:r>
            <w:r w:rsidRPr="002441B2">
              <w:rPr>
                <w:rFonts w:ascii="Arial" w:hAnsi="Arial" w:cs="Arial"/>
                <w:b w:val="0"/>
                <w:sz w:val="20"/>
                <w:szCs w:val="20"/>
                <w:lang w:val="it-IT"/>
              </w:rPr>
              <w:t>prema</w:t>
            </w:r>
            <w:r w:rsidRPr="0097008B">
              <w:rPr>
                <w:rFonts w:ascii="Arial" w:hAnsi="Arial" w:cs="Arial"/>
                <w:b w:val="0"/>
                <w:sz w:val="20"/>
                <w:szCs w:val="20"/>
                <w:lang w:val="sr-Latn-ME"/>
              </w:rPr>
              <w:t xml:space="preserve"> </w:t>
            </w:r>
            <w:r w:rsidRPr="002441B2">
              <w:rPr>
                <w:rFonts w:ascii="Arial" w:hAnsi="Arial" w:cs="Arial"/>
                <w:b w:val="0"/>
                <w:sz w:val="20"/>
                <w:szCs w:val="20"/>
                <w:lang w:val="it-IT"/>
              </w:rPr>
              <w:t>promjenama</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sl</w:t>
            </w:r>
            <w:r w:rsidRPr="0097008B">
              <w:rPr>
                <w:rFonts w:ascii="Arial" w:hAnsi="Arial" w:cs="Arial"/>
                <w:b w:val="0"/>
                <w:sz w:val="20"/>
                <w:szCs w:val="20"/>
                <w:lang w:val="sr-Latn-ME"/>
              </w:rPr>
              <w:t xml:space="preserve">.), </w:t>
            </w:r>
            <w:r w:rsidRPr="002441B2">
              <w:rPr>
                <w:rFonts w:ascii="Arial" w:hAnsi="Arial" w:cs="Arial"/>
                <w:b w:val="0"/>
                <w:sz w:val="20"/>
                <w:szCs w:val="20"/>
                <w:lang w:val="it-IT"/>
              </w:rPr>
              <w:t>nedostatka</w:t>
            </w:r>
            <w:r w:rsidRPr="0097008B">
              <w:rPr>
                <w:rFonts w:ascii="Arial" w:hAnsi="Arial" w:cs="Arial"/>
                <w:b w:val="0"/>
                <w:sz w:val="20"/>
                <w:szCs w:val="20"/>
                <w:lang w:val="sr-Latn-ME"/>
              </w:rPr>
              <w:t xml:space="preserve"> </w:t>
            </w:r>
            <w:r w:rsidRPr="002441B2">
              <w:rPr>
                <w:rFonts w:ascii="Arial" w:hAnsi="Arial" w:cs="Arial"/>
                <w:b w:val="0"/>
                <w:sz w:val="20"/>
                <w:szCs w:val="20"/>
                <w:lang w:val="it-IT"/>
              </w:rPr>
              <w:t>kapaciteta</w:t>
            </w:r>
            <w:r w:rsidRPr="0097008B">
              <w:rPr>
                <w:rFonts w:ascii="Arial" w:hAnsi="Arial" w:cs="Arial"/>
                <w:b w:val="0"/>
                <w:sz w:val="20"/>
                <w:szCs w:val="20"/>
                <w:lang w:val="sr-Latn-ME"/>
              </w:rPr>
              <w:t xml:space="preserve"> </w:t>
            </w:r>
            <w:r w:rsidRPr="002441B2">
              <w:rPr>
                <w:rFonts w:ascii="Arial" w:hAnsi="Arial" w:cs="Arial"/>
                <w:b w:val="0"/>
                <w:sz w:val="20"/>
                <w:szCs w:val="20"/>
                <w:lang w:val="it-IT"/>
              </w:rPr>
              <w:t>da</w:t>
            </w:r>
            <w:r w:rsidRPr="0097008B">
              <w:rPr>
                <w:rFonts w:ascii="Arial" w:hAnsi="Arial" w:cs="Arial"/>
                <w:b w:val="0"/>
                <w:sz w:val="20"/>
                <w:szCs w:val="20"/>
                <w:lang w:val="sr-Latn-ME"/>
              </w:rPr>
              <w:t xml:space="preserve"> </w:t>
            </w:r>
            <w:r w:rsidRPr="002441B2">
              <w:rPr>
                <w:rFonts w:ascii="Arial" w:hAnsi="Arial" w:cs="Arial"/>
                <w:b w:val="0"/>
                <w:sz w:val="20"/>
                <w:szCs w:val="20"/>
                <w:lang w:val="it-IT"/>
              </w:rPr>
              <w:t>se</w:t>
            </w:r>
            <w:r w:rsidRPr="0097008B">
              <w:rPr>
                <w:rFonts w:ascii="Arial" w:hAnsi="Arial" w:cs="Arial"/>
                <w:b w:val="0"/>
                <w:sz w:val="20"/>
                <w:szCs w:val="20"/>
                <w:lang w:val="sr-Latn-ME"/>
              </w:rPr>
              <w:t xml:space="preserve"> </w:t>
            </w:r>
            <w:r w:rsidRPr="002441B2">
              <w:rPr>
                <w:rFonts w:ascii="Arial" w:hAnsi="Arial" w:cs="Arial"/>
                <w:b w:val="0"/>
                <w:sz w:val="20"/>
                <w:szCs w:val="20"/>
                <w:lang w:val="it-IT"/>
              </w:rPr>
              <w:t>prate</w:t>
            </w:r>
            <w:r w:rsidRPr="0097008B">
              <w:rPr>
                <w:rFonts w:ascii="Arial" w:hAnsi="Arial" w:cs="Arial"/>
                <w:b w:val="0"/>
                <w:sz w:val="20"/>
                <w:szCs w:val="20"/>
                <w:lang w:val="sr-Latn-ME"/>
              </w:rPr>
              <w:t xml:space="preserve"> </w:t>
            </w:r>
            <w:r w:rsidRPr="002441B2">
              <w:rPr>
                <w:rFonts w:ascii="Arial" w:hAnsi="Arial" w:cs="Arial"/>
                <w:b w:val="0"/>
                <w:sz w:val="20"/>
                <w:szCs w:val="20"/>
                <w:lang w:val="it-IT"/>
              </w:rPr>
              <w:t>ali</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sprovode</w:t>
            </w:r>
            <w:r w:rsidRPr="0097008B">
              <w:rPr>
                <w:rFonts w:ascii="Arial" w:hAnsi="Arial" w:cs="Arial"/>
                <w:b w:val="0"/>
                <w:sz w:val="20"/>
                <w:szCs w:val="20"/>
                <w:lang w:val="sr-Latn-ME"/>
              </w:rPr>
              <w:t xml:space="preserve"> </w:t>
            </w:r>
            <w:r w:rsidRPr="002441B2">
              <w:rPr>
                <w:rFonts w:ascii="Arial" w:hAnsi="Arial" w:cs="Arial"/>
                <w:b w:val="0"/>
                <w:sz w:val="20"/>
                <w:szCs w:val="20"/>
                <w:lang w:val="it-IT"/>
              </w:rPr>
              <w:t>promjene</w:t>
            </w:r>
            <w:r w:rsidRPr="0097008B">
              <w:rPr>
                <w:rFonts w:ascii="Arial" w:hAnsi="Arial" w:cs="Arial"/>
                <w:b w:val="0"/>
                <w:sz w:val="20"/>
                <w:szCs w:val="20"/>
                <w:lang w:val="sr-Latn-ME"/>
              </w:rPr>
              <w:t xml:space="preserve"> </w:t>
            </w:r>
            <w:r w:rsidRPr="002441B2">
              <w:rPr>
                <w:rFonts w:ascii="Arial" w:hAnsi="Arial" w:cs="Arial"/>
                <w:b w:val="0"/>
                <w:sz w:val="20"/>
                <w:szCs w:val="20"/>
                <w:lang w:val="it-IT"/>
              </w:rPr>
              <w:t>i</w:t>
            </w:r>
            <w:r w:rsidRPr="0097008B">
              <w:rPr>
                <w:rFonts w:ascii="Arial" w:hAnsi="Arial" w:cs="Arial"/>
                <w:b w:val="0"/>
                <w:sz w:val="20"/>
                <w:szCs w:val="20"/>
                <w:lang w:val="sr-Latn-ME"/>
              </w:rPr>
              <w:t xml:space="preserve"> </w:t>
            </w:r>
            <w:r w:rsidRPr="002441B2">
              <w:rPr>
                <w:rFonts w:ascii="Arial" w:hAnsi="Arial" w:cs="Arial"/>
                <w:b w:val="0"/>
                <w:sz w:val="20"/>
                <w:szCs w:val="20"/>
                <w:lang w:val="it-IT"/>
              </w:rPr>
              <w:t>sl</w:t>
            </w:r>
            <w:r w:rsidRPr="0097008B">
              <w:rPr>
                <w:rFonts w:ascii="Arial" w:hAnsi="Arial" w:cs="Arial"/>
                <w:b w:val="0"/>
                <w:sz w:val="20"/>
                <w:szCs w:val="20"/>
                <w:lang w:val="sr-Latn-ME"/>
              </w:rPr>
              <w:t xml:space="preserve">. </w:t>
            </w:r>
          </w:p>
          <w:p w14:paraId="19A9510E" w14:textId="77777777" w:rsidR="00AE7DE0" w:rsidRPr="00110ED6" w:rsidRDefault="00AE7DE0" w:rsidP="00A26279">
            <w:pPr>
              <w:pStyle w:val="ListParagraph"/>
              <w:rPr>
                <w:rFonts w:ascii="Arial" w:hAnsi="Arial" w:cs="Arial"/>
                <w:bCs w:val="0"/>
                <w:sz w:val="20"/>
                <w:szCs w:val="20"/>
                <w:lang w:val="sr-Latn-ME"/>
              </w:rPr>
            </w:pPr>
          </w:p>
          <w:p w14:paraId="0F973A50"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bCs w:val="0"/>
                <w:sz w:val="20"/>
                <w:szCs w:val="20"/>
                <w:lang w:val="sr-Latn-ME"/>
              </w:rPr>
            </w:pPr>
            <w:r w:rsidRPr="00787F18">
              <w:rPr>
                <w:rFonts w:ascii="Arial" w:hAnsi="Arial" w:cs="Arial"/>
                <w:b w:val="0"/>
                <w:sz w:val="20"/>
                <w:szCs w:val="20"/>
                <w:lang w:val="sr-Latn-ME"/>
              </w:rPr>
              <w:t xml:space="preserve">U cilju identifikovanja snaga, mogućnosti, slabosti i prijetnji u procesu planiranja i sprovođnja digitalne transformacije i kreiranja digitalnog ekosistema urađena je i SWOT analiza. </w:t>
            </w:r>
          </w:p>
          <w:p w14:paraId="37A4D9B1" w14:textId="77777777" w:rsidR="00AE7DE0" w:rsidRPr="00787F18" w:rsidRDefault="00AE7DE0" w:rsidP="00A26279">
            <w:pPr>
              <w:tabs>
                <w:tab w:val="left" w:pos="270"/>
              </w:tabs>
              <w:rPr>
                <w:rFonts w:ascii="Arial" w:hAnsi="Arial" w:cs="Arial"/>
                <w:b w:val="0"/>
                <w:sz w:val="20"/>
                <w:szCs w:val="20"/>
                <w:lang w:val="sr-Latn-M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98"/>
              <w:gridCol w:w="3891"/>
              <w:gridCol w:w="598"/>
              <w:gridCol w:w="3891"/>
            </w:tblGrid>
            <w:tr w:rsidR="00AE7DE0" w:rsidRPr="00787F18" w14:paraId="2A8C42B7" w14:textId="77777777" w:rsidTr="00A26279">
              <w:trPr>
                <w:cantSplit/>
                <w:trHeight w:val="4710"/>
              </w:trPr>
              <w:tc>
                <w:tcPr>
                  <w:tcW w:w="283" w:type="pct"/>
                  <w:shd w:val="clear" w:color="auto" w:fill="auto"/>
                  <w:textDirection w:val="btLr"/>
                  <w:vAlign w:val="center"/>
                </w:tcPr>
                <w:p w14:paraId="4A4031D8" w14:textId="77777777" w:rsidR="00AE7DE0" w:rsidRPr="00787F18" w:rsidRDefault="00AE7DE0" w:rsidP="00A26279">
                  <w:pPr>
                    <w:spacing w:line="204" w:lineRule="auto"/>
                    <w:jc w:val="center"/>
                    <w:rPr>
                      <w:rFonts w:ascii="Arial" w:hAnsi="Arial" w:cs="Arial"/>
                    </w:rPr>
                  </w:pPr>
                  <w:r w:rsidRPr="00787F18">
                    <w:rPr>
                      <w:rFonts w:ascii="Arial" w:hAnsi="Arial" w:cs="Arial"/>
                    </w:rPr>
                    <w:t>SNAGE</w:t>
                  </w:r>
                </w:p>
              </w:tc>
              <w:tc>
                <w:tcPr>
                  <w:tcW w:w="2217" w:type="pct"/>
                  <w:shd w:val="clear" w:color="auto" w:fill="auto"/>
                  <w:tcMar>
                    <w:top w:w="100" w:type="dxa"/>
                    <w:left w:w="100" w:type="dxa"/>
                    <w:bottom w:w="100" w:type="dxa"/>
                    <w:right w:w="100" w:type="dxa"/>
                  </w:tcMar>
                </w:tcPr>
                <w:p w14:paraId="1BC4FD71"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Uspotavljen temelj za dalji razvoj i digitalnu transformaciju.</w:t>
                  </w:r>
                </w:p>
                <w:p w14:paraId="6F3BA6F3"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Pripremljeni ili usvojeni osnovni zakoni.</w:t>
                  </w:r>
                </w:p>
                <w:p w14:paraId="5E809C61"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Veliki broj javnih e-usluga je dostupno na centralnom portalu e-uprave.</w:t>
                  </w:r>
                </w:p>
                <w:p w14:paraId="06FC28DB"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rPr>
                  </w:pPr>
                  <w:r w:rsidRPr="00787F18">
                    <w:rPr>
                      <w:rFonts w:ascii="Arial" w:hAnsi="Arial" w:cs="Arial"/>
                      <w:sz w:val="18"/>
                      <w:szCs w:val="18"/>
                    </w:rPr>
                    <w:t>Pokrenute aktivnosti otvorenih podataka.</w:t>
                  </w:r>
                </w:p>
                <w:p w14:paraId="12B81774"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Visoko prepoznavanje razvojnog potencijala digitalizacije.</w:t>
                  </w:r>
                </w:p>
                <w:p w14:paraId="3B6871F7"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Aktivnosti eID-a i usluga povjerenja u primjeni.</w:t>
                  </w:r>
                </w:p>
                <w:p w14:paraId="30E8ECBE" w14:textId="77777777" w:rsidR="00AE7DE0" w:rsidRPr="00787F18" w:rsidRDefault="00AE7DE0" w:rsidP="00AE7DE0">
                  <w:pPr>
                    <w:widowControl w:val="0"/>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Uspostavljen jedinstveni sistem za razmjenu podataka (JSERP) između registara u domenu državne uprave.</w:t>
                  </w:r>
                </w:p>
                <w:p w14:paraId="72CF10F5" w14:textId="77777777" w:rsidR="00AE7DE0" w:rsidRPr="00787F18" w:rsidRDefault="00AE7DE0" w:rsidP="00AE7DE0">
                  <w:pPr>
                    <w:widowControl w:val="0"/>
                    <w:numPr>
                      <w:ilvl w:val="0"/>
                      <w:numId w:val="70"/>
                    </w:numPr>
                    <w:pBdr>
                      <w:top w:val="nil"/>
                      <w:left w:val="nil"/>
                      <w:bottom w:val="nil"/>
                      <w:right w:val="nil"/>
                      <w:between w:val="nil"/>
                    </w:pBdr>
                    <w:spacing w:after="0" w:line="204" w:lineRule="auto"/>
                    <w:ind w:left="164" w:hanging="142"/>
                    <w:rPr>
                      <w:rFonts w:ascii="Arial" w:hAnsi="Arial" w:cs="Arial"/>
                      <w:sz w:val="18"/>
                      <w:szCs w:val="18"/>
                      <w:lang w:val="it-IT"/>
                    </w:rPr>
                  </w:pPr>
                  <w:r w:rsidRPr="00787F18">
                    <w:rPr>
                      <w:rFonts w:ascii="Arial" w:hAnsi="Arial" w:cs="Arial"/>
                      <w:sz w:val="18"/>
                      <w:szCs w:val="18"/>
                      <w:lang w:val="it-IT"/>
                    </w:rPr>
                    <w:t>Visoka motivacija različitih zainteresovanih strana.</w:t>
                  </w:r>
                </w:p>
                <w:p w14:paraId="0CCA8257" w14:textId="77777777" w:rsidR="00AE7DE0" w:rsidRPr="00787F18" w:rsidRDefault="00AE7DE0" w:rsidP="00AE7DE0">
                  <w:pPr>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Geografska blizina, kulturna bliskost, dobro znanje engleskog jezika, kao i niži troškovi radne snage i lakoća zajedničkog rada.</w:t>
                  </w:r>
                </w:p>
                <w:p w14:paraId="4FF6F67B" w14:textId="77777777" w:rsidR="00AE7DE0" w:rsidRPr="00787F18" w:rsidRDefault="00AE7DE0" w:rsidP="00AE7DE0">
                  <w:pPr>
                    <w:numPr>
                      <w:ilvl w:val="0"/>
                      <w:numId w:val="70"/>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Kadar sa solidnim opštim obrazovanjem koje se može prilagoditi specifičnim potrebama tržišta.</w:t>
                  </w:r>
                </w:p>
                <w:p w14:paraId="505AB356" w14:textId="77777777" w:rsidR="00AE7DE0" w:rsidRPr="00787F18" w:rsidRDefault="00AE7DE0" w:rsidP="00AE7DE0">
                  <w:pPr>
                    <w:widowControl w:val="0"/>
                    <w:numPr>
                      <w:ilvl w:val="0"/>
                      <w:numId w:val="70"/>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Razvijena i kvalitetna infrastruktura.</w:t>
                  </w:r>
                </w:p>
                <w:p w14:paraId="429EBE3D" w14:textId="77777777" w:rsidR="00AE7DE0" w:rsidRPr="00787F18" w:rsidRDefault="00AE7DE0" w:rsidP="00A26279">
                  <w:pPr>
                    <w:widowControl w:val="0"/>
                    <w:spacing w:line="204" w:lineRule="auto"/>
                    <w:ind w:left="306" w:hanging="142"/>
                    <w:rPr>
                      <w:rFonts w:ascii="Arial" w:hAnsi="Arial" w:cs="Arial"/>
                      <w:sz w:val="18"/>
                      <w:szCs w:val="18"/>
                    </w:rPr>
                  </w:pPr>
                </w:p>
                <w:p w14:paraId="5EF4F563" w14:textId="77777777" w:rsidR="00AE7DE0" w:rsidRPr="00787F18" w:rsidRDefault="00AE7DE0" w:rsidP="00A26279">
                  <w:pPr>
                    <w:widowControl w:val="0"/>
                    <w:pBdr>
                      <w:top w:val="nil"/>
                      <w:left w:val="nil"/>
                      <w:bottom w:val="nil"/>
                      <w:right w:val="nil"/>
                      <w:between w:val="nil"/>
                    </w:pBdr>
                    <w:spacing w:line="204" w:lineRule="auto"/>
                    <w:rPr>
                      <w:rFonts w:ascii="Arial" w:hAnsi="Arial" w:cs="Arial"/>
                      <w:b/>
                      <w:sz w:val="18"/>
                      <w:szCs w:val="18"/>
                    </w:rPr>
                  </w:pPr>
                </w:p>
              </w:tc>
              <w:tc>
                <w:tcPr>
                  <w:tcW w:w="283" w:type="pct"/>
                  <w:textDirection w:val="btLr"/>
                </w:tcPr>
                <w:p w14:paraId="7676BEE3" w14:textId="77777777" w:rsidR="00AE7DE0" w:rsidRPr="00787F18" w:rsidRDefault="00AE7DE0" w:rsidP="00A26279">
                  <w:pPr>
                    <w:pBdr>
                      <w:top w:val="nil"/>
                      <w:left w:val="nil"/>
                      <w:bottom w:val="nil"/>
                      <w:right w:val="nil"/>
                      <w:between w:val="nil"/>
                    </w:pBdr>
                    <w:spacing w:line="204" w:lineRule="auto"/>
                    <w:ind w:left="113" w:right="113"/>
                    <w:jc w:val="center"/>
                    <w:rPr>
                      <w:rFonts w:ascii="Arial" w:hAnsi="Arial" w:cs="Arial"/>
                    </w:rPr>
                  </w:pPr>
                  <w:r w:rsidRPr="00787F18">
                    <w:rPr>
                      <w:rFonts w:ascii="Arial" w:hAnsi="Arial" w:cs="Arial"/>
                    </w:rPr>
                    <w:t>MOGUĆNOSTI</w:t>
                  </w:r>
                </w:p>
              </w:tc>
              <w:tc>
                <w:tcPr>
                  <w:tcW w:w="2217" w:type="pct"/>
                  <w:shd w:val="clear" w:color="auto" w:fill="auto"/>
                  <w:tcMar>
                    <w:top w:w="100" w:type="dxa"/>
                    <w:left w:w="100" w:type="dxa"/>
                    <w:bottom w:w="100" w:type="dxa"/>
                    <w:right w:w="100" w:type="dxa"/>
                  </w:tcMar>
                </w:tcPr>
                <w:p w14:paraId="44860832" w14:textId="77777777" w:rsidR="00AE7DE0" w:rsidRPr="00787F18" w:rsidRDefault="00AE7DE0" w:rsidP="00AE7DE0">
                  <w:pPr>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Primjena novih modela komunikacije države sa građanima putem društvenih mreža.</w:t>
                  </w:r>
                </w:p>
                <w:p w14:paraId="64F53835" w14:textId="77777777" w:rsidR="00AE7DE0" w:rsidRPr="00787F18" w:rsidRDefault="00AE7DE0" w:rsidP="00AE7DE0">
                  <w:pPr>
                    <w:widowControl w:val="0"/>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Aktivna saradnja sa međunarodnim organizacijama.</w:t>
                  </w:r>
                </w:p>
                <w:p w14:paraId="2E7A457D" w14:textId="77777777" w:rsidR="00AE7DE0" w:rsidRPr="00787F18" w:rsidRDefault="00AE7DE0" w:rsidP="00AE7DE0">
                  <w:pPr>
                    <w:widowControl w:val="0"/>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Korišćenje potencijala zajedničkog regionalnog tržišta zapadnog Balkana.</w:t>
                  </w:r>
                </w:p>
                <w:p w14:paraId="23C88608" w14:textId="77777777" w:rsidR="00AE7DE0" w:rsidRPr="00787F18" w:rsidRDefault="00AE7DE0" w:rsidP="00AE7DE0">
                  <w:pPr>
                    <w:widowControl w:val="0"/>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Podaci javne uprave dostupni za ponovnu upotrebu i sigurnu razmjenu.</w:t>
                  </w:r>
                </w:p>
                <w:p w14:paraId="5ECAAE88" w14:textId="77777777" w:rsidR="00AE7DE0" w:rsidRPr="00787F18" w:rsidRDefault="00AE7DE0" w:rsidP="00AE7DE0">
                  <w:pPr>
                    <w:widowControl w:val="0"/>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Razvijanje  setova otvorenih podataka od velikog značaja u skladu sa EU Direktivom.</w:t>
                  </w:r>
                </w:p>
                <w:p w14:paraId="20967824" w14:textId="77777777" w:rsidR="00AE7DE0" w:rsidRPr="00787F18" w:rsidRDefault="00AE7DE0" w:rsidP="00AE7DE0">
                  <w:pPr>
                    <w:widowControl w:val="0"/>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Brži razvoj IKT sektora i njegov efekat prelivanja u druga područja.</w:t>
                  </w:r>
                </w:p>
                <w:p w14:paraId="478BC3A9" w14:textId="77777777" w:rsidR="00AE7DE0" w:rsidRPr="00787F18" w:rsidRDefault="00AE7DE0" w:rsidP="00AE7DE0">
                  <w:pPr>
                    <w:widowControl w:val="0"/>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Jačanje tržišne pozicije IKT u regionu.</w:t>
                  </w:r>
                </w:p>
                <w:p w14:paraId="57DE0847" w14:textId="77777777" w:rsidR="00AE7DE0" w:rsidRPr="00787F18" w:rsidRDefault="00AE7DE0" w:rsidP="00AE7DE0">
                  <w:pPr>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Promocija najboljih ideja, inovacija, projekata i partnerstava.</w:t>
                  </w:r>
                </w:p>
                <w:p w14:paraId="7BF07C7B" w14:textId="77777777" w:rsidR="00AE7DE0" w:rsidRPr="00787F18" w:rsidRDefault="00AE7DE0" w:rsidP="00AE7DE0">
                  <w:pPr>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Konkurentnost zemalja regiona. </w:t>
                  </w:r>
                </w:p>
                <w:p w14:paraId="53E48214" w14:textId="77777777" w:rsidR="00AE7DE0" w:rsidRPr="00787F18" w:rsidRDefault="00AE7DE0" w:rsidP="00AE7DE0">
                  <w:pPr>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Korišćenje ljudskog potencijala za istraživanje i inovacije u dijaspori.</w:t>
                  </w:r>
                </w:p>
                <w:p w14:paraId="005F1BCD" w14:textId="77777777" w:rsidR="00AE7DE0" w:rsidRPr="00787F18" w:rsidRDefault="00AE7DE0" w:rsidP="00AE7DE0">
                  <w:pPr>
                    <w:numPr>
                      <w:ilvl w:val="0"/>
                      <w:numId w:val="71"/>
                    </w:numPr>
                    <w:pBdr>
                      <w:top w:val="nil"/>
                      <w:left w:val="nil"/>
                      <w:bottom w:val="nil"/>
                      <w:right w:val="nil"/>
                      <w:between w:val="nil"/>
                    </w:pBdr>
                    <w:spacing w:after="0" w:line="204" w:lineRule="auto"/>
                    <w:ind w:left="164" w:hanging="142"/>
                    <w:rPr>
                      <w:rFonts w:ascii="Arial" w:hAnsi="Arial" w:cs="Arial"/>
                      <w:sz w:val="18"/>
                      <w:szCs w:val="18"/>
                      <w:lang w:val="it-IT"/>
                    </w:rPr>
                  </w:pPr>
                  <w:r w:rsidRPr="00787F18">
                    <w:rPr>
                      <w:rFonts w:ascii="Arial" w:hAnsi="Arial" w:cs="Arial"/>
                      <w:sz w:val="18"/>
                      <w:szCs w:val="18"/>
                      <w:lang w:val="it-IT"/>
                    </w:rPr>
                    <w:t>Razvoj rodno odgovornih digitalnih servisa i usluga</w:t>
                  </w:r>
                </w:p>
                <w:p w14:paraId="5BBA357A" w14:textId="77777777" w:rsidR="00AE7DE0" w:rsidRPr="00787F18" w:rsidRDefault="00AE7DE0" w:rsidP="00AE7DE0">
                  <w:pPr>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Umrežavanje profesionalaca u Crnoj Gori i u regionu.</w:t>
                  </w:r>
                </w:p>
                <w:p w14:paraId="11A27765" w14:textId="77777777" w:rsidR="00AE7DE0" w:rsidRPr="00787F18" w:rsidRDefault="00AE7DE0" w:rsidP="00AE7DE0">
                  <w:pPr>
                    <w:numPr>
                      <w:ilvl w:val="0"/>
                      <w:numId w:val="71"/>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Uspješni startapovi kao podsticaj za razvoj ove vrste poslovanja.</w:t>
                  </w:r>
                </w:p>
                <w:p w14:paraId="20CB1909" w14:textId="77777777" w:rsidR="00AE7DE0" w:rsidRPr="00787F18" w:rsidRDefault="00AE7DE0" w:rsidP="00AE7DE0">
                  <w:pPr>
                    <w:widowControl w:val="0"/>
                    <w:numPr>
                      <w:ilvl w:val="0"/>
                      <w:numId w:val="71"/>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Sredstva Evropske unije kao izvor finansiranja i proces pristupanja EU.</w:t>
                  </w:r>
                </w:p>
              </w:tc>
            </w:tr>
            <w:tr w:rsidR="00AE7DE0" w:rsidRPr="00787F18" w14:paraId="0791D79A" w14:textId="77777777" w:rsidTr="00A26279">
              <w:trPr>
                <w:cantSplit/>
                <w:trHeight w:val="1134"/>
              </w:trPr>
              <w:tc>
                <w:tcPr>
                  <w:tcW w:w="283" w:type="pct"/>
                  <w:shd w:val="clear" w:color="auto" w:fill="auto"/>
                  <w:textDirection w:val="btLr"/>
                </w:tcPr>
                <w:p w14:paraId="61E83527" w14:textId="77777777" w:rsidR="00AE7DE0" w:rsidRPr="00787F18" w:rsidRDefault="00AE7DE0" w:rsidP="00A26279">
                  <w:pPr>
                    <w:spacing w:line="204" w:lineRule="auto"/>
                    <w:jc w:val="center"/>
                  </w:pPr>
                  <w:r w:rsidRPr="00787F18">
                    <w:rPr>
                      <w:rFonts w:ascii="Arial" w:hAnsi="Arial" w:cs="Arial"/>
                    </w:rPr>
                    <w:t>SLABOSTI</w:t>
                  </w:r>
                </w:p>
              </w:tc>
              <w:tc>
                <w:tcPr>
                  <w:tcW w:w="2217" w:type="pct"/>
                  <w:shd w:val="clear" w:color="auto" w:fill="auto"/>
                  <w:tcMar>
                    <w:top w:w="100" w:type="dxa"/>
                    <w:left w:w="100" w:type="dxa"/>
                    <w:bottom w:w="100" w:type="dxa"/>
                    <w:right w:w="100" w:type="dxa"/>
                  </w:tcMar>
                </w:tcPr>
                <w:p w14:paraId="244C0EBC"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Nedostatak koordinacije na centralnom i visokom nivou.</w:t>
                  </w:r>
                </w:p>
                <w:p w14:paraId="14DDF58D"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Velika fragmentacija radnih tijela.</w:t>
                  </w:r>
                </w:p>
                <w:p w14:paraId="2221DEFE"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Pristup odozdo prema gore jači od upravljanja odozgo prema dolje.</w:t>
                  </w:r>
                </w:p>
                <w:p w14:paraId="087475AB"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Nedovoljne digitalne vještine i IT vještine u javnoj upravi i društvu u cjelini</w:t>
                  </w:r>
                </w:p>
                <w:p w14:paraId="76D2C7DB"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Manjak IKT ljudskih resursa</w:t>
                  </w:r>
                </w:p>
                <w:p w14:paraId="0F4A193E"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Niske javne investicije u IT razvoj.</w:t>
                  </w:r>
                </w:p>
                <w:p w14:paraId="28B71C97"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Veličina i struktura tržišta.</w:t>
                  </w:r>
                </w:p>
                <w:p w14:paraId="13D0A81F"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Neprilagođeni obrazovni sistem.</w:t>
                  </w:r>
                </w:p>
                <w:p w14:paraId="46CE69E1" w14:textId="77777777" w:rsidR="00AE7DE0" w:rsidRPr="00787F18" w:rsidRDefault="00AE7DE0" w:rsidP="00AE7DE0">
                  <w:pPr>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Ulaganje u IKT kao dodatni trošak.</w:t>
                  </w:r>
                </w:p>
                <w:p w14:paraId="77C0B48D" w14:textId="77777777" w:rsidR="00AE7DE0" w:rsidRPr="00787F18" w:rsidRDefault="00AE7DE0" w:rsidP="00AE7DE0">
                  <w:pPr>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Nizak nivo digitalizacije e-usluga i nedostatak kvalitetnog dizajna usluga usmjerenog na korisnika.</w:t>
                  </w:r>
                </w:p>
                <w:p w14:paraId="36DB80EE" w14:textId="77777777" w:rsidR="00AE7DE0" w:rsidRPr="00787F18" w:rsidRDefault="00AE7DE0" w:rsidP="00AE7DE0">
                  <w:pPr>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Nedostatak pokazatelja za praćenje nivoa digitalne transformacije na nacionalnom nivou.</w:t>
                  </w:r>
                </w:p>
                <w:p w14:paraId="1DEE001B" w14:textId="77777777" w:rsidR="00AE7DE0" w:rsidRPr="00787F18" w:rsidRDefault="00AE7DE0" w:rsidP="00AE7DE0">
                  <w:pPr>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Skupe internetske infrastrukture preduzeća.</w:t>
                  </w:r>
                </w:p>
                <w:p w14:paraId="4E86D6E3" w14:textId="77777777" w:rsidR="00AE7DE0" w:rsidRPr="00787F18" w:rsidRDefault="00AE7DE0" w:rsidP="00AE7DE0">
                  <w:pPr>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Manja dostupnost različitih resursa (čvorišta, prostora za zajednički rad, akceleratora, inovacionih centara i sl.).</w:t>
                  </w:r>
                </w:p>
                <w:p w14:paraId="25EE9C75" w14:textId="77777777" w:rsidR="00AE7DE0" w:rsidRPr="00787F18" w:rsidRDefault="00AE7DE0" w:rsidP="00AE7DE0">
                  <w:pPr>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Jednostavnost zapošljavanja pojedinaca iz Crne Gore.</w:t>
                  </w:r>
                </w:p>
                <w:p w14:paraId="4DF4EDC0" w14:textId="77777777" w:rsidR="00AE7DE0" w:rsidRPr="00787F18" w:rsidRDefault="00AE7DE0" w:rsidP="00AE7DE0">
                  <w:pPr>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Nedostatak formalne podrške od strane države za IT sektor.</w:t>
                  </w:r>
                </w:p>
                <w:p w14:paraId="4851AFE6" w14:textId="77777777" w:rsidR="00AE7DE0" w:rsidRPr="00787F18" w:rsidRDefault="00AE7DE0" w:rsidP="00AE7DE0">
                  <w:pPr>
                    <w:numPr>
                      <w:ilvl w:val="0"/>
                      <w:numId w:val="72"/>
                    </w:numPr>
                    <w:spacing w:after="0" w:line="204" w:lineRule="auto"/>
                    <w:ind w:left="164" w:hanging="142"/>
                    <w:rPr>
                      <w:rFonts w:ascii="Arial" w:hAnsi="Arial" w:cs="Arial"/>
                      <w:sz w:val="18"/>
                      <w:szCs w:val="18"/>
                    </w:rPr>
                  </w:pPr>
                  <w:r w:rsidRPr="00787F18">
                    <w:rPr>
                      <w:rFonts w:ascii="Arial" w:hAnsi="Arial" w:cs="Arial"/>
                      <w:sz w:val="18"/>
                      <w:szCs w:val="18"/>
                    </w:rPr>
                    <w:t>Nedovoljno razvijena digitalna svijest crnogorskog društva.</w:t>
                  </w:r>
                </w:p>
              </w:tc>
              <w:tc>
                <w:tcPr>
                  <w:tcW w:w="283" w:type="pct"/>
                  <w:textDirection w:val="btLr"/>
                </w:tcPr>
                <w:p w14:paraId="00D5D989" w14:textId="77777777" w:rsidR="00AE7DE0" w:rsidRPr="00787F18" w:rsidRDefault="00AE7DE0" w:rsidP="00A26279">
                  <w:pPr>
                    <w:pBdr>
                      <w:top w:val="nil"/>
                      <w:left w:val="nil"/>
                      <w:bottom w:val="nil"/>
                      <w:right w:val="nil"/>
                      <w:between w:val="nil"/>
                    </w:pBdr>
                    <w:spacing w:line="204" w:lineRule="auto"/>
                    <w:ind w:left="113" w:right="113"/>
                    <w:jc w:val="center"/>
                    <w:rPr>
                      <w:rFonts w:ascii="Arial" w:hAnsi="Arial" w:cs="Arial"/>
                    </w:rPr>
                  </w:pPr>
                  <w:r w:rsidRPr="00787F18">
                    <w:rPr>
                      <w:rFonts w:ascii="Arial" w:hAnsi="Arial" w:cs="Arial"/>
                    </w:rPr>
                    <w:t>PRIJETNJE</w:t>
                  </w:r>
                </w:p>
              </w:tc>
              <w:tc>
                <w:tcPr>
                  <w:tcW w:w="2217" w:type="pct"/>
                  <w:shd w:val="clear" w:color="auto" w:fill="auto"/>
                  <w:tcMar>
                    <w:top w:w="100" w:type="dxa"/>
                    <w:left w:w="100" w:type="dxa"/>
                    <w:bottom w:w="100" w:type="dxa"/>
                    <w:right w:w="100" w:type="dxa"/>
                  </w:tcMar>
                </w:tcPr>
                <w:p w14:paraId="2706FB1E"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lang w:val="it-IT"/>
                    </w:rPr>
                  </w:pPr>
                  <w:r w:rsidRPr="00787F18">
                    <w:rPr>
                      <w:rFonts w:ascii="Arial" w:hAnsi="Arial" w:cs="Arial"/>
                      <w:sz w:val="18"/>
                      <w:szCs w:val="18"/>
                      <w:lang w:val="it-IT"/>
                    </w:rPr>
                    <w:t>Izazovi u premošćavanju jaza između strategije i stvarne primjene.</w:t>
                  </w:r>
                </w:p>
                <w:p w14:paraId="51DC7707"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Nepovjerenje građana u e-usluge</w:t>
                  </w:r>
                </w:p>
                <w:p w14:paraId="11CF37AD"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Nastavak odliva mozgova.</w:t>
                  </w:r>
                </w:p>
                <w:p w14:paraId="5597A7D6"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Dalje jačanje pozicije međunarodnih kompanija.</w:t>
                  </w:r>
                </w:p>
                <w:p w14:paraId="360E9B3A"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 xml:space="preserve">Brži digitalni razvoj u drugim zemljama. </w:t>
                  </w:r>
                </w:p>
                <w:p w14:paraId="6965DBC8"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rPr>
                  </w:pPr>
                  <w:r w:rsidRPr="00787F18">
                    <w:rPr>
                      <w:rFonts w:ascii="Arial" w:hAnsi="Arial" w:cs="Arial"/>
                      <w:sz w:val="18"/>
                      <w:szCs w:val="18"/>
                    </w:rPr>
                    <w:t>Jačanje crnogorske zavisnosti od eksternog znanja.</w:t>
                  </w:r>
                </w:p>
                <w:p w14:paraId="03AD6E16" w14:textId="77777777" w:rsidR="00AE7DE0" w:rsidRPr="00787F18" w:rsidRDefault="00AE7DE0" w:rsidP="00AE7DE0">
                  <w:pPr>
                    <w:widowControl w:val="0"/>
                    <w:numPr>
                      <w:ilvl w:val="0"/>
                      <w:numId w:val="72"/>
                    </w:numPr>
                    <w:pBdr>
                      <w:top w:val="nil"/>
                      <w:left w:val="nil"/>
                      <w:bottom w:val="nil"/>
                      <w:right w:val="nil"/>
                      <w:between w:val="nil"/>
                    </w:pBdr>
                    <w:spacing w:after="0" w:line="204" w:lineRule="auto"/>
                    <w:ind w:left="164" w:hanging="142"/>
                    <w:rPr>
                      <w:rFonts w:ascii="Arial" w:hAnsi="Arial" w:cs="Arial"/>
                      <w:sz w:val="18"/>
                      <w:szCs w:val="18"/>
                      <w:lang w:val="it-IT"/>
                    </w:rPr>
                  </w:pPr>
                  <w:r w:rsidRPr="00787F18">
                    <w:rPr>
                      <w:rFonts w:ascii="Arial" w:hAnsi="Arial" w:cs="Arial"/>
                      <w:sz w:val="18"/>
                      <w:szCs w:val="18"/>
                      <w:lang w:val="it-IT"/>
                    </w:rPr>
                    <w:t>Promjene u političkoj areni.</w:t>
                  </w:r>
                </w:p>
                <w:p w14:paraId="2F650115"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Trendovi u globalnim promjenama i lokalne praktične primjene postojećih tehnologija.</w:t>
                  </w:r>
                </w:p>
                <w:p w14:paraId="50E75A38"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Malo tržište ometa razvoj velikih specijalističkih kompanija.</w:t>
                  </w:r>
                </w:p>
                <w:p w14:paraId="567CFD25"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Neizvozno orijentisana perspektiva razvoja IT-a.</w:t>
                  </w:r>
                </w:p>
                <w:p w14:paraId="14085660"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Prisustvo angažovanja spoljnih i slobodnih saradnika.</w:t>
                  </w:r>
                </w:p>
                <w:p w14:paraId="1EE663DD" w14:textId="77777777" w:rsidR="00AE7DE0" w:rsidRPr="00787F18" w:rsidRDefault="00AE7DE0" w:rsidP="00AE7DE0">
                  <w:pPr>
                    <w:widowControl w:val="0"/>
                    <w:numPr>
                      <w:ilvl w:val="0"/>
                      <w:numId w:val="72"/>
                    </w:numPr>
                    <w:spacing w:after="0" w:line="204" w:lineRule="auto"/>
                    <w:ind w:left="164" w:hanging="142"/>
                    <w:rPr>
                      <w:rFonts w:ascii="Arial" w:hAnsi="Arial" w:cs="Arial"/>
                      <w:sz w:val="18"/>
                      <w:szCs w:val="18"/>
                      <w:lang w:val="it-IT"/>
                    </w:rPr>
                  </w:pPr>
                  <w:r w:rsidRPr="00787F18">
                    <w:rPr>
                      <w:rFonts w:ascii="Arial" w:hAnsi="Arial" w:cs="Arial"/>
                      <w:sz w:val="18"/>
                      <w:szCs w:val="18"/>
                      <w:lang w:val="it-IT"/>
                    </w:rPr>
                    <w:t>Veće lokalne kompanije uglavnom ostaju ravnodušne prema inovacijama.</w:t>
                  </w:r>
                </w:p>
              </w:tc>
            </w:tr>
          </w:tbl>
          <w:p w14:paraId="0108D8E9" w14:textId="77777777" w:rsidR="00AE7DE0" w:rsidRPr="00CB724C" w:rsidRDefault="00AE7DE0" w:rsidP="00A26279">
            <w:pPr>
              <w:tabs>
                <w:tab w:val="left" w:pos="270"/>
              </w:tabs>
              <w:rPr>
                <w:rFonts w:ascii="Arial" w:hAnsi="Arial" w:cs="Arial"/>
                <w:bCs w:val="0"/>
                <w:color w:val="FF0000"/>
                <w:sz w:val="20"/>
                <w:szCs w:val="20"/>
                <w:lang w:val="it-IT"/>
              </w:rPr>
            </w:pPr>
          </w:p>
          <w:p w14:paraId="4B760B55" w14:textId="77777777" w:rsidR="00AE7DE0" w:rsidRPr="00743629" w:rsidRDefault="00AE7DE0" w:rsidP="00A26279">
            <w:pPr>
              <w:pStyle w:val="ListParagraph"/>
              <w:rPr>
                <w:rFonts w:ascii="Arial" w:hAnsi="Arial" w:cs="Arial"/>
                <w:bCs w:val="0"/>
                <w:sz w:val="20"/>
                <w:szCs w:val="20"/>
                <w:lang w:val="sr-Latn-ME"/>
              </w:rPr>
            </w:pPr>
          </w:p>
          <w:p w14:paraId="0A9D8790" w14:textId="77777777" w:rsidR="00AE7DE0" w:rsidRPr="0047726C" w:rsidRDefault="00AE7DE0" w:rsidP="00AE7DE0">
            <w:pPr>
              <w:pStyle w:val="ListParagraph"/>
              <w:numPr>
                <w:ilvl w:val="0"/>
                <w:numId w:val="68"/>
              </w:numPr>
              <w:autoSpaceDE w:val="0"/>
              <w:autoSpaceDN w:val="0"/>
              <w:adjustRightInd w:val="0"/>
              <w:spacing w:before="120" w:after="120" w:line="240" w:lineRule="auto"/>
              <w:jc w:val="both"/>
              <w:rPr>
                <w:rFonts w:ascii="Arial" w:hAnsi="Arial" w:cs="Arial"/>
                <w:b w:val="0"/>
                <w:sz w:val="20"/>
                <w:szCs w:val="20"/>
                <w:lang w:val="it-IT"/>
              </w:rPr>
            </w:pPr>
            <w:r w:rsidRPr="002441B2">
              <w:rPr>
                <w:rFonts w:ascii="Arial" w:hAnsi="Arial" w:cs="Arial"/>
                <w:b w:val="0"/>
                <w:sz w:val="20"/>
                <w:szCs w:val="20"/>
                <w:lang w:val="it-IT"/>
              </w:rPr>
              <w:t xml:space="preserve">Kreiranjem društva jednakosti pružiće se šansa svima da koriste prednosti IKT-a. Sadašnje </w:t>
            </w:r>
            <w:r>
              <w:rPr>
                <w:rFonts w:ascii="Arial" w:hAnsi="Arial" w:cs="Arial"/>
                <w:b w:val="0"/>
                <w:sz w:val="20"/>
                <w:szCs w:val="20"/>
                <w:lang w:val="it-IT"/>
              </w:rPr>
              <w:t>društvo</w:t>
            </w:r>
            <w:r w:rsidRPr="002441B2">
              <w:rPr>
                <w:rFonts w:ascii="Arial" w:hAnsi="Arial" w:cs="Arial"/>
                <w:b w:val="0"/>
                <w:sz w:val="20"/>
                <w:szCs w:val="20"/>
                <w:lang w:val="it-IT"/>
              </w:rPr>
              <w:t xml:space="preserve"> se ne može okarakterisati kao društvo koje u velikoj mjeri koristi tehnologiju. Veliki je udio onih koji nemaju mogućnost ili ne žele da koriste tehnologiju. Svi oni koji nemaju pristup tehnologiji i tehnološkim rješenjima a koje će procesi digitalna transformacija podstaći su sada oštećeni i ne mogu osjetiti benefite te primjene. </w:t>
            </w:r>
          </w:p>
          <w:p w14:paraId="5866496C" w14:textId="77777777" w:rsidR="00AE7DE0" w:rsidRPr="0047726C" w:rsidRDefault="00AE7DE0" w:rsidP="00A26279">
            <w:pPr>
              <w:pStyle w:val="ListParagraph"/>
              <w:rPr>
                <w:rFonts w:ascii="Arial" w:hAnsi="Arial" w:cs="Arial"/>
                <w:bCs w:val="0"/>
                <w:sz w:val="20"/>
                <w:szCs w:val="20"/>
                <w:lang w:val="it-IT"/>
              </w:rPr>
            </w:pPr>
          </w:p>
          <w:p w14:paraId="671B9138" w14:textId="77777777" w:rsidR="00AE7DE0" w:rsidRPr="00C35D4B" w:rsidRDefault="00AE7DE0" w:rsidP="00AE7DE0">
            <w:pPr>
              <w:pStyle w:val="ListParagraph"/>
              <w:numPr>
                <w:ilvl w:val="0"/>
                <w:numId w:val="68"/>
              </w:numPr>
              <w:autoSpaceDE w:val="0"/>
              <w:autoSpaceDN w:val="0"/>
              <w:adjustRightInd w:val="0"/>
              <w:spacing w:before="120" w:after="120" w:line="240" w:lineRule="auto"/>
              <w:jc w:val="both"/>
              <w:rPr>
                <w:rFonts w:ascii="Arial" w:hAnsi="Arial" w:cs="Arial"/>
                <w:b w:val="0"/>
                <w:sz w:val="20"/>
                <w:szCs w:val="20"/>
                <w:lang w:val="it-IT"/>
              </w:rPr>
            </w:pPr>
            <w:r w:rsidRPr="00BB186E">
              <w:rPr>
                <w:rFonts w:ascii="Arial" w:hAnsi="Arial" w:cs="Arial"/>
                <w:b w:val="0"/>
                <w:sz w:val="20"/>
                <w:szCs w:val="20"/>
                <w:lang w:val="it-IT"/>
              </w:rPr>
              <w:t>Ukoliko ne postoji vizija i jasni ciljevi koji se žele postići, kao i sinergija svih učesnika jednog sistema, razvoj bilo kakvih rješenja bi bio haotičan. Ovdje bi bile pogođene, između ostalih,  najranjivije grupe stanovnika, koji bi trebali da osjete najveće benefite digitalne transformacije (kroz smanjenje troškova, veću dostupnost informacija, viši stepen obrazovanja i sl.). Osim toga, bez primjene tj. implementacije strategije, u oblasti razvoja IKT-a i primjene tehnologije, stvorio bi se još veći jaz između tehnološki naprednih i onih koji zaostaju (daleko) iza. Dostizanje određenog stepena digitalnog razvoja bi nakon toga bilo mnogo teže i sporije.</w:t>
            </w:r>
          </w:p>
          <w:p w14:paraId="279EFB25" w14:textId="77777777" w:rsidR="00AE7DE0" w:rsidRPr="00C35D4B" w:rsidRDefault="00AE7DE0" w:rsidP="00A26279">
            <w:pPr>
              <w:pStyle w:val="ListParagraph"/>
              <w:rPr>
                <w:rFonts w:ascii="Arial" w:hAnsi="Arial" w:cs="Arial"/>
                <w:bCs w:val="0"/>
                <w:sz w:val="20"/>
                <w:szCs w:val="20"/>
                <w:lang w:val="it-IT"/>
              </w:rPr>
            </w:pPr>
          </w:p>
          <w:p w14:paraId="19158034" w14:textId="77777777" w:rsidR="00AE7DE0" w:rsidRPr="00BB186E" w:rsidRDefault="00AE7DE0" w:rsidP="00AE7DE0">
            <w:pPr>
              <w:pStyle w:val="ListParagraph"/>
              <w:numPr>
                <w:ilvl w:val="0"/>
                <w:numId w:val="68"/>
              </w:numPr>
              <w:autoSpaceDE w:val="0"/>
              <w:autoSpaceDN w:val="0"/>
              <w:adjustRightInd w:val="0"/>
              <w:spacing w:before="120" w:after="120" w:line="240" w:lineRule="auto"/>
              <w:jc w:val="both"/>
              <w:rPr>
                <w:rFonts w:ascii="Arial" w:hAnsi="Arial" w:cs="Arial"/>
                <w:b w:val="0"/>
                <w:sz w:val="20"/>
                <w:szCs w:val="20"/>
                <w:lang w:val="it-IT"/>
              </w:rPr>
            </w:pPr>
            <w:r w:rsidRPr="00C35D4B">
              <w:rPr>
                <w:rFonts w:ascii="Arial" w:hAnsi="Arial" w:cs="Arial"/>
                <w:b w:val="0"/>
                <w:sz w:val="20"/>
                <w:szCs w:val="20"/>
                <w:lang w:val="it-IT"/>
              </w:rPr>
              <w:t xml:space="preserve">Analizirajući aktuelno stanje </w:t>
            </w:r>
            <w:r>
              <w:rPr>
                <w:rFonts w:ascii="Arial" w:hAnsi="Arial" w:cs="Arial"/>
                <w:b w:val="0"/>
                <w:sz w:val="20"/>
                <w:szCs w:val="20"/>
                <w:lang w:val="it-IT"/>
              </w:rPr>
              <w:t>i</w:t>
            </w:r>
            <w:r w:rsidRPr="00C35D4B">
              <w:rPr>
                <w:rFonts w:ascii="Arial" w:hAnsi="Arial" w:cs="Arial"/>
                <w:b w:val="0"/>
                <w:sz w:val="20"/>
                <w:szCs w:val="20"/>
                <w:lang w:val="it-IT"/>
              </w:rPr>
              <w:t xml:space="preserve"> stepen digitalne zrelosti Crne Gore </w:t>
            </w:r>
            <w:r>
              <w:rPr>
                <w:rFonts w:ascii="Arial" w:hAnsi="Arial" w:cs="Arial"/>
                <w:b w:val="0"/>
                <w:sz w:val="20"/>
                <w:szCs w:val="20"/>
                <w:lang w:val="it-IT"/>
              </w:rPr>
              <w:t>prepoznati su</w:t>
            </w:r>
            <w:r w:rsidRPr="00C35D4B">
              <w:rPr>
                <w:rFonts w:ascii="Arial" w:hAnsi="Arial" w:cs="Arial"/>
                <w:b w:val="0"/>
                <w:sz w:val="20"/>
                <w:szCs w:val="20"/>
                <w:lang w:val="it-IT"/>
              </w:rPr>
              <w:t xml:space="preserve"> ključn</w:t>
            </w:r>
            <w:r>
              <w:rPr>
                <w:rFonts w:ascii="Arial" w:hAnsi="Arial" w:cs="Arial"/>
                <w:b w:val="0"/>
                <w:sz w:val="20"/>
                <w:szCs w:val="20"/>
                <w:lang w:val="it-IT"/>
              </w:rPr>
              <w:t>i</w:t>
            </w:r>
            <w:r w:rsidRPr="00C35D4B">
              <w:rPr>
                <w:rFonts w:ascii="Arial" w:hAnsi="Arial" w:cs="Arial"/>
                <w:b w:val="0"/>
                <w:sz w:val="20"/>
                <w:szCs w:val="20"/>
                <w:lang w:val="it-IT"/>
              </w:rPr>
              <w:t xml:space="preserve"> pravc</w:t>
            </w:r>
            <w:r>
              <w:rPr>
                <w:rFonts w:ascii="Arial" w:hAnsi="Arial" w:cs="Arial"/>
                <w:b w:val="0"/>
                <w:sz w:val="20"/>
                <w:szCs w:val="20"/>
                <w:lang w:val="it-IT"/>
              </w:rPr>
              <w:t>i</w:t>
            </w:r>
            <w:r w:rsidRPr="00C35D4B">
              <w:rPr>
                <w:rFonts w:ascii="Arial" w:hAnsi="Arial" w:cs="Arial"/>
                <w:b w:val="0"/>
                <w:sz w:val="20"/>
                <w:szCs w:val="20"/>
                <w:lang w:val="it-IT"/>
              </w:rPr>
              <w:t xml:space="preserve"> koje je neophodno slijediti kako bi se obezbijedili uslovi za digitalnu transformaciju društva</w:t>
            </w:r>
            <w:r>
              <w:rPr>
                <w:rFonts w:ascii="Arial" w:hAnsi="Arial" w:cs="Arial"/>
                <w:b w:val="0"/>
                <w:sz w:val="20"/>
                <w:szCs w:val="20"/>
                <w:lang w:val="it-IT"/>
              </w:rPr>
              <w:t>. Strategijom je definisano</w:t>
            </w:r>
            <w:r w:rsidRPr="00C35D4B">
              <w:rPr>
                <w:rFonts w:ascii="Arial" w:hAnsi="Arial" w:cs="Arial"/>
                <w:b w:val="0"/>
                <w:sz w:val="20"/>
                <w:szCs w:val="20"/>
                <w:lang w:val="it-IT"/>
              </w:rPr>
              <w:t xml:space="preserve"> sedam glavnih stubova na kojima će počivati buduća digitalna transformacija društva: Podizanje svijesti o važnosti digitalnog razvoja; Povećanje kvaliteta i upotrebe elektronskih usluga, Visok nivo pristupačnosti i interperabilnost podataka; Visoku pouzdanost i sigurnost informaciono-komunikacione infrastrukture; Rast IKT ekonomije Povećanje digitalnih znanja i vještina; uz naravno Efikasnu i efektivnu koordinaciju cijelog procesa digitalne transformacije.</w:t>
            </w:r>
          </w:p>
          <w:p w14:paraId="68E4027C" w14:textId="77777777" w:rsidR="00AE7DE0" w:rsidRPr="0097008B" w:rsidRDefault="00AE7DE0" w:rsidP="00A26279">
            <w:pPr>
              <w:autoSpaceDE w:val="0"/>
              <w:autoSpaceDN w:val="0"/>
              <w:adjustRightInd w:val="0"/>
              <w:spacing w:before="120" w:after="120"/>
              <w:contextualSpacing/>
              <w:rPr>
                <w:rFonts w:ascii="Arial" w:hAnsi="Arial" w:cs="Arial"/>
                <w:b w:val="0"/>
                <w:sz w:val="20"/>
                <w:szCs w:val="20"/>
                <w:lang w:val="it-IT"/>
              </w:rPr>
            </w:pPr>
          </w:p>
        </w:tc>
      </w:tr>
      <w:tr w:rsidR="00AE7DE0" w:rsidRPr="0047726C" w14:paraId="3717D9E2"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52E56AAA" w14:textId="77777777" w:rsidR="00AE7DE0" w:rsidRPr="00817808" w:rsidRDefault="00AE7DE0" w:rsidP="00A26279">
            <w:pPr>
              <w:autoSpaceDE w:val="0"/>
              <w:autoSpaceDN w:val="0"/>
              <w:adjustRightInd w:val="0"/>
              <w:spacing w:before="120" w:after="120"/>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2. Ciljevi</w:t>
            </w:r>
          </w:p>
          <w:p w14:paraId="4639DE97" w14:textId="77777777" w:rsidR="00AE7DE0" w:rsidRPr="00F15F1C" w:rsidRDefault="00AE7DE0" w:rsidP="00AE7DE0">
            <w:pPr>
              <w:pStyle w:val="ListParagraph"/>
              <w:numPr>
                <w:ilvl w:val="0"/>
                <w:numId w:val="68"/>
              </w:numPr>
              <w:autoSpaceDE w:val="0"/>
              <w:autoSpaceDN w:val="0"/>
              <w:adjustRightInd w:val="0"/>
              <w:spacing w:before="120" w:after="120" w:line="240" w:lineRule="auto"/>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Koji ciljevi se postižu predloženim propisom?</w:t>
            </w:r>
          </w:p>
          <w:p w14:paraId="351D10BC" w14:textId="77777777" w:rsidR="00AE7DE0" w:rsidRPr="00F15F1C" w:rsidRDefault="00AE7DE0" w:rsidP="00AE7DE0">
            <w:pPr>
              <w:pStyle w:val="ListParagraph"/>
              <w:numPr>
                <w:ilvl w:val="0"/>
                <w:numId w:val="68"/>
              </w:numPr>
              <w:autoSpaceDE w:val="0"/>
              <w:autoSpaceDN w:val="0"/>
              <w:adjustRightInd w:val="0"/>
              <w:spacing w:before="120" w:after="120" w:line="240" w:lineRule="auto"/>
              <w:rPr>
                <w:rFonts w:ascii="Arial" w:hAnsi="Arial" w:cs="Arial"/>
                <w:b w:val="0"/>
                <w:color w:val="365F91" w:themeColor="accent1" w:themeShade="BF"/>
                <w:sz w:val="20"/>
                <w:szCs w:val="20"/>
                <w:lang w:val="it-IT"/>
              </w:rPr>
            </w:pPr>
            <w:r w:rsidRPr="00F15F1C">
              <w:rPr>
                <w:rFonts w:ascii="Arial" w:hAnsi="Arial" w:cs="Arial"/>
                <w:color w:val="365F91" w:themeColor="accent1" w:themeShade="BF"/>
                <w:sz w:val="20"/>
                <w:szCs w:val="20"/>
                <w:lang w:val="it-IT"/>
              </w:rPr>
              <w:t>Navesti usklađenost ovih ciljeva sa postojećim strategijama ili programima Vlade, ako je primjenljivo.</w:t>
            </w:r>
          </w:p>
        </w:tc>
      </w:tr>
      <w:tr w:rsidR="00AE7DE0" w:rsidRPr="0047726C" w14:paraId="46FB31C9" w14:textId="77777777" w:rsidTr="00AE7D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290E87EC" w14:textId="77777777" w:rsidR="00AE7DE0" w:rsidRPr="00F15F1C" w:rsidRDefault="00AE7DE0" w:rsidP="00A26279">
            <w:pPr>
              <w:autoSpaceDE w:val="0"/>
              <w:autoSpaceDN w:val="0"/>
              <w:adjustRightInd w:val="0"/>
              <w:spacing w:before="120" w:after="120"/>
              <w:contextualSpacing/>
              <w:rPr>
                <w:rFonts w:ascii="Arial" w:hAnsi="Arial" w:cs="Arial"/>
                <w:color w:val="365F91" w:themeColor="accent1" w:themeShade="BF"/>
                <w:sz w:val="20"/>
                <w:szCs w:val="20"/>
                <w:lang w:val="it-IT"/>
              </w:rPr>
            </w:pPr>
          </w:p>
          <w:p w14:paraId="2D8133E4" w14:textId="77777777" w:rsidR="00AE7DE0" w:rsidRPr="00DB4960"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 xml:space="preserve">Strateški ciljevi Crne Gore definisani u predloženoj Strategiji digitalne transformacije 2022-2026 istovjetni su ciljevima koji su utvrđeni krovnim evropskim dokumentima u oblasti digitalnog razvoja, Digitalnom agendom za Evropu 2020 i vizijom Gigabitnog društva do 2025. godine. </w:t>
            </w:r>
          </w:p>
          <w:p w14:paraId="50B06C6C" w14:textId="77777777" w:rsidR="00AE7DE0" w:rsidRPr="00DB4960" w:rsidRDefault="00AE7DE0" w:rsidP="00A26279">
            <w:pPr>
              <w:pStyle w:val="ListParagraph"/>
              <w:tabs>
                <w:tab w:val="left" w:pos="270"/>
              </w:tabs>
              <w:ind w:left="630"/>
              <w:rPr>
                <w:rFonts w:ascii="Arial" w:hAnsi="Arial" w:cs="Arial"/>
                <w:b w:val="0"/>
                <w:sz w:val="20"/>
                <w:szCs w:val="20"/>
                <w:lang w:val="it-IT"/>
              </w:rPr>
            </w:pPr>
          </w:p>
          <w:p w14:paraId="1B3C46B9" w14:textId="77777777" w:rsidR="00AE7DE0" w:rsidRPr="00DB4960"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97008B">
              <w:rPr>
                <w:rFonts w:ascii="Arial" w:hAnsi="Arial" w:cs="Arial"/>
                <w:b w:val="0"/>
                <w:sz w:val="20"/>
                <w:szCs w:val="20"/>
                <w:lang w:val="it-IT"/>
              </w:rPr>
              <w:t>Predloženom Strategijom digitalne transformacije 2021-2026, definisana su dva strateška cilja i to: prvi koji je usmjeren na poboljšanje unutrašnjih kapaciteta i sposobnosti za povećanje digitalne transformacije, i drugi koji je orijentisan prema spoljnom digitalnom ekosistemu i uticajima digitalizacije na život, rad, poslovnoj zajednici i društvu u cjelini. Navedeni ciljevi će se realizovati kroz sedam operativnih ciljeva sa mjerama odnosno aktivnostima kako bi se postiglo poboljšano ciljno stanje</w:t>
            </w:r>
            <w:r>
              <w:rPr>
                <w:rFonts w:ascii="Arial" w:hAnsi="Arial" w:cs="Arial"/>
                <w:b w:val="0"/>
                <w:sz w:val="20"/>
                <w:szCs w:val="20"/>
                <w:lang w:val="it-IT"/>
              </w:rPr>
              <w:t xml:space="preserve"> i to:</w:t>
            </w:r>
          </w:p>
          <w:p w14:paraId="7271F8BA" w14:textId="77777777" w:rsidR="00AE7DE0" w:rsidRPr="00DB4960" w:rsidRDefault="00AE7DE0" w:rsidP="00A26279">
            <w:pPr>
              <w:pStyle w:val="ListParagraph"/>
              <w:rPr>
                <w:rFonts w:ascii="Arial" w:hAnsi="Arial" w:cs="Arial"/>
                <w:bCs w:val="0"/>
                <w:sz w:val="20"/>
                <w:szCs w:val="20"/>
                <w:lang w:val="it-IT"/>
              </w:rPr>
            </w:pPr>
          </w:p>
          <w:p w14:paraId="195FE964" w14:textId="77777777" w:rsidR="00AE7DE0" w:rsidRPr="0088081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Efikasna i efektivna koordinacija i praćenje digitalne transformacije</w:t>
            </w:r>
          </w:p>
          <w:p w14:paraId="0F895183" w14:textId="77777777" w:rsidR="00AE7DE0" w:rsidRPr="0088081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Poboljšanje dostupnosti i interoperabilnosti podataka</w:t>
            </w:r>
          </w:p>
          <w:p w14:paraId="2208BA33" w14:textId="77777777" w:rsidR="00AE7DE0" w:rsidRPr="0088081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Povećana pokrivenost i modernizacija informaciono-telekomunikacione infrastrukture</w:t>
            </w:r>
          </w:p>
          <w:p w14:paraId="43DC056D" w14:textId="77777777" w:rsidR="00AE7DE0" w:rsidRPr="0088081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Razvoj i unapređenje digitalnih znanja i vještina crnogorskog društva</w:t>
            </w:r>
          </w:p>
          <w:p w14:paraId="6AC90AB3" w14:textId="77777777" w:rsidR="00AE7DE0" w:rsidRPr="0088081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Podizanje svijesti građana i privrede o važnosti digitalnog razvoja</w:t>
            </w:r>
          </w:p>
          <w:p w14:paraId="3DAC68A4" w14:textId="77777777" w:rsidR="00AE7DE0" w:rsidRPr="0088081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Unapređenje kvaliteta, količine i upotrebe e-usluga</w:t>
            </w:r>
          </w:p>
          <w:p w14:paraId="1A373FE9" w14:textId="77777777" w:rsidR="00AE7DE0" w:rsidRPr="002441B2"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Unapređenje i razvoj IKT ekonomije</w:t>
            </w:r>
          </w:p>
          <w:p w14:paraId="549B8970" w14:textId="77777777" w:rsidR="00AE7DE0" w:rsidRPr="00F15F1C" w:rsidRDefault="00AE7DE0" w:rsidP="00A26279">
            <w:pPr>
              <w:tabs>
                <w:tab w:val="left" w:pos="270"/>
              </w:tabs>
              <w:rPr>
                <w:rFonts w:ascii="Arial" w:hAnsi="Arial" w:cs="Arial"/>
                <w:b w:val="0"/>
                <w:sz w:val="20"/>
                <w:szCs w:val="20"/>
                <w:lang w:val="it-IT"/>
              </w:rPr>
            </w:pPr>
          </w:p>
          <w:p w14:paraId="6DF46593" w14:textId="77777777" w:rsidR="00AE7DE0" w:rsidRPr="00925FEB" w:rsidRDefault="00AE7DE0" w:rsidP="00AE7DE0">
            <w:pPr>
              <w:pStyle w:val="ListParagraph"/>
              <w:numPr>
                <w:ilvl w:val="0"/>
                <w:numId w:val="68"/>
              </w:numPr>
              <w:tabs>
                <w:tab w:val="left" w:pos="270"/>
              </w:tabs>
              <w:spacing w:after="0" w:line="240" w:lineRule="auto"/>
              <w:contextualSpacing w:val="0"/>
              <w:jc w:val="both"/>
              <w:rPr>
                <w:rFonts w:ascii="Arial" w:hAnsi="Arial" w:cs="Arial"/>
                <w:b w:val="0"/>
                <w:bCs w:val="0"/>
                <w:sz w:val="20"/>
                <w:szCs w:val="20"/>
                <w:lang w:val="it-IT"/>
              </w:rPr>
            </w:pPr>
            <w:r w:rsidRPr="00651339">
              <w:rPr>
                <w:rFonts w:ascii="Arial" w:hAnsi="Arial" w:cs="Arial"/>
                <w:b w:val="0"/>
                <w:sz w:val="20"/>
                <w:szCs w:val="20"/>
                <w:lang w:val="it-IT"/>
              </w:rPr>
              <w:t>Programom rada Vlade Crne za 2021. godinu digitalna</w:t>
            </w:r>
            <w:r w:rsidRPr="00651339">
              <w:rPr>
                <w:rFonts w:ascii="Arial" w:hAnsi="Arial" w:cs="Arial"/>
                <w:sz w:val="20"/>
                <w:szCs w:val="20"/>
                <w:lang w:val="it-IT"/>
              </w:rPr>
              <w:t xml:space="preserve"> </w:t>
            </w:r>
            <w:r w:rsidRPr="00651339">
              <w:rPr>
                <w:rFonts w:ascii="Arial" w:hAnsi="Arial" w:cs="Arial"/>
                <w:b w:val="0"/>
                <w:sz w:val="20"/>
                <w:szCs w:val="20"/>
                <w:lang w:val="it-IT"/>
              </w:rPr>
              <w:t>transformacija prepoznata je kao jedan od strateških prioriteta koj</w:t>
            </w:r>
            <w:r>
              <w:rPr>
                <w:rFonts w:ascii="Arial" w:hAnsi="Arial" w:cs="Arial"/>
                <w:b w:val="0"/>
                <w:sz w:val="20"/>
                <w:szCs w:val="20"/>
                <w:lang w:val="it-IT"/>
              </w:rPr>
              <w:t>i</w:t>
            </w:r>
            <w:r w:rsidRPr="00651339">
              <w:rPr>
                <w:rFonts w:ascii="Arial" w:hAnsi="Arial" w:cs="Arial"/>
                <w:b w:val="0"/>
                <w:sz w:val="20"/>
                <w:szCs w:val="20"/>
                <w:lang w:val="it-IT"/>
              </w:rPr>
              <w:t xml:space="preserve"> predstavlja pokretač inovacija,</w:t>
            </w:r>
            <w:r w:rsidRPr="00651339">
              <w:rPr>
                <w:rFonts w:ascii="Arial" w:hAnsi="Arial" w:cs="Arial"/>
                <w:sz w:val="20"/>
                <w:szCs w:val="20"/>
                <w:lang w:val="it-IT"/>
              </w:rPr>
              <w:t xml:space="preserve"> </w:t>
            </w:r>
            <w:r w:rsidRPr="00651339">
              <w:rPr>
                <w:rFonts w:ascii="Arial" w:hAnsi="Arial" w:cs="Arial"/>
                <w:b w:val="0"/>
                <w:sz w:val="20"/>
                <w:szCs w:val="20"/>
                <w:lang w:val="it-IT"/>
              </w:rPr>
              <w:t>modernizacije, konkurentnosti i sveobuhvatnog društveno-ekonomskog razvoja. Građani i privreda</w:t>
            </w:r>
            <w:r w:rsidRPr="00651339">
              <w:rPr>
                <w:rFonts w:ascii="Arial" w:hAnsi="Arial" w:cs="Arial"/>
                <w:sz w:val="20"/>
                <w:szCs w:val="20"/>
                <w:lang w:val="it-IT"/>
              </w:rPr>
              <w:t xml:space="preserve"> </w:t>
            </w:r>
            <w:r w:rsidRPr="00651339">
              <w:rPr>
                <w:rFonts w:ascii="Arial" w:hAnsi="Arial" w:cs="Arial"/>
                <w:b w:val="0"/>
                <w:sz w:val="20"/>
                <w:szCs w:val="20"/>
                <w:lang w:val="it-IT"/>
              </w:rPr>
              <w:t>trebaju biti u centru aktivnosti Vlade, a usluge koje im pružamo optimizovane na način da odgovaraju</w:t>
            </w:r>
            <w:r>
              <w:rPr>
                <w:rFonts w:ascii="Arial" w:hAnsi="Arial" w:cs="Arial"/>
                <w:b w:val="0"/>
                <w:sz w:val="20"/>
                <w:szCs w:val="20"/>
                <w:lang w:val="it-IT"/>
              </w:rPr>
              <w:t xml:space="preserve"> </w:t>
            </w:r>
            <w:r w:rsidRPr="00651339">
              <w:rPr>
                <w:rFonts w:ascii="Arial" w:hAnsi="Arial" w:cs="Arial"/>
                <w:b w:val="0"/>
                <w:sz w:val="20"/>
                <w:szCs w:val="20"/>
                <w:lang w:val="it-IT"/>
              </w:rPr>
              <w:t>njihovim potrebama na brz, efikasan i jednostavan način, kroz nove tehnologije i alate.</w:t>
            </w:r>
            <w:r>
              <w:rPr>
                <w:rFonts w:ascii="Arial" w:hAnsi="Arial" w:cs="Arial"/>
                <w:b w:val="0"/>
                <w:sz w:val="20"/>
                <w:szCs w:val="20"/>
                <w:lang w:val="it-IT"/>
              </w:rPr>
              <w:t xml:space="preserve"> Osim toga, značaj sprovođenja digitalne tansofrmacije prepoznat je i u drugim strateškim dokumentima kao što su:</w:t>
            </w:r>
          </w:p>
          <w:p w14:paraId="53E9BB14"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 xml:space="preserve">Pravci razvoja Crne Gore 2018-2021. godine </w:t>
            </w:r>
          </w:p>
          <w:p w14:paraId="48BABFB6"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 xml:space="preserve">Novim Programom ekonomskih reformi za Crnu Goru 2022-2024. godine </w:t>
            </w:r>
          </w:p>
          <w:p w14:paraId="3F5993F7"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 xml:space="preserve">Industrijska politika Crne Gore do 2019-2023.godine </w:t>
            </w:r>
          </w:p>
          <w:p w14:paraId="6A8E4551"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 xml:space="preserve">Strategija pametne specijalizacije 2019 - 2024. godine </w:t>
            </w:r>
          </w:p>
          <w:p w14:paraId="6F06256A"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 xml:space="preserve">Strategija razvoja mikro, malih i srednjih preduzeća u Crnoj Gori 2018-2022. godine Strategija za digitalizaciju obrazovnog sistema 2022 - 2027. godine </w:t>
            </w:r>
          </w:p>
          <w:p w14:paraId="59D65069"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 xml:space="preserve">Strategija reforme javne uprave 2022 – 2026. godine </w:t>
            </w:r>
          </w:p>
          <w:p w14:paraId="0DD7C48F" w14:textId="77777777" w:rsidR="00AE7DE0" w:rsidRPr="00815F93"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Strategija sajber bezbjednosti Crne Gore 2022-2026. godine</w:t>
            </w:r>
          </w:p>
          <w:p w14:paraId="299C5175" w14:textId="77777777" w:rsidR="00AE7DE0" w:rsidRPr="00925FEB" w:rsidRDefault="00AE7DE0" w:rsidP="00A26279">
            <w:pPr>
              <w:tabs>
                <w:tab w:val="left" w:pos="270"/>
              </w:tabs>
              <w:rPr>
                <w:rFonts w:ascii="Arial" w:hAnsi="Arial" w:cs="Arial"/>
                <w:b w:val="0"/>
                <w:sz w:val="20"/>
                <w:szCs w:val="20"/>
                <w:lang w:val="it-IT"/>
              </w:rPr>
            </w:pPr>
          </w:p>
          <w:p w14:paraId="6CEDAF1F" w14:textId="77777777" w:rsidR="00AE7DE0" w:rsidRPr="00925FEB" w:rsidRDefault="00AE7DE0" w:rsidP="00AE7DE0">
            <w:pPr>
              <w:pStyle w:val="ListParagraph"/>
              <w:numPr>
                <w:ilvl w:val="0"/>
                <w:numId w:val="68"/>
              </w:numPr>
              <w:tabs>
                <w:tab w:val="left" w:pos="270"/>
              </w:tabs>
              <w:spacing w:after="0" w:line="240" w:lineRule="auto"/>
              <w:contextualSpacing w:val="0"/>
              <w:jc w:val="both"/>
              <w:rPr>
                <w:b w:val="0"/>
                <w:lang w:val="it-IT"/>
              </w:rPr>
            </w:pPr>
            <w:r w:rsidRPr="00925FEB">
              <w:rPr>
                <w:rFonts w:ascii="Arial" w:hAnsi="Arial" w:cs="Arial"/>
                <w:b w:val="0"/>
                <w:sz w:val="20"/>
                <w:szCs w:val="20"/>
                <w:lang w:val="it-IT"/>
              </w:rPr>
              <w:t xml:space="preserve">Tokom izrade predloga Strategije digitalne transformacije Crne Gore 2022-2026. razmotren je </w:t>
            </w:r>
            <w:r>
              <w:rPr>
                <w:rFonts w:ascii="Arial" w:hAnsi="Arial" w:cs="Arial"/>
                <w:b w:val="0"/>
                <w:sz w:val="20"/>
                <w:szCs w:val="20"/>
                <w:lang w:val="it-IT"/>
              </w:rPr>
              <w:t xml:space="preserve">i </w:t>
            </w:r>
            <w:r w:rsidRPr="00925FEB">
              <w:rPr>
                <w:rFonts w:ascii="Arial" w:hAnsi="Arial" w:cs="Arial"/>
                <w:b w:val="0"/>
                <w:sz w:val="20"/>
                <w:szCs w:val="20"/>
                <w:lang w:val="it-IT"/>
              </w:rPr>
              <w:t>širi strateški okvir Evropske unije koji je uzet u obzir prilikom definisanja ciljeva i akcija. Najopsežniji i najrelevantniji strateški dokument koji je analiziran je dokument Digitalna decenija Evrope: digitalni ciljevi za 2030. Dokument postavlja viziju digitalne transformacije Evrope do 2030. Budući da je veliki dio Strategije digitalne transformacije direktno ili indirektno povezan sa podacima, u pripremi Strategije koristila se Evropska strategiju podataka kao osnova za usklađivanje prema evropskim ciljevima. Evropska agenda vještina</w:t>
            </w:r>
            <w:r w:rsidRPr="00FA373D">
              <w:rPr>
                <w:rFonts w:ascii="Arial" w:hAnsi="Arial" w:cs="Arial"/>
                <w:b w:val="0"/>
                <w:sz w:val="20"/>
                <w:szCs w:val="20"/>
                <w:lang w:val="it-IT"/>
              </w:rPr>
              <w:t>,</w:t>
            </w:r>
            <w:r w:rsidRPr="00925FEB">
              <w:rPr>
                <w:rFonts w:ascii="Arial" w:hAnsi="Arial" w:cs="Arial"/>
                <w:b w:val="0"/>
                <w:sz w:val="20"/>
                <w:szCs w:val="20"/>
                <w:lang w:val="it-IT"/>
              </w:rPr>
              <w:t xml:space="preserve"> sa ciljevima koje treba postići do 2025. godine </w:t>
            </w:r>
            <w:r w:rsidRPr="00FA373D">
              <w:rPr>
                <w:rFonts w:ascii="Arial" w:hAnsi="Arial" w:cs="Arial"/>
                <w:b w:val="0"/>
                <w:sz w:val="20"/>
                <w:szCs w:val="20"/>
                <w:lang w:val="it-IT"/>
              </w:rPr>
              <w:t>p</w:t>
            </w:r>
            <w:r w:rsidRPr="00925FEB">
              <w:rPr>
                <w:rFonts w:ascii="Arial" w:hAnsi="Arial" w:cs="Arial"/>
                <w:b w:val="0"/>
                <w:sz w:val="20"/>
                <w:szCs w:val="20"/>
                <w:lang w:val="it-IT"/>
              </w:rPr>
              <w:t xml:space="preserve">redstavlja </w:t>
            </w:r>
            <w:r>
              <w:rPr>
                <w:rFonts w:ascii="Arial" w:hAnsi="Arial" w:cs="Arial"/>
                <w:b w:val="0"/>
                <w:sz w:val="20"/>
                <w:szCs w:val="20"/>
                <w:lang w:val="it-IT"/>
              </w:rPr>
              <w:t xml:space="preserve">takođe jedan od važnijih krovnih </w:t>
            </w:r>
            <w:r w:rsidRPr="00925FEB">
              <w:rPr>
                <w:rFonts w:ascii="Arial" w:hAnsi="Arial" w:cs="Arial"/>
                <w:b w:val="0"/>
                <w:sz w:val="20"/>
                <w:szCs w:val="20"/>
                <w:lang w:val="it-IT"/>
              </w:rPr>
              <w:t>strateški</w:t>
            </w:r>
            <w:r>
              <w:rPr>
                <w:rFonts w:ascii="Arial" w:hAnsi="Arial" w:cs="Arial"/>
                <w:b w:val="0"/>
                <w:sz w:val="20"/>
                <w:szCs w:val="20"/>
                <w:lang w:val="it-IT"/>
              </w:rPr>
              <w:t>h</w:t>
            </w:r>
            <w:r w:rsidRPr="00925FEB">
              <w:rPr>
                <w:rFonts w:ascii="Arial" w:hAnsi="Arial" w:cs="Arial"/>
                <w:b w:val="0"/>
                <w:sz w:val="20"/>
                <w:szCs w:val="20"/>
                <w:lang w:val="it-IT"/>
              </w:rPr>
              <w:t xml:space="preserve"> okvir</w:t>
            </w:r>
            <w:r>
              <w:rPr>
                <w:rFonts w:ascii="Arial" w:hAnsi="Arial" w:cs="Arial"/>
                <w:b w:val="0"/>
                <w:sz w:val="20"/>
                <w:szCs w:val="20"/>
                <w:lang w:val="it-IT"/>
              </w:rPr>
              <w:t>a</w:t>
            </w:r>
            <w:r w:rsidRPr="00925FEB">
              <w:rPr>
                <w:rFonts w:ascii="Arial" w:hAnsi="Arial" w:cs="Arial"/>
                <w:b w:val="0"/>
                <w:sz w:val="20"/>
                <w:szCs w:val="20"/>
                <w:lang w:val="it-IT"/>
              </w:rPr>
              <w:t xml:space="preserve"> koji će voditi Strategiju digitalne transformacije Crne Gore. Konkretnije, politika Akcioni plan za digitalno obrazovanje je razvijen kako bi se pojednostavile akcije za postizanje ciljeva evropskih zemalja u digitalnom području za period 2021-2027. Takođe, ovaj dokument je razmatran i u procesu izrade Strategije.</w:t>
            </w:r>
          </w:p>
          <w:p w14:paraId="75642C3F" w14:textId="77777777" w:rsidR="00AE7DE0" w:rsidRPr="00925FEB" w:rsidRDefault="00AE7DE0" w:rsidP="00A26279">
            <w:pPr>
              <w:tabs>
                <w:tab w:val="left" w:pos="270"/>
              </w:tabs>
              <w:rPr>
                <w:rStyle w:val="fontstyle01"/>
                <w:rFonts w:ascii="Arial" w:hAnsi="Arial" w:cs="Arial"/>
                <w:b w:val="0"/>
                <w:sz w:val="20"/>
                <w:szCs w:val="20"/>
                <w:lang w:val="it-IT"/>
              </w:rPr>
            </w:pPr>
          </w:p>
          <w:p w14:paraId="1F0273FC" w14:textId="77777777" w:rsidR="00AE7DE0" w:rsidRPr="009A08E9"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925FEB">
              <w:rPr>
                <w:rFonts w:ascii="Arial" w:hAnsi="Arial" w:cs="Arial"/>
                <w:b w:val="0"/>
                <w:sz w:val="20"/>
                <w:szCs w:val="20"/>
                <w:lang w:val="it-IT"/>
              </w:rPr>
              <w:t xml:space="preserve">Evropska industrijska strategija naglašava i podržava inovacije u različitim ekosistemima, malim i srednjim preduzećima (MSP) i fokusira se i na start-up preduzeća, </w:t>
            </w:r>
            <w:r>
              <w:rPr>
                <w:rFonts w:ascii="Arial" w:hAnsi="Arial" w:cs="Arial"/>
                <w:b w:val="0"/>
                <w:sz w:val="20"/>
                <w:szCs w:val="20"/>
                <w:lang w:val="it-IT"/>
              </w:rPr>
              <w:t xml:space="preserve">pa </w:t>
            </w:r>
            <w:r w:rsidRPr="00925FEB">
              <w:rPr>
                <w:rFonts w:ascii="Arial" w:hAnsi="Arial" w:cs="Arial"/>
                <w:b w:val="0"/>
                <w:sz w:val="20"/>
                <w:szCs w:val="20"/>
                <w:lang w:val="it-IT"/>
              </w:rPr>
              <w:t xml:space="preserve">ovaj dokument takođe predstavlja jedan od najvažnijih EU dokumenata koje treba slijediti u procesu izrade ali i sprovođenja Strategije digitalne transformacije Crne Gore. Potreba za jačanjem IKT sektora u Crnoj Gori prepoznata je kao jedan od najvažnijih izazova ali i potencijala u situacionoj analizi. Kada je riječ o regionalnom nivou Zapadnog Balkana - Zajedničko regionalno tržište je izgrađeno na dostignućima Regionalnog ekonomskog prostora. Ono predstavlja odskočnu dasku za bližu integraciju regiona sa jedinstvenim tržištem EU prije pristupanja. Konkretnije, Zajednički regionalni akcioni plan tržišta 2021-2024.7 razmatran je kao osnova za definisanje operativnih ciljeva i akcija u oblasti podataka i jačanja IKT sektora. Pored svih navedenih strateških dokumenata EU, u pripremi ovog strateškog dokumenta, razmatrani su i prioriteti postavljene od strane aktuelne Evropske komisije za period 2019-2024. </w:t>
            </w:r>
          </w:p>
          <w:p w14:paraId="3C285134" w14:textId="77777777" w:rsidR="00AE7DE0" w:rsidRPr="009A08E9" w:rsidRDefault="00AE7DE0" w:rsidP="00A26279">
            <w:pPr>
              <w:tabs>
                <w:tab w:val="left" w:pos="270"/>
              </w:tabs>
              <w:rPr>
                <w:rFonts w:ascii="Arial" w:hAnsi="Arial" w:cs="Arial"/>
                <w:sz w:val="20"/>
                <w:szCs w:val="20"/>
                <w:lang w:val="it-IT"/>
              </w:rPr>
            </w:pPr>
          </w:p>
          <w:p w14:paraId="71C01CBE" w14:textId="77777777" w:rsidR="00AE7DE0" w:rsidRPr="00925FEB"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Č</w:t>
            </w:r>
            <w:r w:rsidRPr="00925FEB">
              <w:rPr>
                <w:rFonts w:ascii="Arial" w:hAnsi="Arial" w:cs="Arial"/>
                <w:b w:val="0"/>
                <w:sz w:val="20"/>
                <w:szCs w:val="20"/>
                <w:lang w:val="it-IT"/>
              </w:rPr>
              <w:t>etiri direktive EU iz oblasti podataka postavljene su kao osnova za definisanje ciljeva i aktivnosti za poboljšanje dostupnosti i interoperabilnosti podataka i unapređenje kvaliteta, količine i upotrebe e-usluga:</w:t>
            </w:r>
          </w:p>
          <w:p w14:paraId="721B9198"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925FEB">
              <w:rPr>
                <w:rFonts w:ascii="Arial" w:hAnsi="Arial" w:cs="Arial"/>
                <w:b w:val="0"/>
                <w:sz w:val="20"/>
                <w:szCs w:val="20"/>
                <w:lang w:val="it-IT"/>
              </w:rPr>
              <w:t>Direktiva 2013/37/EU8 Evropskog parlamenta i Savjeta od 26. juna 2013. o izmjeni Direktive 2003/98/EC o ponovnoj upotrebi informacija iz javnog sektora;</w:t>
            </w:r>
          </w:p>
          <w:p w14:paraId="26AD55B4"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925FEB">
              <w:rPr>
                <w:rFonts w:ascii="Arial" w:hAnsi="Arial" w:cs="Arial"/>
                <w:b w:val="0"/>
                <w:sz w:val="20"/>
                <w:szCs w:val="20"/>
                <w:lang w:val="it-IT"/>
              </w:rPr>
              <w:t>Direktiva (EU) 2019/10249 Evropskog parlamenta i Savjeta od 20. juna 2019. o otvorenim podacima i ponovnoj upotrebi informacija iz javnog sektora</w:t>
            </w:r>
            <w:r>
              <w:rPr>
                <w:rFonts w:ascii="Arial" w:hAnsi="Arial" w:cs="Arial"/>
                <w:b w:val="0"/>
                <w:sz w:val="20"/>
                <w:szCs w:val="20"/>
                <w:lang w:val="it-IT"/>
              </w:rPr>
              <w:t>;</w:t>
            </w:r>
          </w:p>
          <w:p w14:paraId="62BD9A01" w14:textId="77777777" w:rsidR="00AE7DE0" w:rsidRPr="00925FEB"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925FEB">
              <w:rPr>
                <w:rFonts w:ascii="Arial" w:hAnsi="Arial" w:cs="Arial"/>
                <w:b w:val="0"/>
                <w:sz w:val="20"/>
                <w:szCs w:val="20"/>
                <w:lang w:val="it-IT"/>
              </w:rPr>
              <w:t>Uredba (EU) 2018/180710 Evropskog parlamenta i Savjeta od 14. novembra 2018. o okviru za slobodan protok ne-ličnih podataka u Evropskoj uniji</w:t>
            </w:r>
            <w:r>
              <w:rPr>
                <w:rFonts w:ascii="Arial" w:hAnsi="Arial" w:cs="Arial"/>
                <w:b w:val="0"/>
                <w:sz w:val="20"/>
                <w:szCs w:val="20"/>
                <w:lang w:val="it-IT"/>
              </w:rPr>
              <w:t>;</w:t>
            </w:r>
          </w:p>
          <w:p w14:paraId="1EC9FA5F" w14:textId="77777777" w:rsidR="00AE7DE0" w:rsidRPr="00651339" w:rsidRDefault="00AE7DE0" w:rsidP="00AE7DE0">
            <w:pPr>
              <w:pStyle w:val="ListParagraph"/>
              <w:numPr>
                <w:ilvl w:val="1"/>
                <w:numId w:val="68"/>
              </w:numPr>
              <w:tabs>
                <w:tab w:val="left" w:pos="270"/>
              </w:tabs>
              <w:spacing w:after="0" w:line="240" w:lineRule="auto"/>
              <w:contextualSpacing w:val="0"/>
              <w:jc w:val="both"/>
              <w:rPr>
                <w:rFonts w:ascii="Arial" w:hAnsi="Arial" w:cs="Arial"/>
                <w:b w:val="0"/>
                <w:bCs w:val="0"/>
                <w:sz w:val="20"/>
                <w:szCs w:val="20"/>
                <w:lang w:val="it-IT"/>
              </w:rPr>
            </w:pPr>
            <w:r w:rsidRPr="00925FEB">
              <w:rPr>
                <w:rFonts w:ascii="Arial" w:hAnsi="Arial" w:cs="Arial"/>
                <w:b w:val="0"/>
                <w:sz w:val="20"/>
                <w:szCs w:val="20"/>
                <w:lang w:val="it-IT"/>
              </w:rPr>
              <w:t>Uredba (EU) 2016/67911 Evropskog parlamenta i Savjeta od 27. aprila 2016. o zaštiti fizičkih lica u vezi sa obradom ličnih podataka i o slobodnom kretanju tih podataka i stavljanju van snage Direktive 95/46/ EC – Opšta uredba</w:t>
            </w:r>
            <w:r w:rsidRPr="00A87E60">
              <w:rPr>
                <w:rFonts w:ascii="Arial" w:hAnsi="Arial" w:cs="Arial"/>
                <w:b w:val="0"/>
                <w:sz w:val="20"/>
                <w:szCs w:val="20"/>
                <w:lang w:val="it-IT"/>
              </w:rPr>
              <w:t xml:space="preserve"> o zaštiti podataka</w:t>
            </w:r>
            <w:r>
              <w:rPr>
                <w:rFonts w:ascii="Arial" w:hAnsi="Arial" w:cs="Arial"/>
                <w:b w:val="0"/>
                <w:sz w:val="20"/>
                <w:szCs w:val="20"/>
                <w:lang w:val="it-IT"/>
              </w:rPr>
              <w:t>.</w:t>
            </w:r>
          </w:p>
          <w:p w14:paraId="4596D877" w14:textId="77777777" w:rsidR="00AE7DE0" w:rsidRPr="008669B9" w:rsidRDefault="00AE7DE0" w:rsidP="00A26279">
            <w:pPr>
              <w:pStyle w:val="ListParagraph"/>
              <w:tabs>
                <w:tab w:val="left" w:pos="270"/>
              </w:tabs>
              <w:ind w:left="630"/>
              <w:rPr>
                <w:rFonts w:ascii="Arial" w:hAnsi="Arial" w:cs="Arial"/>
                <w:b w:val="0"/>
                <w:bCs w:val="0"/>
                <w:sz w:val="20"/>
                <w:szCs w:val="20"/>
                <w:lang w:val="it-IT"/>
              </w:rPr>
            </w:pPr>
          </w:p>
        </w:tc>
      </w:tr>
      <w:tr w:rsidR="00AE7DE0" w:rsidRPr="0052159A" w14:paraId="0F09CF2B"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2DB1BCB8" w14:textId="77777777" w:rsidR="00AE7DE0" w:rsidRPr="00817808" w:rsidRDefault="00AE7DE0" w:rsidP="00A26279">
            <w:pPr>
              <w:autoSpaceDE w:val="0"/>
              <w:autoSpaceDN w:val="0"/>
              <w:adjustRightInd w:val="0"/>
              <w:spacing w:before="120" w:after="120"/>
              <w:rPr>
                <w:rFonts w:ascii="Arial" w:hAnsi="Arial" w:cs="Arial"/>
                <w:b w:val="0"/>
                <w:color w:val="365F91" w:themeColor="accent1" w:themeShade="BF"/>
                <w:sz w:val="20"/>
                <w:szCs w:val="20"/>
              </w:rPr>
            </w:pPr>
            <w:r w:rsidRPr="00DB4960">
              <w:rPr>
                <w:rFonts w:ascii="Arial" w:hAnsi="Arial" w:cs="Arial"/>
                <w:sz w:val="20"/>
                <w:szCs w:val="20"/>
                <w:lang w:val="it-IT"/>
              </w:rPr>
              <w:br w:type="page"/>
            </w:r>
            <w:r w:rsidRPr="00817808">
              <w:rPr>
                <w:rFonts w:ascii="Arial" w:hAnsi="Arial" w:cs="Arial"/>
                <w:color w:val="365F91" w:themeColor="accent1" w:themeShade="BF"/>
                <w:sz w:val="20"/>
                <w:szCs w:val="20"/>
              </w:rPr>
              <w:t>3. Opcije</w:t>
            </w:r>
          </w:p>
          <w:p w14:paraId="16A1AA60" w14:textId="77777777" w:rsidR="00AE7DE0" w:rsidRPr="00F15F1C"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Koje su moguće opcije za ispunjavanje ciljeva i rješavanje problema? (uvijek treba razmatrati “status quo” opciju i preporučljivo je uključiti i neregulatornu opciju, osim ako postoji obaveza donošenja predloženog propisa).</w:t>
            </w:r>
          </w:p>
          <w:p w14:paraId="5311DBF2" w14:textId="77777777" w:rsidR="00AE7DE0" w:rsidRPr="00817808"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Obrazložiti preferiranu opciju?</w:t>
            </w:r>
          </w:p>
          <w:p w14:paraId="6F2FC028" w14:textId="77777777" w:rsidR="00AE7DE0" w:rsidRPr="00817808" w:rsidRDefault="00AE7DE0" w:rsidP="00A26279">
            <w:pPr>
              <w:autoSpaceDE w:val="0"/>
              <w:autoSpaceDN w:val="0"/>
              <w:adjustRightInd w:val="0"/>
              <w:contextualSpacing/>
              <w:rPr>
                <w:rFonts w:ascii="Arial" w:hAnsi="Arial" w:cs="Arial"/>
                <w:color w:val="365F91" w:themeColor="accent1" w:themeShade="BF"/>
                <w:sz w:val="20"/>
                <w:szCs w:val="20"/>
              </w:rPr>
            </w:pPr>
          </w:p>
          <w:p w14:paraId="15EBB84B" w14:textId="77777777" w:rsidR="00AE7DE0" w:rsidRPr="00817808" w:rsidRDefault="00AE7DE0" w:rsidP="00A26279">
            <w:pPr>
              <w:autoSpaceDE w:val="0"/>
              <w:autoSpaceDN w:val="0"/>
              <w:adjustRightInd w:val="0"/>
              <w:contextualSpacing/>
              <w:rPr>
                <w:rFonts w:ascii="Arial" w:hAnsi="Arial" w:cs="Arial"/>
                <w:color w:val="365F91" w:themeColor="accent1" w:themeShade="BF"/>
                <w:sz w:val="20"/>
                <w:szCs w:val="20"/>
              </w:rPr>
            </w:pPr>
          </w:p>
        </w:tc>
      </w:tr>
      <w:tr w:rsidR="00AE7DE0" w:rsidRPr="0047726C" w14:paraId="23F65F78" w14:textId="77777777" w:rsidTr="00AE7D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065D67C3" w14:textId="77777777" w:rsidR="00AE7DE0" w:rsidRPr="00FC3D7B" w:rsidRDefault="00AE7DE0" w:rsidP="00A26279">
            <w:pPr>
              <w:autoSpaceDE w:val="0"/>
              <w:autoSpaceDN w:val="0"/>
              <w:adjustRightInd w:val="0"/>
              <w:contextualSpacing/>
              <w:rPr>
                <w:rFonts w:ascii="Arial" w:hAnsi="Arial" w:cs="Arial"/>
                <w:b w:val="0"/>
                <w:color w:val="365F91" w:themeColor="accent1" w:themeShade="BF"/>
                <w:sz w:val="16"/>
                <w:szCs w:val="16"/>
                <w:lang w:val="it-IT"/>
              </w:rPr>
            </w:pPr>
          </w:p>
          <w:p w14:paraId="48624DB9" w14:textId="77777777" w:rsidR="00AE7DE0" w:rsidRPr="00FC3D7B"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FC3D7B">
              <w:rPr>
                <w:rFonts w:ascii="Arial" w:hAnsi="Arial" w:cs="Arial"/>
                <w:b w:val="0"/>
                <w:sz w:val="20"/>
                <w:szCs w:val="20"/>
                <w:lang w:val="it-IT"/>
              </w:rPr>
              <w:t xml:space="preserve">Puna implementacija aktivnosti koje su predviđene Akcionim planom je jedina opcija za prevazilaženje identifikovanih problema i postizanje postavljenih ciljeva. Ukoliko se ne ispune ciljevi, ne može se ni govoriti o digitalno transformisanom društvu. Sprovođenje digitalnih transformacija i razvoj digitalnog društva podrazumijeva kontinuriano sprovođenje postavljenih ciljeva. Takođe, programom rada Vlade, predviđeno je da se u IV kvartalu 2021. godine usvoji Strategija digitalne transformacije koja će trasirati put i dati jasne smjernice promjena koje ona za sobom nosi. </w:t>
            </w:r>
          </w:p>
          <w:p w14:paraId="7E4CA0A6" w14:textId="77777777" w:rsidR="00AE7DE0" w:rsidRPr="00FC3D7B" w:rsidRDefault="00AE7DE0" w:rsidP="00A26279">
            <w:pPr>
              <w:pStyle w:val="ListParagraph"/>
              <w:tabs>
                <w:tab w:val="left" w:pos="270"/>
              </w:tabs>
              <w:ind w:left="630"/>
              <w:rPr>
                <w:rFonts w:ascii="Arial" w:hAnsi="Arial" w:cs="Arial"/>
                <w:b w:val="0"/>
                <w:sz w:val="20"/>
                <w:szCs w:val="20"/>
                <w:lang w:val="it-IT"/>
              </w:rPr>
            </w:pPr>
          </w:p>
          <w:p w14:paraId="5CBBF677" w14:textId="77777777" w:rsidR="00AE7DE0" w:rsidRPr="00FC3D7B" w:rsidRDefault="00AE7DE0" w:rsidP="00AE7DE0">
            <w:pPr>
              <w:pStyle w:val="ListParagraph"/>
              <w:numPr>
                <w:ilvl w:val="0"/>
                <w:numId w:val="68"/>
              </w:numPr>
              <w:tabs>
                <w:tab w:val="left" w:pos="270"/>
              </w:tabs>
              <w:spacing w:after="0" w:line="240" w:lineRule="auto"/>
              <w:contextualSpacing w:val="0"/>
              <w:jc w:val="both"/>
              <w:rPr>
                <w:rFonts w:ascii="Arial" w:hAnsi="Arial" w:cs="Arial"/>
                <w:b w:val="0"/>
                <w:bCs w:val="0"/>
                <w:sz w:val="20"/>
                <w:szCs w:val="20"/>
                <w:lang w:val="it-IT"/>
              </w:rPr>
            </w:pPr>
            <w:r w:rsidRPr="00FC3D7B">
              <w:rPr>
                <w:rFonts w:ascii="Arial" w:hAnsi="Arial" w:cs="Arial"/>
                <w:b w:val="0"/>
                <w:sz w:val="20"/>
                <w:szCs w:val="20"/>
                <w:lang w:val="it-IT"/>
              </w:rPr>
              <w:t xml:space="preserve">U sprovođenju definisanih ciljeva i generalno postizanju ciljeva predložene Strategije digitalne transformacije 2022-2026, nisu samo definisane regulatorne već i neregulatorne opcije, koje će dati rezultate i pokazati koji su to benefiti kada je riječ o digitalnoj transformaicji društva. Tako su i akvitnosti precizirane nakon sveobuhvatne analize i planiranja realizacije pojedinih elektronskih usluga, koje su pokazale značajno ostvarenje benefita, veće finansijske efekte, zadovoljstvo korisnika, kada se te usluge sprovode online, u odnosu na tradicionalni način, ili “status quo” (kako su se do sada realizovale).  </w:t>
            </w:r>
          </w:p>
          <w:p w14:paraId="31EB1E4E" w14:textId="77777777" w:rsidR="00AE7DE0" w:rsidRPr="001B3608" w:rsidRDefault="00AE7DE0" w:rsidP="00A26279">
            <w:pPr>
              <w:tabs>
                <w:tab w:val="left" w:pos="270"/>
              </w:tabs>
              <w:rPr>
                <w:rFonts w:ascii="Arial" w:hAnsi="Arial" w:cs="Arial"/>
                <w:sz w:val="20"/>
                <w:szCs w:val="20"/>
                <w:lang w:val="it-IT"/>
              </w:rPr>
            </w:pPr>
          </w:p>
        </w:tc>
      </w:tr>
      <w:tr w:rsidR="00AE7DE0" w:rsidRPr="0052159A" w14:paraId="34661BCF"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3DB93CDC" w14:textId="77777777" w:rsidR="00AE7DE0" w:rsidRPr="00817808" w:rsidRDefault="00AE7DE0" w:rsidP="00A26279">
            <w:pPr>
              <w:autoSpaceDE w:val="0"/>
              <w:autoSpaceDN w:val="0"/>
              <w:adjustRightInd w:val="0"/>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4. Analiza uticaja</w:t>
            </w:r>
          </w:p>
          <w:p w14:paraId="06609B98" w14:textId="77777777" w:rsidR="00AE7DE0" w:rsidRPr="00817808"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Na koga će i kako će najvjerovatnije uticati rješenja u propisu - nabrojati pozitivne i negativne uticaje, direktne i indirektne.</w:t>
            </w:r>
          </w:p>
          <w:p w14:paraId="433DB743" w14:textId="77777777" w:rsidR="00AE7DE0" w:rsidRPr="00F15F1C"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Koje troškove će primjena propisa izazvati građanima i privredi (naročito malim i srednjim preduzećima).</w:t>
            </w:r>
          </w:p>
          <w:p w14:paraId="31AC6327" w14:textId="77777777" w:rsidR="00AE7DE0" w:rsidRPr="00F15F1C"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Da li pozitivne posljedice donošenja propisa opravdavaju troškove koje će on stvoriti.</w:t>
            </w:r>
          </w:p>
          <w:p w14:paraId="3D649287" w14:textId="77777777" w:rsidR="00AE7DE0" w:rsidRPr="00F15F1C" w:rsidRDefault="00AE7DE0" w:rsidP="00AE7DE0">
            <w:pPr>
              <w:pStyle w:val="ListParagraph"/>
              <w:numPr>
                <w:ilvl w:val="0"/>
                <w:numId w:val="68"/>
              </w:numPr>
              <w:autoSpaceDE w:val="0"/>
              <w:autoSpaceDN w:val="0"/>
              <w:adjustRightInd w:val="0"/>
              <w:spacing w:after="0" w:line="240" w:lineRule="auto"/>
              <w:jc w:val="both"/>
              <w:rPr>
                <w:rFonts w:ascii="Arial" w:hAnsi="Arial" w:cs="Arial"/>
                <w:b w:val="0"/>
                <w:color w:val="365F91" w:themeColor="accent1" w:themeShade="BF"/>
                <w:sz w:val="20"/>
                <w:szCs w:val="20"/>
                <w:lang w:val="it-IT"/>
              </w:rPr>
            </w:pPr>
            <w:r w:rsidRPr="00F15F1C">
              <w:rPr>
                <w:rFonts w:ascii="Arial" w:hAnsi="Arial" w:cs="Arial"/>
                <w:color w:val="365F91" w:themeColor="accent1" w:themeShade="BF"/>
                <w:sz w:val="20"/>
                <w:szCs w:val="20"/>
                <w:lang w:val="it-IT"/>
              </w:rPr>
              <w:t>Da li se propisom podržava stvaranje novih privrednih subjekata na tržištu i tržišna konkurencija.</w:t>
            </w:r>
          </w:p>
          <w:p w14:paraId="56562A32" w14:textId="77777777" w:rsidR="00AE7DE0" w:rsidRPr="00817808"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Uključiti procjenu administrativnih opterećenja i biznis barijera.</w:t>
            </w:r>
          </w:p>
          <w:p w14:paraId="429DA23F" w14:textId="77777777" w:rsidR="00AE7DE0" w:rsidRPr="00817808" w:rsidRDefault="00AE7DE0" w:rsidP="00A26279">
            <w:pPr>
              <w:pStyle w:val="ListParagraph"/>
              <w:autoSpaceDE w:val="0"/>
              <w:autoSpaceDN w:val="0"/>
              <w:adjustRightInd w:val="0"/>
              <w:rPr>
                <w:rFonts w:ascii="Arial" w:hAnsi="Arial" w:cs="Arial"/>
                <w:color w:val="365F91" w:themeColor="accent1" w:themeShade="BF"/>
                <w:sz w:val="20"/>
                <w:szCs w:val="20"/>
              </w:rPr>
            </w:pPr>
          </w:p>
        </w:tc>
      </w:tr>
      <w:tr w:rsidR="00AE7DE0" w:rsidRPr="00032089" w14:paraId="4B157CB1" w14:textId="77777777" w:rsidTr="00AE7DE0">
        <w:trPr>
          <w:cnfStyle w:val="000000010000" w:firstRow="0" w:lastRow="0" w:firstColumn="0" w:lastColumn="0" w:oddVBand="0" w:evenVBand="0" w:oddHBand="0" w:evenHBand="1"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4C45B4A2" w14:textId="77777777" w:rsidR="00AE7DE0" w:rsidRPr="00787F18" w:rsidRDefault="00AE7DE0" w:rsidP="00A26279">
            <w:pPr>
              <w:autoSpaceDE w:val="0"/>
              <w:autoSpaceDN w:val="0"/>
              <w:adjustRightInd w:val="0"/>
              <w:contextualSpacing/>
              <w:rPr>
                <w:rFonts w:ascii="Arial" w:hAnsi="Arial" w:cs="Arial"/>
                <w:b w:val="0"/>
                <w:sz w:val="20"/>
                <w:szCs w:val="20"/>
                <w:lang w:val="it-IT"/>
              </w:rPr>
            </w:pPr>
          </w:p>
          <w:p w14:paraId="292F7BED"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Kreiranjem digitalnog društva i kompletnom digitalnom transformacijom društva benefite će osjetiti sve kategorije jednog društva – počev od građana koji će imati mogućnosti da koriste e-usluge, preko privrede koja će se podsticati da koristi IKT ali i da razvija rješenja i jača svoje kapacitete a time i stvara konkurentsku poziciju, do uprave i zaposlenih u upravi, nevladinih organizacija i sl. Digitalna transformacija predstavlja sveobuhvatan proces, koji ne smije da preskoči ni jednu kariku u društvu. </w:t>
            </w:r>
          </w:p>
          <w:p w14:paraId="1DB1FB1B" w14:textId="77777777" w:rsidR="00AE7DE0" w:rsidRPr="00787F18" w:rsidRDefault="00AE7DE0" w:rsidP="00A26279">
            <w:pPr>
              <w:pStyle w:val="ListParagraph"/>
              <w:tabs>
                <w:tab w:val="left" w:pos="270"/>
              </w:tabs>
              <w:ind w:left="630"/>
              <w:rPr>
                <w:rFonts w:ascii="Arial" w:hAnsi="Arial" w:cs="Arial"/>
                <w:b w:val="0"/>
                <w:sz w:val="20"/>
                <w:szCs w:val="20"/>
                <w:lang w:val="it-IT"/>
              </w:rPr>
            </w:pPr>
          </w:p>
          <w:p w14:paraId="4FFB03A3"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Sa efikasnim digitalnim okruženjem, koje će stvoriti pozitivne uticaje na ekonomski razvoj, doprinijeće se i razvoju društva u cjelini. Iz tog razloga, Strategija digitalne transformacije se ne smije nikako shvatiti kao tehničko-razvojna strategija, već je jedan od ključnih političkih, ali i razvojnih dokumenata, koji takođe čini osnovu za političke odluke, promjene u normativnom okruženju, ulaganja i podsticaje.</w:t>
            </w:r>
          </w:p>
          <w:p w14:paraId="6BC77355" w14:textId="77777777" w:rsidR="00AE7DE0" w:rsidRPr="00787F18" w:rsidRDefault="00AE7DE0" w:rsidP="00A26279">
            <w:pPr>
              <w:pStyle w:val="ListParagraph"/>
              <w:rPr>
                <w:rFonts w:ascii="Arial" w:hAnsi="Arial" w:cs="Arial"/>
                <w:b w:val="0"/>
                <w:sz w:val="20"/>
                <w:szCs w:val="20"/>
                <w:lang w:val="it-IT"/>
              </w:rPr>
            </w:pPr>
          </w:p>
          <w:p w14:paraId="5DA06C07"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Koristi koje će se osjetiti realizacijom Strategije digitane transformacije Crne Gore 2022-2026 su višestruke. One će se osjetiti u svim segmentima, i kod svih učesnika ovog procesa. Transformacija počinje od same javne uprave i donosioca strateških odluka. U tom smislu, implementacijom strategije će se povećati kvalitet dostupnih elektronskih servisa koji su neophodni građanima i privredi, a sa druge ti servisi će biti pristupačniji i vidjljiviji kako bi se povećala njihovu upotrebu. Građani će usluge realizovati jednostavno, u digitalnom okruženju, povećaće se nivo digitalne pismenosti kako bi se koristile digitalne usluge ali i zaštitili od potencijalnih šteta digitalnog doba. Crna Gora ima potencijal da bude konkurentna na globalnom tržištu kada je u pitanju IT sektor, a odgovarajuće mjere podrške mogle bi doprinijeti da on postane nova jaka privredna grana sa visokim izvoznim potencijalom, da IT sektor i digitalizacija postanu katalizatori razvoja inovativne privrede, da IT sektor osnaži tradicionalne jake privredne grane, kao i da IT sektor bude u funkciji digitalne transformacije Crne Gore.</w:t>
            </w:r>
          </w:p>
          <w:p w14:paraId="6E5D34F6" w14:textId="77777777" w:rsidR="00AE7DE0" w:rsidRPr="00787F18" w:rsidRDefault="00AE7DE0" w:rsidP="00A26279">
            <w:pPr>
              <w:pStyle w:val="ListParagraph"/>
              <w:rPr>
                <w:rFonts w:ascii="Arial" w:hAnsi="Arial" w:cs="Arial"/>
                <w:b w:val="0"/>
                <w:sz w:val="20"/>
                <w:szCs w:val="20"/>
                <w:lang w:val="it-IT"/>
              </w:rPr>
            </w:pPr>
          </w:p>
          <w:p w14:paraId="08C5BB34"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Predloženi Akcioni plan 2022-2023 koji je sastavni dio Strategije digitalne transformacije Crne Gore 2022-2026, je postavio i određene ciljeve koji se odnose na unapređenje i implementaciju usluga od javnog interesa, kojima bi se ostvarile značajne finansijske uštede, kako kod građana, tako i samoj državi. </w:t>
            </w:r>
          </w:p>
          <w:p w14:paraId="24AB7ADB" w14:textId="77777777" w:rsidR="00AE7DE0" w:rsidRPr="00787F18" w:rsidRDefault="00AE7DE0" w:rsidP="00A26279">
            <w:pPr>
              <w:pStyle w:val="ListParagraph"/>
              <w:tabs>
                <w:tab w:val="left" w:pos="270"/>
              </w:tabs>
              <w:ind w:left="630"/>
              <w:rPr>
                <w:rFonts w:ascii="Arial" w:hAnsi="Arial" w:cs="Arial"/>
                <w:b w:val="0"/>
                <w:sz w:val="20"/>
                <w:szCs w:val="20"/>
                <w:lang w:val="it-IT"/>
              </w:rPr>
            </w:pPr>
          </w:p>
          <w:p w14:paraId="6194E98A"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Analiza fiksalnog uticaja obuhvatila je 58 usluga iz različitih kategorija, kao što su e-trgovina, e-turizam, e-registar i sl. a čija je implementacija i/ili unapređenje predloženo Strategijom digitalne transformacije 2022-2026. Usluge su analizirane u zavisnosti i od stepena razvoja ali i kroz različite faze realizacije, kao što su podnošenje zahtjeva, dobijanje rješenja, izdavanje izvoda itd. </w:t>
            </w:r>
          </w:p>
          <w:p w14:paraId="28D04600" w14:textId="77777777" w:rsidR="00AE7DE0" w:rsidRPr="00787F18" w:rsidRDefault="00AE7DE0" w:rsidP="00A26279">
            <w:pPr>
              <w:pStyle w:val="ListParagraph"/>
              <w:tabs>
                <w:tab w:val="left" w:pos="270"/>
              </w:tabs>
              <w:ind w:left="630"/>
              <w:rPr>
                <w:rFonts w:ascii="Arial" w:hAnsi="Arial" w:cs="Arial"/>
                <w:b w:val="0"/>
                <w:sz w:val="20"/>
                <w:szCs w:val="20"/>
                <w:lang w:val="it-IT"/>
              </w:rPr>
            </w:pPr>
          </w:p>
          <w:p w14:paraId="591A32EF"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Neke od analiziranih usluga su i sastavni dio Akcionog pana 2022-2023. Na osnovu dobijenih podataka, jasno je da će se digitalizacijom usluga ostvariti značajna ušteda prije svega za korisnike usluga a posljedično i za pružaoce istih. </w:t>
            </w:r>
          </w:p>
          <w:p w14:paraId="5D20D8DC" w14:textId="77777777" w:rsidR="00AE7DE0" w:rsidRPr="00787F18" w:rsidRDefault="00AE7DE0" w:rsidP="00A26279">
            <w:pPr>
              <w:pStyle w:val="ListParagraph"/>
              <w:tabs>
                <w:tab w:val="left" w:pos="270"/>
              </w:tabs>
              <w:ind w:left="630"/>
              <w:rPr>
                <w:rFonts w:ascii="Arial" w:hAnsi="Arial" w:cs="Arial"/>
                <w:b w:val="0"/>
                <w:sz w:val="20"/>
                <w:szCs w:val="20"/>
                <w:lang w:val="it-IT"/>
              </w:rPr>
            </w:pPr>
          </w:p>
          <w:p w14:paraId="502C4830"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Usluga e-Farmer, omogućava građanima da putem interneta registruju poljoprivredno gazdinstvo, te automatizaciju procesa u vezi sa subvencijama poljoprivredi i prednostima i podrškom koju pružaju IPARD i Ministarstvo poljoprivrede. Ova usluga je analizirana kroz sljedeće faze: </w:t>
            </w:r>
          </w:p>
          <w:p w14:paraId="4DDA323A" w14:textId="77777777" w:rsidR="00AE7DE0" w:rsidRPr="00787F18" w:rsidRDefault="00AE7DE0" w:rsidP="00A26279">
            <w:pPr>
              <w:pStyle w:val="ListParagraph"/>
              <w:tabs>
                <w:tab w:val="left" w:pos="270"/>
              </w:tabs>
              <w:ind w:left="630"/>
              <w:rPr>
                <w:rFonts w:ascii="Arial" w:hAnsi="Arial" w:cs="Arial"/>
                <w:b w:val="0"/>
                <w:sz w:val="20"/>
                <w:szCs w:val="20"/>
                <w:lang w:val="it-IT"/>
              </w:rPr>
            </w:pPr>
          </w:p>
          <w:p w14:paraId="46C5BE46" w14:textId="77777777" w:rsidR="00AE7DE0" w:rsidRPr="00787F18"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Zahtjev za upis u Registar poljoprivrednih gazdinstava - Ušteda za podnošenje jednog  Zahtjeva za upis u RPG je  4,45 EUR. Ukoliko se uzme u obzir da je u 2019. godini ponešeno 2.145 Zahtjeva, odnosno da je u 2020. godini podješeno 2.088 Zahtjeva za upis u RPG,  može se zaključiti da bi se ostvarila ušteda od 9.545,25 EUR, odnosno 9.291,60 EUR na godišnjem nivou.  </w:t>
            </w:r>
          </w:p>
          <w:p w14:paraId="2B217027" w14:textId="77777777" w:rsidR="00AE7DE0" w:rsidRPr="00787F18" w:rsidRDefault="00AE7DE0" w:rsidP="00A26279">
            <w:pPr>
              <w:pStyle w:val="ListParagraph"/>
              <w:tabs>
                <w:tab w:val="left" w:pos="270"/>
              </w:tabs>
              <w:ind w:left="1350"/>
              <w:rPr>
                <w:rFonts w:ascii="Arial" w:hAnsi="Arial" w:cs="Arial"/>
                <w:b w:val="0"/>
                <w:sz w:val="20"/>
                <w:szCs w:val="20"/>
                <w:lang w:val="it-IT"/>
              </w:rPr>
            </w:pPr>
            <w:r w:rsidRPr="00787F18">
              <w:rPr>
                <w:rFonts w:ascii="Arial" w:hAnsi="Arial" w:cs="Arial"/>
                <w:b w:val="0"/>
                <w:sz w:val="20"/>
                <w:szCs w:val="20"/>
                <w:lang w:val="it-IT"/>
              </w:rPr>
              <w:t xml:space="preserve">   </w:t>
            </w:r>
          </w:p>
          <w:p w14:paraId="3CD85126" w14:textId="77777777" w:rsidR="00AE7DE0" w:rsidRPr="00787F18"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Rješenje o upisu u Registar poljoprivrednih gazdinstava (lično preuzimanje Rješenja ili slanje putem Pošte) - Ušteda za izdavanje jednog  Rješenja o upisu u RPG je 2,97 EUR za lično preuzimanje, odnosno 6,47 EUR za slanje putem Pošte. Ukoliko se pretpostavi da su svi izdati Zahtjevi preuzeti lično, a da je u 2019. godini izdato 2.145, odnosno 2.088 Rješenja u 2020. godini, može se zaključiti da bi se ostvarila ušteda od 6.363,50 EUR, odnosno 6.194,40 EUR na godišnjem nivou. Ako se predpostavi da su svi Zahtjevi poslati putem Pošte, godišnja ušteda bi bila 13.871,00 EUR, odnosno 13.502,40 EUR.</w:t>
            </w:r>
          </w:p>
          <w:p w14:paraId="51ADF57F" w14:textId="77777777" w:rsidR="00AE7DE0" w:rsidRPr="00787F18" w:rsidRDefault="00AE7DE0" w:rsidP="00A26279">
            <w:pPr>
              <w:tabs>
                <w:tab w:val="left" w:pos="270"/>
              </w:tabs>
              <w:rPr>
                <w:rFonts w:ascii="Arial" w:hAnsi="Arial" w:cs="Arial"/>
                <w:b w:val="0"/>
                <w:sz w:val="20"/>
                <w:szCs w:val="20"/>
                <w:lang w:val="it-IT"/>
              </w:rPr>
            </w:pPr>
          </w:p>
          <w:p w14:paraId="19AFE90C" w14:textId="77777777" w:rsidR="00AE7DE0" w:rsidRPr="00787F18"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Prijava promjene podataka - Ušteda za podnošenje jednog Zahtjeva za promjenu podataka u RPG iznosi 4,45 EUR. Ukoliko se uzme u obzir da je u 2019. godini podnijeto 1.029 Zahtjeva, odnosno u 2020. godini 3.359 Zahtjeva za promjenu podataka u RPG, može se zaključiti da bi se ostvarila ušteda od 4.579,05 EUR odnosno 14.947,55 EUR na godišnjem nivou.</w:t>
            </w:r>
          </w:p>
          <w:p w14:paraId="0C8C3805" w14:textId="77777777" w:rsidR="00AE7DE0" w:rsidRPr="00787F18" w:rsidRDefault="00AE7DE0" w:rsidP="00A26279">
            <w:pPr>
              <w:pStyle w:val="ListParagraph"/>
              <w:tabs>
                <w:tab w:val="left" w:pos="270"/>
              </w:tabs>
              <w:ind w:left="1350"/>
              <w:rPr>
                <w:rFonts w:ascii="Arial" w:hAnsi="Arial" w:cs="Arial"/>
                <w:b w:val="0"/>
                <w:sz w:val="20"/>
                <w:szCs w:val="20"/>
                <w:lang w:val="it-IT"/>
              </w:rPr>
            </w:pPr>
          </w:p>
          <w:p w14:paraId="7A4DD64E"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Usluga e-Ispit će omogućiti građanima da se prijave za polaganje stručnih ispita putem interneta (za rad u državnim organima; za trenere; za revizore; diplomate; notare i slično) kao i plaćanje takse putem sistema elektronskog plaćanja. Usluga e-Ispiti obuhvata nekoliko podvrsta usluga, kao što su: </w:t>
            </w:r>
          </w:p>
          <w:p w14:paraId="17235AE9" w14:textId="77777777" w:rsidR="00AE7DE0" w:rsidRPr="00787F18"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Polaganje stručnog ispita za rad u državnim organima – analiza fiskalnog uticaja obuhvatila je sljedeće faze:</w:t>
            </w:r>
          </w:p>
          <w:p w14:paraId="426357C3"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Prijave za polaganje stručnog ispita (VSS) – prema analizi fiskalnog uticaja, digitalizacijom bi bila ostvarena ušteda od 2,97 EUR (Ukoliko se uzme u obzir da je u 2019. godini podnijeto 1.630 Prijava, a u 2020. godini 1.750 Prijava, može se zaključiti da bi došlo do uštede od 4.835,67 EUR, odnosno 5.191,67 EUR na godišnjem nivou)</w:t>
            </w:r>
          </w:p>
          <w:p w14:paraId="782AB9BD"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Izdavanje uvjerenja o položenom stručnom ispitu (VSS) – analizom fiskalnog uticaja, ušteda koja bi se ostvarila za izdavanje jednog Uvjerenja o položenom stručnom ispitu je 2,97 EUR (ukoliko se uzme u obzir da je u 2019. godini izdato 451 Uvjerenja, a u 2020. godini 843 Uvjerenja, bila bi ostvarena ušteda od 1.337,97 EUR, odnosno 2.500,90 EUR na godišnjem nivou). </w:t>
            </w:r>
          </w:p>
          <w:p w14:paraId="1A248910"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Podnošenje prijave za polaganje stručnog ispita (SSS) – digitalizacijom bi bila ostvarena ušteda od 2,97 EUR (ako se uzme u obzir da je u 2019. godini podnijeto 293 Prijava, a u 2020 .godini 408 Prijava, došlo bi do uštede od 869,23 EUR, odnosno 1.210,40 EUR na godišnjem nivou). Isti iznos uštede bi bio ostvaren i kada je riječ o Izdavanju uvjerenja o položenom stručnom ispitu (SSS), i to u iznosu od 2,97 EUR (ako se uzme u obzir da je u 2019. godini je izdato 183 Uvjerenja, a u 2020. godini 279 Uvjerenja, ušteda bi iznosila 542,90 EUR, odnosno 827,70 EUR na godišnjem nivou).</w:t>
            </w:r>
          </w:p>
          <w:p w14:paraId="06AAF8F7" w14:textId="77777777" w:rsidR="00AE7DE0" w:rsidRPr="00787F18"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Polaganje pravosudnog ispita – analiza fiskalnog uticaja obuhvatila je 5 faza/promjena u procesu digitalizacije usluge:</w:t>
            </w:r>
          </w:p>
          <w:p w14:paraId="681DE083"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Prijava za polaganje ispita za pripravnike - Ušteda za podnošenje jedne Prijave za polaganje ispita za pripravnike iznosila bi 2,97 EUR (ako se uzme u obzir da je u 2019. godini ponešeno 65 Prijava, a u 2020. godini 75 Prijava, ostvarila bi se ušteda od 192,83 EUR, odnosno 222,50 EUR, na godišnjem nivou).</w:t>
            </w:r>
          </w:p>
          <w:p w14:paraId="5D3AF80D"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Uvjerenje o položenom ispitu za pripravnike - Ušteda za izdavanje jednog Uvjerenja o položenom ispitu za pripravnike, prema analizi finansijskog uticaja bi iznosila 2,97 EUR (ako se uzme u obzir da je u 2019. godini izdato 39 Uvjerenja, a u 2020. godini 52 Uvjerenja, ostvarila bi se ušteda od 115,70 EUR, odnosno 154,27 EUR, na godišnjem nivou).</w:t>
            </w:r>
          </w:p>
          <w:p w14:paraId="3A4AEB3B"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Prijava za polaganje pravosudnog ispita - Ušteda za podnošenje jedne Prijave za polaganje pravosudnog ispita iznosila bi 2,97 EUR (ako se uzmu u obzir podaci da je u 2019. godini je ponešeno 191 Prijava, a u 2020. godini 113 Prijava, ostvarila bi se ušteda od 566,33 EUR, odnosno 335,23 EUR, na godišnjem nivou).</w:t>
            </w:r>
          </w:p>
          <w:p w14:paraId="672F0E79"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Rješenje o polaganju pravosudnog ispita - Ušteda za izdavanje jednog Rješenja o polaganju pravosudnog ispita iznosila bi 2,97 EUR (ako se uzme u obzir da je u 2019. godini izdato 190 Rješenja, a u 2020. godini 111 Rješenja, ostvarila bi se ušteda od 563,67 EUR, odnosno 329,30 EUR, na godišnjem nivou).</w:t>
            </w:r>
          </w:p>
          <w:p w14:paraId="134B2235"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Obavještenje o konačnoj ocjeni na pravosudnom ispitu - Ušteda za izdavanje jednog Obavještenja o konačnoj ocjeni na pravosudnom ispitu bi digitalizacijom iznosila 2,97 EUR (ako se uzme u obzir da je u 2019. godini izdato 104 Obaještenja, a u 2020. godini 77 Obavještenja, zaključuje se da bi se ostvarila ušteda od 308,53 EUR, odnosno 228,43 EUR, na godišnjem nivou).</w:t>
            </w:r>
          </w:p>
          <w:p w14:paraId="446C1475"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Uvjerenje o položenom pravosudnom ispitu - Ušteda za izdavanje jednog Uvjerenja o položenom pravosudnom ispitu digitalnim putem bi iznosila 2,97 EUR (ako se uzmemo u obzir da je u 2019. godini izdato 57 Uvjerenja, a u 2020. godini 50 Uvjerenja, zaključuje se da bi se ostvarila ušteda od 169,10 EUR, odnosno 148,33 EUR, na godišnjem nivou).</w:t>
            </w:r>
          </w:p>
          <w:p w14:paraId="0159B81B" w14:textId="77777777" w:rsidR="00AE7DE0" w:rsidRPr="00787F18" w:rsidRDefault="00AE7DE0" w:rsidP="00AE7DE0">
            <w:pPr>
              <w:pStyle w:val="ListParagraph"/>
              <w:numPr>
                <w:ilvl w:val="1"/>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Polaganje ispita za službenika za javne nabavke - analiza fiskalnog uticaja obuhvatila je 3 faze/promjene u procesu digitalizacije usluge:</w:t>
            </w:r>
          </w:p>
          <w:p w14:paraId="69F890FD"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Zahtjev za polaganje ispita službenik za javne nabavke - Ušteda za podnošenje jednog Zahtjeva za polaganje ispita službenik za javne nabavke iznosila bi 2,60 EUR (polazi se od podataka da je u 2019. godini ponešeno 115 Zahtjeva a u 2020. godini 94 Zahjeva. U skladu sa tim, zaključuje se da bi bila ostvarena ušteda od 298,52 EUR, odnosno 244,0 EUR na godišnjem nivou).</w:t>
            </w:r>
          </w:p>
          <w:p w14:paraId="7FDF280D"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Rješenje o odobrenju polaganja ispita - Ušteda za izdavanje jednog  Rješenja o odobrenju polaganja ispita iznosila bi 2,23 eur (polazi se od podataka da je u 2019. godini izdato 115 Rješenja, a u 2020. godini 94 rješenja,  pa se zaključuje da bi došlo do uštede od 255,88 EUR, odnosno 209,15 EUR na godišnjem nivou).</w:t>
            </w:r>
          </w:p>
          <w:p w14:paraId="2F1086D7" w14:textId="77777777" w:rsidR="00AE7DE0" w:rsidRPr="00787F18" w:rsidRDefault="00AE7DE0" w:rsidP="00AE7DE0">
            <w:pPr>
              <w:pStyle w:val="ListParagraph"/>
              <w:numPr>
                <w:ilvl w:val="2"/>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Evidencija i uvjerenje o položenom ispitu - Ušteda za izdavanje jednog  Uvjerenja o položenom ispitu iznosila bi 3,34 EUR (polazi se od podataka da je u 2019. godini izdato 91 Uvjerenja, a u 2020. godini 84 Uvjerenja,  i zaključuje da bi se ostvarila ušteda od 303,71 EUR, odnosno 280,35 EUR na godišnjem nivou).</w:t>
            </w:r>
          </w:p>
          <w:p w14:paraId="2811B35C" w14:textId="77777777" w:rsidR="00AE7DE0" w:rsidRPr="00787F18" w:rsidRDefault="00AE7DE0" w:rsidP="00AE7DE0">
            <w:pPr>
              <w:pStyle w:val="ListParagraph"/>
              <w:numPr>
                <w:ilvl w:val="0"/>
                <w:numId w:val="73"/>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Usluga e-NVO omogućiće građanima mrežne registracije NVO na mreži bez dalje posjete javnim institucijama kao i mogućnost plaćanja takse putem elektronskog plaćanja. Ova usluga bi bila unaprijeđena kroz nekoliko faza/promjena i to:  </w:t>
            </w:r>
          </w:p>
          <w:p w14:paraId="4A1A8E50" w14:textId="77777777" w:rsidR="00AE7DE0" w:rsidRPr="00787F18" w:rsidRDefault="00AE7DE0" w:rsidP="00AE7DE0">
            <w:pPr>
              <w:pStyle w:val="ListParagraph"/>
              <w:numPr>
                <w:ilvl w:val="0"/>
                <w:numId w:val="74"/>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Prijava za upis nevladine organizacije u registar nevladinih organizacija - Ušteda za podnošenje jednog  Zahtjeva za upis NVO u Registar nevladinih organizacija kroz digitalizaciju bi iznosila 2,97 EUR (uzima se u obzir da je u 2019. godini ponešeno 498 Zahtjeva, a u 2020. godini  445 Zahtjeva, pa se zaključuje da bi se ostvarila ušteda od 1.477,40 EUR, odnosno 1.320,17 EUR na godišnjem nivou).</w:t>
            </w:r>
          </w:p>
          <w:p w14:paraId="77D26E3F" w14:textId="77777777" w:rsidR="00AE7DE0" w:rsidRPr="00787F18" w:rsidRDefault="00AE7DE0" w:rsidP="00AE7DE0">
            <w:pPr>
              <w:pStyle w:val="ListParagraph"/>
              <w:numPr>
                <w:ilvl w:val="0"/>
                <w:numId w:val="74"/>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 xml:space="preserve">Rješenje o upisu u registar nevladinih organizacija (lično preuzimanje ili slanje putem Pošte) - Ušteda za izdavanje jednog  Rješenja o upisu u Registar NVO iznosila bi 2,97 EUR za lično preuzimanje, odnosno 6,47 EUR za preuzimanje putem Pošte (ako se pretpostavi da je u 2019. godini izdato 431, odnosno 328 Rješenja u 2020. godini, zaključuje se da bi se ostvarila ušteda od 1.278,63 EUR / 973,07 EUR na godišnjem nivou ako su sva rješenja preuzeta lično, odnosno 2.787,13 EUR / 2.121,07 EUR na godišnjem nivou ako su sva rješenja preuzeta putem Pošte).  </w:t>
            </w:r>
          </w:p>
          <w:p w14:paraId="5EDC6943" w14:textId="77777777" w:rsidR="00AE7DE0" w:rsidRPr="00787F18" w:rsidRDefault="00AE7DE0" w:rsidP="00AE7DE0">
            <w:pPr>
              <w:pStyle w:val="ListParagraph"/>
              <w:numPr>
                <w:ilvl w:val="0"/>
                <w:numId w:val="74"/>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Prijava o promjeni činjenica i podataka koji se upisuju u registar - Ušteda za podnošenje jedne Prijave o promjeni činjenica i podataka koji se upisuju u registar nevladinih organizacija digitalizacijom bi iznosila  2,97 EUR (uzima se u obzir da je u 2019. godini ponešeno 310 Prijava, a u 2020. godini 237 Prijava, i zaključuje da bi došlo do uštede od 919,67 EUR odnosno 703,10 EUR na godišnjem nivou</w:t>
            </w:r>
            <w:r w:rsidRPr="00787F18">
              <w:rPr>
                <w:rFonts w:ascii="Arial" w:hAnsi="Arial" w:cs="Arial"/>
                <w:sz w:val="20"/>
                <w:szCs w:val="20"/>
                <w:lang w:val="it-IT"/>
              </w:rPr>
              <w:t>).</w:t>
            </w:r>
          </w:p>
          <w:p w14:paraId="48BF0B47" w14:textId="77777777" w:rsidR="00AE7DE0" w:rsidRPr="00787F18" w:rsidRDefault="00AE7DE0" w:rsidP="00AE7DE0">
            <w:pPr>
              <w:pStyle w:val="ListParagraph"/>
              <w:numPr>
                <w:ilvl w:val="0"/>
                <w:numId w:val="74"/>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Rješenje o odbijanju upisa (lično preuzimanje ili slanje putem Pošte) - Ušteda za izdavanje jednog  Rješenja o odbijanju upisa u Registar NVO iznosila bi 2,97 EUR za lično preuzimanje, odnosno 6,47 EUR za preuzimanje putem Pošte (polazi se od pretpostavke da su sva izdata Rješenja preuzeta lično, a da je u 2019. godini izdato 25, odnosno 7 Rješenja u 2020. godini, pa se zaključuje da bi se ostvarila ušteda od 74,17 EUR, odnosno 20,77 EUR na godišnjem nivou. Ako se pretpostavi da su sva Rješenja poslata putem Pošte, godišnja ušteda bi bila 161,67 EUR, odnosno 45,27 EUR).</w:t>
            </w:r>
            <w:r w:rsidRPr="00787F18">
              <w:rPr>
                <w:rFonts w:ascii="Arial" w:hAnsi="Arial" w:cs="Arial"/>
                <w:sz w:val="20"/>
                <w:szCs w:val="20"/>
                <w:lang w:val="it-IT"/>
              </w:rPr>
              <w:t xml:space="preserve">  </w:t>
            </w:r>
          </w:p>
          <w:p w14:paraId="642077C3" w14:textId="77777777" w:rsidR="00AE7DE0" w:rsidRPr="00787F18" w:rsidRDefault="00AE7DE0" w:rsidP="00AE7DE0">
            <w:pPr>
              <w:pStyle w:val="ListParagraph"/>
              <w:numPr>
                <w:ilvl w:val="0"/>
                <w:numId w:val="74"/>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Zahtjev za brisanje udruženja - Ušteda za podnošenje jednog Zahtjeva za brisanje udruženja iz Registra NVO digitalnim putem iznosila bi 2,97 EUR (uzima se u obzir da je u 2019. godini ponešeno 22 Zahtjeva, a u 2020. godini 28 Zahtjeva i zaključuje da bi došlo do uštede od 65,27 EUR, odnosno 83,07 EUR na godišnjem nivou).</w:t>
            </w:r>
          </w:p>
          <w:p w14:paraId="4C9F4CEE" w14:textId="77777777" w:rsidR="00AE7DE0" w:rsidRPr="00787F18" w:rsidRDefault="00AE7DE0" w:rsidP="00A26279">
            <w:pPr>
              <w:rPr>
                <w:rFonts w:ascii="Arial" w:hAnsi="Arial" w:cs="Arial"/>
                <w:b w:val="0"/>
                <w:sz w:val="20"/>
                <w:szCs w:val="20"/>
                <w:lang w:val="it-IT"/>
              </w:rPr>
            </w:pPr>
          </w:p>
          <w:p w14:paraId="16571F2E"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Primjena i implementacija Strategije digitalne transformacije neće uticati na stvaranje dodatnih troškova građanima i privredi, te stoga ne uključuje procjenu administrativnih opterećenja i biznis barijera.</w:t>
            </w:r>
          </w:p>
          <w:p w14:paraId="2753DD96" w14:textId="77777777" w:rsidR="00AE7DE0" w:rsidRPr="00787F18" w:rsidRDefault="00AE7DE0" w:rsidP="00A26279">
            <w:pPr>
              <w:pStyle w:val="ListParagraph"/>
              <w:rPr>
                <w:rFonts w:ascii="Arial" w:hAnsi="Arial" w:cs="Arial"/>
                <w:b w:val="0"/>
                <w:sz w:val="20"/>
                <w:szCs w:val="20"/>
                <w:lang w:val="it-IT"/>
              </w:rPr>
            </w:pPr>
          </w:p>
          <w:p w14:paraId="57688DF8"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Implementacijom ciljeva definisanih u predloženoj Strategiji digitalniog razvoja Crne Gore 2022-2026, stvoriće se mogućnosti za razvoj privrede i jačanje konkuretnosti Crne Gore naročito kada je riječ o ponudi visokokvalifikovanih stručnjaka, korišćenjem ljudskog potencijala za istraživanje i inovacije, umrežavanju profesionalaca u Crnoj Gori i regionu i sl. Osim toga, podsticaće se razvoj start-up preduzeća koja će služiti kao podsticaj u kreiranju digitalnog ekosistema, ali i razvoj digitalnog poslovanja.</w:t>
            </w:r>
          </w:p>
          <w:p w14:paraId="611B5210" w14:textId="77777777" w:rsidR="00AE7DE0" w:rsidRPr="00787F18" w:rsidRDefault="00AE7DE0" w:rsidP="00A26279">
            <w:pPr>
              <w:pStyle w:val="ListParagraph"/>
              <w:rPr>
                <w:rFonts w:ascii="Arial" w:hAnsi="Arial" w:cs="Arial"/>
                <w:bCs w:val="0"/>
                <w:sz w:val="20"/>
                <w:szCs w:val="20"/>
                <w:lang w:val="it-IT"/>
              </w:rPr>
            </w:pPr>
          </w:p>
          <w:p w14:paraId="70280A06" w14:textId="77777777" w:rsidR="00AE7DE0" w:rsidRPr="00787F18" w:rsidRDefault="00AE7DE0" w:rsidP="00AE7DE0">
            <w:pPr>
              <w:pStyle w:val="ListParagraph"/>
              <w:numPr>
                <w:ilvl w:val="0"/>
                <w:numId w:val="68"/>
              </w:numPr>
              <w:tabs>
                <w:tab w:val="left" w:pos="270"/>
              </w:tabs>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Barijere koje je moguće identifikovati u procesu implementacije strategije, odnose se na problem jačanja crnogorske zavisnosti od eksternog znanja zbog niske apsorpcione sposobnosti sistema javne uprave, promjene koje se mogu desiti u političkoj areni a koje utiču na davanje prednosti digitalnoj transformaciji, trendove u globalnim promjenama i lokalne praktične primjene postojećih tehnologija od kojih male zemlje kao što je Crna Gora u velikoj mjeri zavise. Malo tržište, kakvo je crnogorsko, značajno može ometati razvoj velikih specijalističkih kompanija. Osim toga, neizvozno orijentisana perspektiva razvoja IT-a u velikoj mjeri je povezana sa ekonomskim napretkom i ekonomskim razvojem Crne Gore.</w:t>
            </w:r>
          </w:p>
        </w:tc>
      </w:tr>
      <w:tr w:rsidR="00AE7DE0" w:rsidRPr="00032089" w14:paraId="27A554C0" w14:textId="77777777" w:rsidTr="00AE7DE0">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125D7D87" w14:textId="77777777" w:rsidR="00AE7DE0" w:rsidRPr="00032089" w:rsidRDefault="00AE7DE0" w:rsidP="00A26279">
            <w:pPr>
              <w:autoSpaceDE w:val="0"/>
              <w:autoSpaceDN w:val="0"/>
              <w:adjustRightInd w:val="0"/>
              <w:contextualSpacing/>
              <w:rPr>
                <w:rFonts w:ascii="Arial" w:hAnsi="Arial" w:cs="Arial"/>
                <w:color w:val="365F91" w:themeColor="accent1" w:themeShade="BF"/>
                <w:sz w:val="20"/>
                <w:szCs w:val="20"/>
              </w:rPr>
            </w:pPr>
          </w:p>
        </w:tc>
      </w:tr>
      <w:tr w:rsidR="00AE7DE0" w:rsidRPr="0052159A" w14:paraId="2D5F41B2" w14:textId="77777777" w:rsidTr="00AE7D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0CB0FFC7" w14:textId="77777777" w:rsidR="00AE7DE0" w:rsidRPr="00817808" w:rsidRDefault="00AE7DE0" w:rsidP="00A26279">
            <w:pPr>
              <w:autoSpaceDE w:val="0"/>
              <w:autoSpaceDN w:val="0"/>
              <w:adjustRightInd w:val="0"/>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5. Procjena fiskalnog uticaja</w:t>
            </w:r>
          </w:p>
          <w:p w14:paraId="7D512757" w14:textId="77777777" w:rsidR="00AE7DE0" w:rsidRPr="00817808" w:rsidRDefault="00AE7DE0" w:rsidP="00A26279">
            <w:pPr>
              <w:pStyle w:val="list0020paragraph"/>
              <w:spacing w:before="0" w:beforeAutospacing="0" w:after="0" w:afterAutospacing="0"/>
              <w:jc w:val="both"/>
              <w:rPr>
                <w:rFonts w:ascii="Arial" w:hAnsi="Arial" w:cs="Arial"/>
                <w:sz w:val="20"/>
                <w:szCs w:val="20"/>
              </w:rPr>
            </w:pPr>
          </w:p>
        </w:tc>
      </w:tr>
      <w:tr w:rsidR="00AE7DE0" w:rsidRPr="0052159A" w14:paraId="69DADDD8" w14:textId="77777777" w:rsidTr="00AE7DE0">
        <w:trPr>
          <w:cnfStyle w:val="000000100000" w:firstRow="0" w:lastRow="0" w:firstColumn="0" w:lastColumn="0" w:oddVBand="0" w:evenVBand="0" w:oddHBand="1" w:evenHBand="0" w:firstRowFirstColumn="0" w:firstRowLastColumn="0" w:lastRowFirstColumn="0" w:lastRowLastColumn="0"/>
          <w:trHeight w:val="394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3A6824B4" w14:textId="77777777" w:rsidR="00AE7DE0" w:rsidRPr="00817808" w:rsidRDefault="00AE7DE0" w:rsidP="00AE7DE0">
            <w:pPr>
              <w:pStyle w:val="ListParagraph"/>
              <w:numPr>
                <w:ilvl w:val="0"/>
                <w:numId w:val="68"/>
              </w:numPr>
              <w:autoSpaceDE w:val="0"/>
              <w:autoSpaceDN w:val="0"/>
              <w:adjustRightInd w:val="0"/>
              <w:spacing w:after="0" w:line="240" w:lineRule="auto"/>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Da li je potrebno obezbjeđenje finansijskih sredstava iz budžeta Crne Gore za implementaciju propisa i u kom iznosu?</w:t>
            </w:r>
          </w:p>
          <w:p w14:paraId="4854DB77" w14:textId="77777777" w:rsidR="00AE7DE0" w:rsidRPr="00817808" w:rsidRDefault="00AE7DE0" w:rsidP="00AE7DE0">
            <w:pPr>
              <w:pStyle w:val="ListParagraph"/>
              <w:numPr>
                <w:ilvl w:val="0"/>
                <w:numId w:val="68"/>
              </w:numPr>
              <w:spacing w:after="0" w:line="240" w:lineRule="auto"/>
              <w:contextualSpacing w:val="0"/>
              <w:jc w:val="both"/>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Da li je obezbjeđenje finansijskih sredstava jednokratno, ili tokom određenog vremenskog perioda?  Obrazložiti.</w:t>
            </w:r>
          </w:p>
          <w:p w14:paraId="7A744868" w14:textId="77777777" w:rsidR="00AE7DE0" w:rsidRPr="00817808" w:rsidRDefault="00AE7DE0" w:rsidP="00AE7DE0">
            <w:pPr>
              <w:pStyle w:val="ListParagraph"/>
              <w:numPr>
                <w:ilvl w:val="0"/>
                <w:numId w:val="68"/>
              </w:numPr>
              <w:spacing w:after="0" w:line="240" w:lineRule="auto"/>
              <w:contextualSpacing w:val="0"/>
              <w:jc w:val="both"/>
              <w:rPr>
                <w:rFonts w:ascii="Arial" w:hAnsi="Arial" w:cs="Arial"/>
                <w:color w:val="365F91" w:themeColor="accent1" w:themeShade="BF"/>
                <w:sz w:val="20"/>
                <w:szCs w:val="20"/>
              </w:rPr>
            </w:pPr>
            <w:r w:rsidRPr="00F15F1C">
              <w:rPr>
                <w:rFonts w:ascii="Arial" w:hAnsi="Arial" w:cs="Arial"/>
                <w:color w:val="365F91" w:themeColor="accent1" w:themeShade="BF"/>
                <w:sz w:val="20"/>
                <w:szCs w:val="20"/>
                <w:lang w:val="it-IT"/>
              </w:rPr>
              <w:t xml:space="preserve">Da li implementacijom propisa proizilaze međunarodne finansijske obaveze? </w:t>
            </w:r>
            <w:r w:rsidRPr="00817808">
              <w:rPr>
                <w:rFonts w:ascii="Arial" w:hAnsi="Arial" w:cs="Arial"/>
                <w:color w:val="365F91" w:themeColor="accent1" w:themeShade="BF"/>
                <w:sz w:val="20"/>
                <w:szCs w:val="20"/>
              </w:rPr>
              <w:t>Obrazložiti.</w:t>
            </w:r>
          </w:p>
          <w:p w14:paraId="5A0AB85D" w14:textId="77777777" w:rsidR="00AE7DE0" w:rsidRPr="00817808" w:rsidRDefault="00AE7DE0" w:rsidP="00AE7DE0">
            <w:pPr>
              <w:pStyle w:val="ListParagraph"/>
              <w:numPr>
                <w:ilvl w:val="0"/>
                <w:numId w:val="68"/>
              </w:numPr>
              <w:spacing w:after="0" w:line="240" w:lineRule="auto"/>
              <w:contextualSpacing w:val="0"/>
              <w:jc w:val="both"/>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Da li su neophodna finansijska sredstva obezbijeđena u budžetu za tekuću fiskalnu godinu, odnosno da li su planirana u budžetu za narednu fiskalnu godinu?</w:t>
            </w:r>
          </w:p>
          <w:p w14:paraId="684FA7EB" w14:textId="77777777" w:rsidR="00AE7DE0" w:rsidRPr="00817808" w:rsidRDefault="00AE7DE0" w:rsidP="00AE7DE0">
            <w:pPr>
              <w:pStyle w:val="ListParagraph"/>
              <w:numPr>
                <w:ilvl w:val="0"/>
                <w:numId w:val="68"/>
              </w:numPr>
              <w:spacing w:after="0" w:line="240" w:lineRule="auto"/>
              <w:contextualSpacing w:val="0"/>
              <w:jc w:val="both"/>
              <w:rPr>
                <w:rFonts w:ascii="Arial" w:hAnsi="Arial" w:cs="Arial"/>
                <w:color w:val="365F91" w:themeColor="accent1" w:themeShade="BF"/>
                <w:sz w:val="20"/>
                <w:szCs w:val="20"/>
              </w:rPr>
            </w:pPr>
            <w:r w:rsidRPr="00817808">
              <w:rPr>
                <w:rFonts w:ascii="Arial" w:hAnsi="Arial" w:cs="Arial"/>
                <w:color w:val="365F91" w:themeColor="accent1" w:themeShade="BF"/>
                <w:sz w:val="20"/>
                <w:szCs w:val="20"/>
              </w:rPr>
              <w:t>Da li je usvajanjem propisa predviđeno donošenje podzakonskih akata iz kojih će proisteći finansijske obaveze?</w:t>
            </w:r>
          </w:p>
          <w:p w14:paraId="52E9BDEF" w14:textId="77777777" w:rsidR="00AE7DE0" w:rsidRPr="00CA5B1B" w:rsidRDefault="00AE7DE0" w:rsidP="00AE7DE0">
            <w:pPr>
              <w:pStyle w:val="ListParagraph"/>
              <w:numPr>
                <w:ilvl w:val="0"/>
                <w:numId w:val="68"/>
              </w:numPr>
              <w:spacing w:after="0" w:line="240" w:lineRule="auto"/>
              <w:contextualSpacing w:val="0"/>
              <w:jc w:val="both"/>
              <w:rPr>
                <w:rFonts w:ascii="Arial" w:hAnsi="Arial" w:cs="Arial"/>
                <w:color w:val="365F91" w:themeColor="accent1" w:themeShade="BF"/>
                <w:sz w:val="20"/>
                <w:szCs w:val="20"/>
                <w:lang w:val="it-IT"/>
              </w:rPr>
            </w:pPr>
            <w:r w:rsidRPr="00CA5B1B">
              <w:rPr>
                <w:rFonts w:ascii="Arial" w:hAnsi="Arial" w:cs="Arial"/>
                <w:color w:val="365F91" w:themeColor="accent1" w:themeShade="BF"/>
                <w:sz w:val="20"/>
                <w:szCs w:val="20"/>
                <w:lang w:val="it-IT"/>
              </w:rPr>
              <w:t>Da li će se implementacijom propisa ostvariti prihod za budžet Crne Gore?</w:t>
            </w:r>
          </w:p>
          <w:p w14:paraId="6C285250" w14:textId="77777777" w:rsidR="00AE7DE0" w:rsidRPr="00CA5B1B" w:rsidRDefault="00AE7DE0" w:rsidP="00AE7DE0">
            <w:pPr>
              <w:pStyle w:val="ListParagraph"/>
              <w:numPr>
                <w:ilvl w:val="0"/>
                <w:numId w:val="68"/>
              </w:numPr>
              <w:spacing w:after="0" w:line="240" w:lineRule="auto"/>
              <w:contextualSpacing w:val="0"/>
              <w:jc w:val="both"/>
              <w:rPr>
                <w:rFonts w:ascii="Arial" w:hAnsi="Arial" w:cs="Arial"/>
                <w:color w:val="365F91" w:themeColor="accent1" w:themeShade="BF"/>
                <w:sz w:val="20"/>
                <w:szCs w:val="20"/>
                <w:lang w:val="it-IT"/>
              </w:rPr>
            </w:pPr>
            <w:r w:rsidRPr="00CA5B1B">
              <w:rPr>
                <w:rFonts w:ascii="Arial" w:hAnsi="Arial" w:cs="Arial"/>
                <w:color w:val="365F91" w:themeColor="accent1" w:themeShade="BF"/>
                <w:sz w:val="20"/>
                <w:szCs w:val="20"/>
                <w:lang w:val="it-IT"/>
              </w:rPr>
              <w:t>Obrazložiti metodologiju koja je korišćenja prilikom obračuna finansijskih izdataka/prihoda.</w:t>
            </w:r>
          </w:p>
          <w:p w14:paraId="61EAB4C1" w14:textId="77777777" w:rsidR="00AE7DE0" w:rsidRPr="00741105" w:rsidRDefault="00AE7DE0" w:rsidP="00AE7DE0">
            <w:pPr>
              <w:pStyle w:val="ListParagraph"/>
              <w:numPr>
                <w:ilvl w:val="0"/>
                <w:numId w:val="68"/>
              </w:numPr>
              <w:spacing w:after="0" w:line="240" w:lineRule="auto"/>
              <w:contextualSpacing w:val="0"/>
              <w:jc w:val="both"/>
              <w:rPr>
                <w:rFonts w:ascii="Arial" w:hAnsi="Arial" w:cs="Arial"/>
                <w:b w:val="0"/>
                <w:color w:val="365F91" w:themeColor="accent1" w:themeShade="BF"/>
                <w:sz w:val="20"/>
                <w:szCs w:val="20"/>
              </w:rPr>
            </w:pPr>
            <w:r w:rsidRPr="00741105">
              <w:rPr>
                <w:rFonts w:ascii="Arial" w:hAnsi="Arial" w:cs="Arial"/>
                <w:color w:val="365F91" w:themeColor="accent1" w:themeShade="BF"/>
                <w:sz w:val="20"/>
                <w:szCs w:val="20"/>
                <w:lang w:val="it-IT"/>
              </w:rPr>
              <w:t xml:space="preserve">Da li su postojali problemi u preciznom obračunu finansijskih izdataka/prihoda? </w:t>
            </w:r>
            <w:r w:rsidRPr="00741105">
              <w:rPr>
                <w:rFonts w:ascii="Arial" w:hAnsi="Arial" w:cs="Arial"/>
                <w:color w:val="365F91" w:themeColor="accent1" w:themeShade="BF"/>
                <w:sz w:val="20"/>
                <w:szCs w:val="20"/>
              </w:rPr>
              <w:t>Obrazložiti.</w:t>
            </w:r>
          </w:p>
          <w:p w14:paraId="04254D53" w14:textId="77777777" w:rsidR="00AE7DE0" w:rsidRPr="00741105" w:rsidRDefault="00AE7DE0" w:rsidP="00AE7DE0">
            <w:pPr>
              <w:pStyle w:val="ListParagraph"/>
              <w:numPr>
                <w:ilvl w:val="0"/>
                <w:numId w:val="68"/>
              </w:numPr>
              <w:spacing w:after="0" w:line="240" w:lineRule="auto"/>
              <w:contextualSpacing w:val="0"/>
              <w:jc w:val="both"/>
              <w:rPr>
                <w:rFonts w:ascii="Arial" w:hAnsi="Arial" w:cs="Arial"/>
                <w:b w:val="0"/>
                <w:color w:val="365F91" w:themeColor="accent1" w:themeShade="BF"/>
                <w:sz w:val="20"/>
                <w:szCs w:val="20"/>
                <w:lang w:val="it-IT"/>
              </w:rPr>
            </w:pPr>
            <w:r w:rsidRPr="00741105">
              <w:rPr>
                <w:rFonts w:ascii="Arial" w:hAnsi="Arial" w:cs="Arial"/>
                <w:color w:val="365F91" w:themeColor="accent1" w:themeShade="BF"/>
                <w:sz w:val="20"/>
                <w:szCs w:val="20"/>
                <w:lang w:val="it-IT"/>
              </w:rPr>
              <w:t>Da li su postojale sugestije Ministarstva finansija na nacrt/predlog propisa?</w:t>
            </w:r>
          </w:p>
          <w:p w14:paraId="26140A46" w14:textId="77777777" w:rsidR="00AE7DE0" w:rsidRPr="00817808" w:rsidRDefault="00AE7DE0" w:rsidP="00AE7DE0">
            <w:pPr>
              <w:pStyle w:val="ListParagraph"/>
              <w:numPr>
                <w:ilvl w:val="0"/>
                <w:numId w:val="68"/>
              </w:numPr>
              <w:spacing w:after="0" w:line="240" w:lineRule="auto"/>
              <w:contextualSpacing w:val="0"/>
              <w:jc w:val="both"/>
              <w:rPr>
                <w:rFonts w:ascii="Arial" w:hAnsi="Arial" w:cs="Arial"/>
                <w:b w:val="0"/>
                <w:color w:val="365F91" w:themeColor="accent1" w:themeShade="BF"/>
                <w:sz w:val="20"/>
                <w:szCs w:val="20"/>
              </w:rPr>
            </w:pPr>
            <w:r w:rsidRPr="00741105">
              <w:rPr>
                <w:rFonts w:ascii="Arial" w:hAnsi="Arial" w:cs="Arial"/>
                <w:color w:val="365F91" w:themeColor="accent1" w:themeShade="BF"/>
                <w:sz w:val="20"/>
                <w:szCs w:val="20"/>
                <w:lang w:val="it-IT"/>
              </w:rPr>
              <w:t xml:space="preserve">Da li su dobijene primjedbe uključene u tekst propisa? </w:t>
            </w:r>
            <w:r w:rsidRPr="00741105">
              <w:rPr>
                <w:rFonts w:ascii="Arial" w:hAnsi="Arial" w:cs="Arial"/>
                <w:color w:val="365F91" w:themeColor="accent1" w:themeShade="BF"/>
                <w:sz w:val="20"/>
                <w:szCs w:val="20"/>
              </w:rPr>
              <w:t>Obrazložiti.</w:t>
            </w:r>
          </w:p>
        </w:tc>
      </w:tr>
      <w:tr w:rsidR="00AE7DE0" w:rsidRPr="00FA373D" w14:paraId="0EC07B99" w14:textId="77777777" w:rsidTr="00AE7DE0">
        <w:trPr>
          <w:cnfStyle w:val="000000010000" w:firstRow="0" w:lastRow="0" w:firstColumn="0" w:lastColumn="0" w:oddVBand="0" w:evenVBand="0" w:oddHBand="0" w:evenHBand="1" w:firstRowFirstColumn="0" w:firstRowLastColumn="0" w:lastRowFirstColumn="0" w:lastRowLastColumn="0"/>
          <w:trHeight w:val="477"/>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0C7D8D13" w14:textId="77777777" w:rsidR="00AE7DE0" w:rsidRDefault="00AE7DE0" w:rsidP="00A26279">
            <w:pPr>
              <w:rPr>
                <w:rFonts w:ascii="Arial" w:hAnsi="Arial" w:cs="Arial"/>
                <w:b w:val="0"/>
                <w:bCs w:val="0"/>
                <w:sz w:val="20"/>
                <w:szCs w:val="20"/>
                <w:lang w:val="it-IT"/>
              </w:rPr>
            </w:pPr>
          </w:p>
          <w:p w14:paraId="4799D111"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Strategija digitalne transformacije Crne Gore odnosno njene pojedinačne aktivnosti finansiraće se iz budžeta, donatorskih sredstava i sredstava koja su obezbjeđenja kroz IPA 2020. Kroz Akcioni plan za 2022-2023. godinu, za postizanje svih operativnih ciljeva predviđen je utrošak u ukupnom iznosu od 4,433,420 EUR, dok će se sledećim Akcionim planom za 2024-2025. godinu definisati preostala finansijska sredstva. Sva planirana finansijska sredstva prate aktivnosti koje su definisane godišnjim Akcionim planom (a koji je sastavni dio Strategije) i usklađena su sa budžetskim sredstvima usvojenim za tu godinu. Osim toga, analiza realizacije Akcionog plana predstavlja polaznu osnovu za planiranje daljih aktivnosti, i sredstava koja će biti opredijeljna za naredne aktivnosti i sprovođenje strateških ciljeva.</w:t>
            </w:r>
          </w:p>
          <w:p w14:paraId="72F657BC" w14:textId="77777777" w:rsidR="00AE7DE0" w:rsidRPr="00787F18" w:rsidRDefault="00AE7DE0" w:rsidP="00A26279">
            <w:pPr>
              <w:rPr>
                <w:rFonts w:ascii="Arial" w:hAnsi="Arial" w:cs="Arial"/>
                <w:sz w:val="20"/>
                <w:szCs w:val="20"/>
                <w:lang w:val="it-IT"/>
              </w:rPr>
            </w:pPr>
          </w:p>
          <w:p w14:paraId="6F90A9FA"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Od ukupno navedenog iznosa, predviđena sredstva iz donacija iznose 1,171,420 EUR. Aktivnosti predviđene Akcionim planom koje će se finansirati većinom iz budžeta odnose se na razvoj i unapređenje digitalnih znanja i vještina crnogorskog društva, na podsticanje zapošljivosti kroz uspostavljanje sistema podrške za sticanje znanja i vještina, realizaciju promotivnih aktivnosti i događaja u cilju povećanja informisanosti građana i privrede o značaju i benefitima digitalne transformacije, na unapređenju, na aktivnosti u cilju preduzimanja koraka na prevazilaženju dijela društvenog jaza i u skladu sa principima uključenosti, jednakosti i prisupačnosti kao i finansiranju odgovarajućih mehanizama za podršku rasta i digitalizacije poslovanja kompanija. Pored navedenog aktivnosti koje se tiču povećane pokrivenosti i modernizacije elektronske komunikacione infrastrukture će biti realizovane sredstvima iz Budžeta.</w:t>
            </w:r>
          </w:p>
          <w:p w14:paraId="1BD5BE34" w14:textId="77777777" w:rsidR="00AE7DE0" w:rsidRPr="00787F18" w:rsidRDefault="00AE7DE0" w:rsidP="00A26279">
            <w:pPr>
              <w:rPr>
                <w:rFonts w:ascii="Arial" w:hAnsi="Arial" w:cs="Arial"/>
                <w:sz w:val="20"/>
                <w:szCs w:val="20"/>
                <w:lang w:val="it-IT"/>
              </w:rPr>
            </w:pPr>
          </w:p>
          <w:p w14:paraId="71EE9765"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Kada su u pitanju donacije, većina aktivnosti koje se odnose na razvoj i optimizaciju korisnički orjentisanih elektronskih usluga, kao i aktivnosti kojima će se osigurati da različite organizacije i informacioni sistemi mogu sarađivati i razmjenjivati informacije odnosno efikasnu saradnju svih činioca javne uprave kao i automatizaciju razmjene i kvalitenu integraciju procesa na svim nivoima, te aktivnosti koje za cilj imaju bolji pristup visokokvalitetnim podacima biće finansirane kroz donacije od strane DEU i sl. S obzirom da je riječ o donacijama, ova sredstva bi bila obezbijeđena jednokratno.</w:t>
            </w:r>
          </w:p>
          <w:p w14:paraId="6932FAF8" w14:textId="77777777" w:rsidR="00AE7DE0" w:rsidRPr="009519D1" w:rsidRDefault="00AE7DE0" w:rsidP="00A26279">
            <w:pPr>
              <w:rPr>
                <w:rFonts w:ascii="Arial" w:hAnsi="Arial" w:cs="Arial"/>
                <w:b w:val="0"/>
                <w:sz w:val="20"/>
                <w:szCs w:val="20"/>
                <w:lang w:val="it-IT"/>
              </w:rPr>
            </w:pPr>
          </w:p>
          <w:p w14:paraId="63D2F0E8" w14:textId="77777777" w:rsidR="00AE7DE0" w:rsidRPr="009519D1"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9519D1">
              <w:rPr>
                <w:rFonts w:ascii="Arial" w:hAnsi="Arial" w:cs="Arial"/>
                <w:b w:val="0"/>
                <w:sz w:val="20"/>
                <w:szCs w:val="20"/>
                <w:lang w:val="it-IT"/>
              </w:rPr>
              <w:t>Implementacijom aktivnosti definisanih Akcionim planom 2022-2023 ne proiz</w:t>
            </w:r>
            <w:r>
              <w:rPr>
                <w:rFonts w:ascii="Arial" w:hAnsi="Arial" w:cs="Arial"/>
                <w:b w:val="0"/>
                <w:sz w:val="20"/>
                <w:szCs w:val="20"/>
                <w:lang w:val="it-IT"/>
              </w:rPr>
              <w:t>i</w:t>
            </w:r>
            <w:r w:rsidRPr="009519D1">
              <w:rPr>
                <w:rFonts w:ascii="Arial" w:hAnsi="Arial" w:cs="Arial"/>
                <w:b w:val="0"/>
                <w:sz w:val="20"/>
                <w:szCs w:val="20"/>
                <w:lang w:val="it-IT"/>
              </w:rPr>
              <w:t>laze međunarodne finansijske obaveze.</w:t>
            </w:r>
          </w:p>
          <w:p w14:paraId="2E70D4F1" w14:textId="77777777" w:rsidR="00AE7DE0" w:rsidRPr="009519D1" w:rsidRDefault="00AE7DE0" w:rsidP="00A26279">
            <w:pPr>
              <w:rPr>
                <w:rFonts w:ascii="Arial" w:hAnsi="Arial" w:cs="Arial"/>
                <w:b w:val="0"/>
                <w:sz w:val="20"/>
                <w:szCs w:val="20"/>
                <w:lang w:val="it-IT"/>
              </w:rPr>
            </w:pPr>
          </w:p>
          <w:p w14:paraId="39A5E12A" w14:textId="77777777" w:rsidR="00AE7DE0" w:rsidRPr="002052F1"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9519D1">
              <w:rPr>
                <w:rFonts w:ascii="Arial" w:hAnsi="Arial" w:cs="Arial"/>
                <w:b w:val="0"/>
                <w:sz w:val="20"/>
                <w:szCs w:val="20"/>
                <w:lang w:val="it-IT"/>
              </w:rPr>
              <w:t xml:space="preserve">Akcionim planom za 2022-2023 godinu nije predviđena izrada podzakonskih akata iz kojih bi proistekle finansijske obaveze. </w:t>
            </w:r>
          </w:p>
          <w:p w14:paraId="2BBBEA44" w14:textId="77777777" w:rsidR="00AE7DE0" w:rsidRPr="002052F1" w:rsidRDefault="00AE7DE0" w:rsidP="00A26279">
            <w:pPr>
              <w:pStyle w:val="ListParagraph"/>
              <w:rPr>
                <w:rFonts w:ascii="Arial" w:hAnsi="Arial" w:cs="Arial"/>
                <w:bCs w:val="0"/>
                <w:sz w:val="20"/>
                <w:szCs w:val="20"/>
                <w:lang w:val="it-IT"/>
              </w:rPr>
            </w:pPr>
          </w:p>
          <w:p w14:paraId="6316FCA8" w14:textId="77777777" w:rsidR="00AE7DE0"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CF6C7D">
              <w:rPr>
                <w:rFonts w:ascii="Arial" w:hAnsi="Arial" w:cs="Arial"/>
                <w:b w:val="0"/>
                <w:sz w:val="20"/>
                <w:szCs w:val="20"/>
                <w:lang w:val="it-IT"/>
              </w:rPr>
              <w:t xml:space="preserve">Prilikom obračuna finansijskih izdataka/prihoda korištena je metoda dodatnih troškova koja ne uključuje fiksne administrativne troškove kao što su plate zaposlenih, materijalni i </w:t>
            </w:r>
            <w:r>
              <w:rPr>
                <w:rFonts w:ascii="Arial" w:hAnsi="Arial" w:cs="Arial"/>
                <w:b w:val="0"/>
                <w:sz w:val="20"/>
                <w:szCs w:val="20"/>
                <w:lang w:val="it-IT"/>
              </w:rPr>
              <w:t xml:space="preserve">kancelarijski </w:t>
            </w:r>
            <w:r w:rsidRPr="00CF6C7D">
              <w:rPr>
                <w:rFonts w:ascii="Arial" w:hAnsi="Arial" w:cs="Arial"/>
                <w:b w:val="0"/>
                <w:sz w:val="20"/>
                <w:szCs w:val="20"/>
                <w:lang w:val="it-IT"/>
              </w:rPr>
              <w:t xml:space="preserve">troškovi, </w:t>
            </w:r>
            <w:r>
              <w:rPr>
                <w:rFonts w:ascii="Arial" w:hAnsi="Arial" w:cs="Arial"/>
                <w:b w:val="0"/>
                <w:sz w:val="20"/>
                <w:szCs w:val="20"/>
                <w:lang w:val="it-IT"/>
              </w:rPr>
              <w:t>kao</w:t>
            </w:r>
            <w:r w:rsidRPr="00CF6C7D">
              <w:rPr>
                <w:rFonts w:ascii="Arial" w:hAnsi="Arial" w:cs="Arial"/>
                <w:b w:val="0"/>
                <w:sz w:val="20"/>
                <w:szCs w:val="20"/>
                <w:lang w:val="it-IT"/>
              </w:rPr>
              <w:t xml:space="preserve"> i drugi </w:t>
            </w:r>
            <w:r>
              <w:rPr>
                <w:rFonts w:ascii="Arial" w:hAnsi="Arial" w:cs="Arial"/>
                <w:b w:val="0"/>
                <w:sz w:val="20"/>
                <w:szCs w:val="20"/>
                <w:lang w:val="it-IT"/>
              </w:rPr>
              <w:t xml:space="preserve">srodni </w:t>
            </w:r>
            <w:r w:rsidRPr="00CF6C7D">
              <w:rPr>
                <w:rFonts w:ascii="Arial" w:hAnsi="Arial" w:cs="Arial"/>
                <w:b w:val="0"/>
                <w:sz w:val="20"/>
                <w:szCs w:val="20"/>
                <w:lang w:val="it-IT"/>
              </w:rPr>
              <w:t>prateći troškovi. Ovom metodom izdaci su procijenjeni za svaku od aktivnosti</w:t>
            </w:r>
            <w:r>
              <w:rPr>
                <w:rFonts w:ascii="Arial" w:hAnsi="Arial" w:cs="Arial"/>
                <w:b w:val="0"/>
                <w:sz w:val="20"/>
                <w:szCs w:val="20"/>
                <w:lang w:val="it-IT"/>
              </w:rPr>
              <w:t xml:space="preserve"> pojedinač</w:t>
            </w:r>
            <w:r w:rsidRPr="00CF6C7D">
              <w:rPr>
                <w:rFonts w:ascii="Arial" w:hAnsi="Arial" w:cs="Arial"/>
                <w:b w:val="0"/>
                <w:sz w:val="20"/>
                <w:szCs w:val="20"/>
                <w:lang w:val="it-IT"/>
              </w:rPr>
              <w:t xml:space="preserve">no, u odnosu na izvor finansiranja: budžetska ili donatorska sredstva. </w:t>
            </w:r>
          </w:p>
          <w:p w14:paraId="03E79D97" w14:textId="77777777" w:rsidR="00AE7DE0" w:rsidRPr="00FC3D7B" w:rsidRDefault="00AE7DE0" w:rsidP="00A26279">
            <w:pPr>
              <w:pStyle w:val="ListParagraph"/>
              <w:rPr>
                <w:rFonts w:ascii="Arial" w:hAnsi="Arial" w:cs="Arial"/>
                <w:bCs w:val="0"/>
                <w:sz w:val="20"/>
                <w:szCs w:val="20"/>
                <w:lang w:val="it-IT"/>
              </w:rPr>
            </w:pPr>
          </w:p>
          <w:p w14:paraId="67955430"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b w:val="0"/>
                <w:sz w:val="20"/>
                <w:szCs w:val="20"/>
                <w:lang w:val="it-IT"/>
              </w:rPr>
            </w:pPr>
            <w:r w:rsidRPr="00787F18">
              <w:rPr>
                <w:rFonts w:ascii="Arial" w:hAnsi="Arial" w:cs="Arial"/>
                <w:b w:val="0"/>
                <w:sz w:val="20"/>
                <w:szCs w:val="20"/>
                <w:lang w:val="it-IT"/>
              </w:rPr>
              <w:t>Prilikom preciznog izračunavanja finansijskih izdataka/prihoda nije bilo problema. Svakako, nacrt Strategije digitalne transformacije 2022-2026 izrađen je u komunikaciji i saradnji sa Ministarstvom finansija. Konsultacije su sprovedene prilikom izrade nacrta i sve aktivnosti i sredstva za koja nije dobijena saglasnost Ministarstva finansija, nisu uključene u konačan tekst</w:t>
            </w:r>
            <w:r w:rsidRPr="00787F18">
              <w:rPr>
                <w:rFonts w:ascii="Arial" w:hAnsi="Arial" w:cs="Arial"/>
                <w:sz w:val="20"/>
                <w:szCs w:val="20"/>
                <w:lang w:val="it-IT"/>
              </w:rPr>
              <w:t xml:space="preserve">. </w:t>
            </w:r>
            <w:r w:rsidRPr="00787F18">
              <w:rPr>
                <w:rFonts w:ascii="Arial" w:hAnsi="Arial" w:cs="Arial"/>
                <w:b w:val="0"/>
                <w:sz w:val="20"/>
                <w:szCs w:val="20"/>
                <w:lang w:val="it-IT"/>
              </w:rPr>
              <w:t>Tokom analize fiskalnog uticaja, odabrane su 24 usluge iz različitih kategorija (e-farmer, e-ispiti, e-NVO) a čija je implementacija i/ili unapređenje predloženo Strategijom digitalne transformacije 2022-2026. Usluge su analizirane u zavisnosti i od stepena razvoja ali i kroz različite faze realizacije, kao što su podnošenje zahtjeva, dobijanje rješenja, izdavanje izvoda itd. Tabela u nastavku prikazuje prosječne izdatke ukoliko ne dođe do implementacije strategije i realizacije ciljeva definisanih Akcionim panom (ako se zadrži status quo), prosječne izdatke ako usluge budu digitalizovane, kao i prosječnu uštedu po proceduri:</w:t>
            </w:r>
          </w:p>
          <w:p w14:paraId="66CBA754" w14:textId="77777777" w:rsidR="00AE7DE0" w:rsidRPr="00787F18" w:rsidRDefault="00AE7DE0" w:rsidP="00A26279">
            <w:pPr>
              <w:rPr>
                <w:rFonts w:ascii="Arial" w:hAnsi="Arial" w:cs="Arial"/>
                <w:sz w:val="20"/>
                <w:szCs w:val="20"/>
                <w:lang w:val="it-IT"/>
              </w:rPr>
            </w:pPr>
          </w:p>
          <w:tbl>
            <w:tblPr>
              <w:tblW w:w="7915" w:type="dxa"/>
              <w:jc w:val="center"/>
              <w:tblLook w:val="04A0" w:firstRow="1" w:lastRow="0" w:firstColumn="1" w:lastColumn="0" w:noHBand="0" w:noVBand="1"/>
            </w:tblPr>
            <w:tblGrid>
              <w:gridCol w:w="2155"/>
              <w:gridCol w:w="1800"/>
              <w:gridCol w:w="2070"/>
              <w:gridCol w:w="1890"/>
            </w:tblGrid>
            <w:tr w:rsidR="00AE7DE0" w:rsidRPr="00787F18" w14:paraId="3683A2B4" w14:textId="77777777" w:rsidTr="00A26279">
              <w:trPr>
                <w:trHeight w:val="890"/>
                <w:jc w:val="center"/>
              </w:trPr>
              <w:tc>
                <w:tcPr>
                  <w:tcW w:w="21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DDF1EF4" w14:textId="77777777" w:rsidR="00AE7DE0" w:rsidRPr="00787F18" w:rsidRDefault="00AE7DE0" w:rsidP="00A26279">
                  <w:pPr>
                    <w:rPr>
                      <w:rFonts w:ascii="Arial" w:hAnsi="Arial" w:cs="Arial"/>
                      <w:sz w:val="20"/>
                      <w:szCs w:val="20"/>
                      <w:lang w:val="it-IT"/>
                    </w:rPr>
                  </w:pPr>
                  <w:r w:rsidRPr="00787F18">
                    <w:rPr>
                      <w:rFonts w:ascii="Arial" w:hAnsi="Arial" w:cs="Arial"/>
                      <w:sz w:val="20"/>
                      <w:szCs w:val="20"/>
                      <w:lang w:val="it-IT"/>
                    </w:rPr>
                    <w:t>Usluge</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14:paraId="63B33D85" w14:textId="77777777" w:rsidR="00AE7DE0" w:rsidRPr="00787F18" w:rsidRDefault="00AE7DE0" w:rsidP="00A26279">
                  <w:pPr>
                    <w:rPr>
                      <w:rFonts w:ascii="Arial" w:hAnsi="Arial" w:cs="Arial"/>
                      <w:sz w:val="20"/>
                      <w:szCs w:val="20"/>
                      <w:lang w:val="it-IT"/>
                    </w:rPr>
                  </w:pPr>
                  <w:r w:rsidRPr="00787F18">
                    <w:rPr>
                      <w:rFonts w:ascii="Arial" w:hAnsi="Arial" w:cs="Arial"/>
                      <w:sz w:val="20"/>
                      <w:szCs w:val="20"/>
                      <w:lang w:val="it-IT"/>
                    </w:rPr>
                    <w:t>Prosječan izdatak</w:t>
                  </w:r>
                  <w:r w:rsidRPr="00787F18">
                    <w:rPr>
                      <w:rFonts w:ascii="Arial" w:hAnsi="Arial" w:cs="Arial"/>
                      <w:sz w:val="20"/>
                      <w:szCs w:val="20"/>
                      <w:lang w:val="it-IT"/>
                    </w:rPr>
                    <w:br/>
                    <w:t>Status quo</w:t>
                  </w:r>
                </w:p>
              </w:tc>
              <w:tc>
                <w:tcPr>
                  <w:tcW w:w="2070" w:type="dxa"/>
                  <w:tcBorders>
                    <w:top w:val="single" w:sz="4" w:space="0" w:color="auto"/>
                    <w:left w:val="nil"/>
                    <w:bottom w:val="single" w:sz="4" w:space="0" w:color="auto"/>
                    <w:right w:val="single" w:sz="4" w:space="0" w:color="auto"/>
                  </w:tcBorders>
                  <w:shd w:val="clear" w:color="000000" w:fill="D9D9D9"/>
                  <w:vAlign w:val="center"/>
                  <w:hideMark/>
                </w:tcPr>
                <w:p w14:paraId="6E4C1113" w14:textId="77777777" w:rsidR="00AE7DE0" w:rsidRPr="00787F18" w:rsidRDefault="00AE7DE0" w:rsidP="00A26279">
                  <w:pPr>
                    <w:rPr>
                      <w:rFonts w:ascii="Arial" w:hAnsi="Arial" w:cs="Arial"/>
                      <w:sz w:val="20"/>
                      <w:szCs w:val="20"/>
                      <w:lang w:val="it-IT"/>
                    </w:rPr>
                  </w:pPr>
                  <w:r w:rsidRPr="00787F18">
                    <w:rPr>
                      <w:rFonts w:ascii="Arial" w:hAnsi="Arial" w:cs="Arial"/>
                      <w:sz w:val="20"/>
                      <w:szCs w:val="20"/>
                      <w:lang w:val="it-IT"/>
                    </w:rPr>
                    <w:t>Prosječan izdatak</w:t>
                  </w:r>
                  <w:r w:rsidRPr="00787F18">
                    <w:rPr>
                      <w:rFonts w:ascii="Arial" w:hAnsi="Arial" w:cs="Arial"/>
                      <w:sz w:val="20"/>
                      <w:szCs w:val="20"/>
                      <w:lang w:val="it-IT"/>
                    </w:rPr>
                    <w:br/>
                    <w:t>Digitalizacija</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14:paraId="7737E61B" w14:textId="77777777" w:rsidR="00AE7DE0" w:rsidRPr="00787F18" w:rsidRDefault="00AE7DE0" w:rsidP="00A26279">
                  <w:pPr>
                    <w:rPr>
                      <w:rFonts w:ascii="Arial" w:hAnsi="Arial" w:cs="Arial"/>
                      <w:sz w:val="20"/>
                      <w:szCs w:val="20"/>
                      <w:lang w:val="it-IT"/>
                    </w:rPr>
                  </w:pPr>
                  <w:r w:rsidRPr="00787F18">
                    <w:rPr>
                      <w:rFonts w:ascii="Arial" w:hAnsi="Arial" w:cs="Arial"/>
                      <w:sz w:val="20"/>
                      <w:szCs w:val="20"/>
                      <w:lang w:val="it-IT"/>
                    </w:rPr>
                    <w:t>Prosječan uticaj po proceduri</w:t>
                  </w:r>
                </w:p>
              </w:tc>
            </w:tr>
            <w:tr w:rsidR="00AE7DE0" w:rsidRPr="00FC3D7B" w14:paraId="1CD9BA15" w14:textId="77777777" w:rsidTr="00A26279">
              <w:trPr>
                <w:trHeight w:val="857"/>
                <w:jc w:val="center"/>
              </w:trPr>
              <w:tc>
                <w:tcPr>
                  <w:tcW w:w="2155" w:type="dxa"/>
                  <w:tcBorders>
                    <w:top w:val="nil"/>
                    <w:left w:val="single" w:sz="4" w:space="0" w:color="auto"/>
                    <w:bottom w:val="single" w:sz="4" w:space="0" w:color="auto"/>
                    <w:right w:val="single" w:sz="4" w:space="0" w:color="auto"/>
                  </w:tcBorders>
                  <w:shd w:val="clear" w:color="auto" w:fill="auto"/>
                  <w:vAlign w:val="center"/>
                  <w:hideMark/>
                </w:tcPr>
                <w:p w14:paraId="7305A7D5" w14:textId="77777777" w:rsidR="00AE7DE0" w:rsidRPr="00787F18" w:rsidRDefault="00AE7DE0" w:rsidP="00A26279">
                  <w:pPr>
                    <w:rPr>
                      <w:rFonts w:ascii="Arial" w:hAnsi="Arial" w:cs="Arial"/>
                      <w:sz w:val="20"/>
                      <w:szCs w:val="20"/>
                      <w:lang w:val="it-IT"/>
                    </w:rPr>
                  </w:pPr>
                  <w:r w:rsidRPr="00787F18">
                    <w:rPr>
                      <w:rFonts w:ascii="Arial" w:hAnsi="Arial" w:cs="Arial"/>
                      <w:sz w:val="20"/>
                      <w:szCs w:val="20"/>
                      <w:lang w:val="it-IT"/>
                    </w:rPr>
                    <w:t>Analiza fiskalnog uticaja za usluge iz kategorija e-farmer, e-ispit i e-NVO</w:t>
                  </w:r>
                </w:p>
              </w:tc>
              <w:tc>
                <w:tcPr>
                  <w:tcW w:w="1800" w:type="dxa"/>
                  <w:tcBorders>
                    <w:top w:val="nil"/>
                    <w:left w:val="nil"/>
                    <w:bottom w:val="single" w:sz="4" w:space="0" w:color="auto"/>
                    <w:right w:val="single" w:sz="4" w:space="0" w:color="auto"/>
                  </w:tcBorders>
                  <w:shd w:val="clear" w:color="auto" w:fill="auto"/>
                  <w:noWrap/>
                  <w:vAlign w:val="center"/>
                  <w:hideMark/>
                </w:tcPr>
                <w:p w14:paraId="3B048B6B"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sz w:val="20"/>
                      <w:szCs w:val="20"/>
                      <w:lang w:val="it-IT"/>
                    </w:rPr>
                  </w:pPr>
                  <w:r w:rsidRPr="00787F18">
                    <w:rPr>
                      <w:rFonts w:ascii="Arial" w:hAnsi="Arial" w:cs="Arial"/>
                      <w:sz w:val="20"/>
                      <w:szCs w:val="20"/>
                      <w:lang w:val="it-IT"/>
                    </w:rPr>
                    <w:t>16,02 €</w:t>
                  </w:r>
                </w:p>
              </w:tc>
              <w:tc>
                <w:tcPr>
                  <w:tcW w:w="2070" w:type="dxa"/>
                  <w:tcBorders>
                    <w:top w:val="nil"/>
                    <w:left w:val="nil"/>
                    <w:bottom w:val="single" w:sz="4" w:space="0" w:color="auto"/>
                    <w:right w:val="single" w:sz="4" w:space="0" w:color="auto"/>
                  </w:tcBorders>
                  <w:shd w:val="clear" w:color="auto" w:fill="auto"/>
                  <w:noWrap/>
                  <w:vAlign w:val="center"/>
                  <w:hideMark/>
                </w:tcPr>
                <w:p w14:paraId="38655739"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sz w:val="20"/>
                      <w:szCs w:val="20"/>
                      <w:lang w:val="it-IT"/>
                    </w:rPr>
                  </w:pPr>
                  <w:r w:rsidRPr="00787F18">
                    <w:rPr>
                      <w:rFonts w:ascii="Arial" w:hAnsi="Arial" w:cs="Arial"/>
                      <w:sz w:val="20"/>
                      <w:szCs w:val="20"/>
                      <w:lang w:val="it-IT"/>
                    </w:rPr>
                    <w:t>12,52 €</w:t>
                  </w:r>
                </w:p>
              </w:tc>
              <w:tc>
                <w:tcPr>
                  <w:tcW w:w="1890" w:type="dxa"/>
                  <w:tcBorders>
                    <w:top w:val="nil"/>
                    <w:left w:val="nil"/>
                    <w:bottom w:val="single" w:sz="4" w:space="0" w:color="auto"/>
                    <w:right w:val="single" w:sz="4" w:space="0" w:color="auto"/>
                  </w:tcBorders>
                  <w:shd w:val="clear" w:color="auto" w:fill="auto"/>
                  <w:noWrap/>
                  <w:vAlign w:val="center"/>
                  <w:hideMark/>
                </w:tcPr>
                <w:p w14:paraId="22CFE6E6" w14:textId="77777777" w:rsidR="00AE7DE0" w:rsidRPr="00787F18" w:rsidRDefault="00AE7DE0" w:rsidP="00AE7DE0">
                  <w:pPr>
                    <w:pStyle w:val="ListParagraph"/>
                    <w:numPr>
                      <w:ilvl w:val="0"/>
                      <w:numId w:val="69"/>
                    </w:numPr>
                    <w:spacing w:after="0" w:line="240" w:lineRule="auto"/>
                    <w:contextualSpacing w:val="0"/>
                    <w:jc w:val="both"/>
                    <w:rPr>
                      <w:rFonts w:ascii="Arial" w:hAnsi="Arial" w:cs="Arial"/>
                      <w:sz w:val="20"/>
                      <w:szCs w:val="20"/>
                      <w:lang w:val="it-IT"/>
                    </w:rPr>
                  </w:pPr>
                  <w:r w:rsidRPr="00787F18">
                    <w:rPr>
                      <w:rFonts w:ascii="Arial" w:hAnsi="Arial" w:cs="Arial"/>
                      <w:sz w:val="20"/>
                      <w:szCs w:val="20"/>
                      <w:lang w:val="it-IT"/>
                    </w:rPr>
                    <w:t>3,50 €</w:t>
                  </w:r>
                </w:p>
              </w:tc>
            </w:tr>
          </w:tbl>
          <w:p w14:paraId="67C477C4" w14:textId="77777777" w:rsidR="00AE7DE0" w:rsidRDefault="00AE7DE0" w:rsidP="00A26279">
            <w:pPr>
              <w:rPr>
                <w:rFonts w:ascii="Arial" w:hAnsi="Arial" w:cs="Arial"/>
                <w:sz w:val="20"/>
                <w:szCs w:val="20"/>
                <w:lang w:val="it-IT"/>
              </w:rPr>
            </w:pPr>
          </w:p>
          <w:p w14:paraId="7733869F" w14:textId="77777777" w:rsidR="00AE7DE0" w:rsidRPr="005D2CBB" w:rsidRDefault="00AE7DE0" w:rsidP="00A26279">
            <w:pPr>
              <w:rPr>
                <w:rFonts w:ascii="Arial" w:hAnsi="Arial" w:cs="Arial"/>
                <w:b w:val="0"/>
                <w:bCs w:val="0"/>
                <w:sz w:val="20"/>
                <w:szCs w:val="20"/>
                <w:lang w:val="it-IT"/>
              </w:rPr>
            </w:pPr>
          </w:p>
        </w:tc>
      </w:tr>
      <w:tr w:rsidR="00AE7DE0" w:rsidRPr="0052159A" w14:paraId="7535225C"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09525D8C" w14:textId="77777777" w:rsidR="00AE7DE0" w:rsidRPr="00817808" w:rsidRDefault="00AE7DE0" w:rsidP="00A26279">
            <w:pPr>
              <w:autoSpaceDE w:val="0"/>
              <w:autoSpaceDN w:val="0"/>
              <w:adjustRightInd w:val="0"/>
              <w:rPr>
                <w:rFonts w:ascii="Arial" w:hAnsi="Arial" w:cs="Arial"/>
                <w:b w:val="0"/>
                <w:color w:val="365F91" w:themeColor="accent1" w:themeShade="BF"/>
                <w:sz w:val="20"/>
                <w:szCs w:val="20"/>
              </w:rPr>
            </w:pPr>
            <w:r w:rsidRPr="005D2CBB">
              <w:rPr>
                <w:rFonts w:ascii="Arial" w:hAnsi="Arial" w:cs="Arial"/>
                <w:sz w:val="20"/>
                <w:szCs w:val="20"/>
                <w:lang w:val="it-IT"/>
              </w:rPr>
              <w:br w:type="page"/>
            </w:r>
            <w:r w:rsidRPr="00817808">
              <w:rPr>
                <w:rFonts w:ascii="Arial" w:hAnsi="Arial" w:cs="Arial"/>
                <w:color w:val="365F91" w:themeColor="accent1" w:themeShade="BF"/>
                <w:sz w:val="20"/>
                <w:szCs w:val="20"/>
              </w:rPr>
              <w:t xml:space="preserve">6. </w:t>
            </w:r>
            <w:r w:rsidRPr="00741105">
              <w:rPr>
                <w:rFonts w:ascii="Arial" w:hAnsi="Arial" w:cs="Arial"/>
                <w:color w:val="365F91" w:themeColor="accent1" w:themeShade="BF"/>
                <w:sz w:val="20"/>
                <w:szCs w:val="20"/>
              </w:rPr>
              <w:t>Konsultacije zainteresovanih strana</w:t>
            </w:r>
          </w:p>
          <w:p w14:paraId="37DB89D8" w14:textId="77777777" w:rsidR="00AE7DE0" w:rsidRPr="00CA5B1B"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lang w:val="it-IT"/>
              </w:rPr>
            </w:pPr>
            <w:r w:rsidRPr="00CA5B1B">
              <w:rPr>
                <w:rFonts w:ascii="Arial" w:hAnsi="Arial" w:cs="Arial"/>
                <w:color w:val="365F91" w:themeColor="accent1" w:themeShade="BF"/>
                <w:sz w:val="20"/>
                <w:szCs w:val="20"/>
                <w:lang w:val="it-IT"/>
              </w:rPr>
              <w:t>Naznačiti da li je korišćena eksterna ekspertska podrška i ako da, kako.</w:t>
            </w:r>
          </w:p>
          <w:p w14:paraId="7C43EFF8" w14:textId="77777777" w:rsidR="00AE7DE0" w:rsidRPr="00CA5B1B" w:rsidRDefault="00AE7DE0" w:rsidP="00AE7DE0">
            <w:pPr>
              <w:pStyle w:val="ListParagraph"/>
              <w:numPr>
                <w:ilvl w:val="0"/>
                <w:numId w:val="68"/>
              </w:numPr>
              <w:autoSpaceDE w:val="0"/>
              <w:autoSpaceDN w:val="0"/>
              <w:adjustRightInd w:val="0"/>
              <w:spacing w:after="0" w:line="240" w:lineRule="auto"/>
              <w:jc w:val="both"/>
              <w:rPr>
                <w:rFonts w:ascii="Arial" w:hAnsi="Arial" w:cs="Arial"/>
                <w:color w:val="365F91" w:themeColor="accent1" w:themeShade="BF"/>
                <w:sz w:val="20"/>
                <w:szCs w:val="20"/>
                <w:lang w:val="it-IT"/>
              </w:rPr>
            </w:pPr>
            <w:r w:rsidRPr="00CA5B1B">
              <w:rPr>
                <w:rFonts w:ascii="Arial" w:hAnsi="Arial" w:cs="Arial"/>
                <w:color w:val="365F91" w:themeColor="accent1" w:themeShade="BF"/>
                <w:sz w:val="20"/>
                <w:szCs w:val="20"/>
                <w:lang w:val="it-IT"/>
              </w:rPr>
              <w:t>Naznačiti koje su grupe zainteresovanih strana konsultovane, u kojoj fazi RIA procesa i kako (javne ili ciljane konsultacije).</w:t>
            </w:r>
          </w:p>
          <w:p w14:paraId="5559E864" w14:textId="77777777" w:rsidR="00AE7DE0" w:rsidRPr="00817808" w:rsidRDefault="00AE7DE0" w:rsidP="00AE7DE0">
            <w:pPr>
              <w:pStyle w:val="ListParagraph"/>
              <w:numPr>
                <w:ilvl w:val="0"/>
                <w:numId w:val="68"/>
              </w:numPr>
              <w:autoSpaceDE w:val="0"/>
              <w:autoSpaceDN w:val="0"/>
              <w:adjustRightInd w:val="0"/>
              <w:spacing w:after="0" w:line="240" w:lineRule="auto"/>
              <w:jc w:val="both"/>
              <w:rPr>
                <w:rFonts w:ascii="Arial" w:hAnsi="Arial" w:cs="Arial"/>
                <w:b w:val="0"/>
                <w:color w:val="365F91" w:themeColor="accent1" w:themeShade="BF"/>
                <w:sz w:val="20"/>
                <w:szCs w:val="20"/>
              </w:rPr>
            </w:pPr>
            <w:r w:rsidRPr="00CA5B1B">
              <w:rPr>
                <w:rFonts w:ascii="Arial" w:hAnsi="Arial" w:cs="Arial"/>
                <w:color w:val="365F91" w:themeColor="accent1" w:themeShade="BF"/>
                <w:sz w:val="20"/>
                <w:szCs w:val="20"/>
                <w:lang w:val="it-IT"/>
              </w:rPr>
              <w:t xml:space="preserve">Naznačiti glavne rezultate konsultacija, i koji su predlozi i sugestije zainteresovanih strana prihvaćeni odnosno nijesu prihvaćeni. </w:t>
            </w:r>
            <w:r w:rsidRPr="00CA5B1B">
              <w:rPr>
                <w:rFonts w:ascii="Arial" w:hAnsi="Arial" w:cs="Arial"/>
                <w:color w:val="365F91" w:themeColor="accent1" w:themeShade="BF"/>
                <w:sz w:val="20"/>
                <w:szCs w:val="20"/>
              </w:rPr>
              <w:t>Obrazložiti.</w:t>
            </w:r>
          </w:p>
        </w:tc>
      </w:tr>
      <w:tr w:rsidR="00AE7DE0" w:rsidRPr="0047726C" w14:paraId="786B35B2" w14:textId="77777777" w:rsidTr="00AE7DE0">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auto"/>
          </w:tcPr>
          <w:p w14:paraId="1274220E" w14:textId="77777777" w:rsidR="00AE7DE0" w:rsidRPr="00453C62"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rPr>
            </w:pPr>
            <w:r w:rsidRPr="00453C62">
              <w:rPr>
                <w:rFonts w:ascii="Arial" w:hAnsi="Arial" w:cs="Arial"/>
                <w:b w:val="0"/>
                <w:sz w:val="20"/>
                <w:szCs w:val="20"/>
              </w:rPr>
              <w:t xml:space="preserve">Strategija </w:t>
            </w:r>
            <w:r>
              <w:rPr>
                <w:rFonts w:ascii="Arial" w:hAnsi="Arial" w:cs="Arial"/>
                <w:b w:val="0"/>
                <w:sz w:val="20"/>
                <w:szCs w:val="20"/>
              </w:rPr>
              <w:t xml:space="preserve">digitalne transofrmacije Crne Gore 2022-2026 </w:t>
            </w:r>
            <w:r w:rsidRPr="00453C62">
              <w:rPr>
                <w:rFonts w:ascii="Arial" w:hAnsi="Arial" w:cs="Arial"/>
                <w:b w:val="0"/>
                <w:sz w:val="20"/>
                <w:szCs w:val="20"/>
              </w:rPr>
              <w:t xml:space="preserve">pripremljena </w:t>
            </w:r>
            <w:r>
              <w:rPr>
                <w:rFonts w:ascii="Arial" w:hAnsi="Arial" w:cs="Arial"/>
                <w:b w:val="0"/>
                <w:sz w:val="20"/>
                <w:szCs w:val="20"/>
              </w:rPr>
              <w:t xml:space="preserve">je </w:t>
            </w:r>
            <w:r w:rsidRPr="00453C62">
              <w:rPr>
                <w:rFonts w:ascii="Arial" w:hAnsi="Arial" w:cs="Arial"/>
                <w:b w:val="0"/>
                <w:sz w:val="20"/>
                <w:szCs w:val="20"/>
              </w:rPr>
              <w:t xml:space="preserve">u saradnji sa relevantnim zainteresovanim stranama i operativnom radnom grupom (ORG) za pripremu strategije, koju </w:t>
            </w:r>
            <w:r>
              <w:rPr>
                <w:rFonts w:ascii="Arial" w:hAnsi="Arial" w:cs="Arial"/>
                <w:b w:val="0"/>
                <w:sz w:val="20"/>
                <w:szCs w:val="20"/>
              </w:rPr>
              <w:t xml:space="preserve">su </w:t>
            </w:r>
            <w:r w:rsidRPr="00453C62">
              <w:rPr>
                <w:rFonts w:ascii="Arial" w:hAnsi="Arial" w:cs="Arial"/>
                <w:b w:val="0"/>
                <w:sz w:val="20"/>
                <w:szCs w:val="20"/>
              </w:rPr>
              <w:t>čin</w:t>
            </w:r>
            <w:r>
              <w:rPr>
                <w:rFonts w:ascii="Arial" w:hAnsi="Arial" w:cs="Arial"/>
                <w:b w:val="0"/>
                <w:sz w:val="20"/>
                <w:szCs w:val="20"/>
              </w:rPr>
              <w:t>ili</w:t>
            </w:r>
            <w:r w:rsidRPr="00453C62">
              <w:rPr>
                <w:rFonts w:ascii="Arial" w:hAnsi="Arial" w:cs="Arial"/>
                <w:b w:val="0"/>
                <w:sz w:val="20"/>
                <w:szCs w:val="20"/>
              </w:rPr>
              <w:t xml:space="preserve"> predstavnici sledećih institucija:</w:t>
            </w:r>
          </w:p>
          <w:p w14:paraId="0C4B25AB"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Generalni sekretarijat Vlade Crne Gore;</w:t>
            </w:r>
          </w:p>
          <w:p w14:paraId="39F0B589"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Ministarstvo javne uprave, digitalnog društva i medija;</w:t>
            </w:r>
          </w:p>
          <w:p w14:paraId="62712D3F"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Ministarstvo finansija i socijalnog staranja;</w:t>
            </w:r>
          </w:p>
          <w:p w14:paraId="2AE1B9FB"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Ministarstvo ekonomskog razvoja;</w:t>
            </w:r>
          </w:p>
          <w:p w14:paraId="30A8A1D5"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Ministarstvo prosvjete, nauke, kulture i sporta;</w:t>
            </w:r>
          </w:p>
          <w:p w14:paraId="50554570"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Ministarstvo zdravlja;</w:t>
            </w:r>
          </w:p>
          <w:p w14:paraId="7255CA74"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Ministarstvo unutrašnjih poslova;</w:t>
            </w:r>
          </w:p>
          <w:p w14:paraId="6044AC24"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Agencija za elektronske medije i poštansku djelatnost;</w:t>
            </w:r>
          </w:p>
          <w:p w14:paraId="458CBF6A"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NVO 35mm;</w:t>
            </w:r>
          </w:p>
          <w:p w14:paraId="43981349"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NVO multimedija MNE;</w:t>
            </w:r>
          </w:p>
          <w:p w14:paraId="3C289FD3"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Bankarski sektor;</w:t>
            </w:r>
          </w:p>
          <w:p w14:paraId="7D88465A"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Akademska Zajednica;</w:t>
            </w:r>
          </w:p>
          <w:p w14:paraId="6FFFEFB1"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sz w:val="20"/>
                <w:szCs w:val="20"/>
                <w:lang w:val="it-IT"/>
              </w:rPr>
            </w:pPr>
            <w:r w:rsidRPr="00453C62">
              <w:rPr>
                <w:rFonts w:ascii="Arial" w:hAnsi="Arial" w:cs="Arial"/>
                <w:b w:val="0"/>
                <w:sz w:val="20"/>
                <w:szCs w:val="20"/>
                <w:lang w:val="it-IT"/>
              </w:rPr>
              <w:t>Telekomunikacioni sektor;</w:t>
            </w:r>
          </w:p>
          <w:p w14:paraId="489B4306" w14:textId="77777777" w:rsidR="00AE7DE0" w:rsidRPr="00453C62"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453C62">
              <w:rPr>
                <w:rFonts w:ascii="Arial" w:hAnsi="Arial" w:cs="Arial"/>
                <w:b w:val="0"/>
                <w:sz w:val="20"/>
                <w:szCs w:val="20"/>
                <w:lang w:val="it-IT"/>
              </w:rPr>
              <w:t>ICT zajednica</w:t>
            </w:r>
          </w:p>
          <w:p w14:paraId="07672269" w14:textId="77777777" w:rsidR="00AE7DE0" w:rsidRPr="00453C62" w:rsidRDefault="00AE7DE0" w:rsidP="00A26279">
            <w:pPr>
              <w:autoSpaceDE w:val="0"/>
              <w:autoSpaceDN w:val="0"/>
              <w:adjustRightInd w:val="0"/>
              <w:contextualSpacing/>
              <w:rPr>
                <w:rFonts w:ascii="Arial" w:hAnsi="Arial" w:cs="Arial"/>
                <w:bCs w:val="0"/>
                <w:sz w:val="20"/>
                <w:szCs w:val="20"/>
                <w:lang w:val="it-IT"/>
              </w:rPr>
            </w:pPr>
          </w:p>
          <w:p w14:paraId="1A9FD8D5" w14:textId="77777777" w:rsidR="00AE7DE0" w:rsidRPr="00B054ED"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9A4CF8">
              <w:rPr>
                <w:rFonts w:ascii="Arial" w:hAnsi="Arial" w:cs="Arial"/>
                <w:b w:val="0"/>
                <w:sz w:val="20"/>
                <w:szCs w:val="20"/>
                <w:lang w:val="it-IT"/>
              </w:rPr>
              <w:t>Na osnovu analize prikupljene dokumentacije, informacija dobijenih tokom javnih konsultacija za pripremu Strategije, kao i ključnih izazova koji su istaknuti od strane Operativne radne grupe, prepoznat je značaj uspostavljanja centralnog koordinacionog tijela za upravljanje i usmjeravanje aktivnosti za uspješnu digitalnu transformaciju. Značaj uspostavljanja ovakvog tijela ogleda se u činjenici da trenutno postoji veoma visoka fragmentacija ciljeva, odgovornosti, radnih tijela i strateških dokumenata u ovoj oblasti. Pored toga, primjetna su i određena preklapanja odgovornosti kod postojećih savjetodavnih tijela kao i potreba za preciznim pozicioniranjem njihove uloge i oblastima djelovanja na određenom nivou – društvenom ili sektorskom.</w:t>
            </w:r>
          </w:p>
          <w:p w14:paraId="014E302F" w14:textId="77777777" w:rsidR="00AE7DE0" w:rsidRPr="009A4CF8" w:rsidRDefault="00AE7DE0" w:rsidP="00A26279">
            <w:pPr>
              <w:pStyle w:val="ListParagraph"/>
              <w:autoSpaceDE w:val="0"/>
              <w:autoSpaceDN w:val="0"/>
              <w:adjustRightInd w:val="0"/>
              <w:ind w:left="630"/>
              <w:rPr>
                <w:rFonts w:ascii="Arial" w:hAnsi="Arial" w:cs="Arial"/>
                <w:b w:val="0"/>
                <w:bCs w:val="0"/>
                <w:sz w:val="20"/>
                <w:szCs w:val="20"/>
                <w:lang w:val="it-IT"/>
              </w:rPr>
            </w:pPr>
          </w:p>
          <w:p w14:paraId="2F9B3585" w14:textId="77777777" w:rsidR="00AE7DE0" w:rsidRPr="00B054ED"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 xml:space="preserve">Programom rada Vlade Crne Gore za 2021, prepoznat je cilj 5.5 koji je izričito u nadležnosti Ministarstva javne uprave, digitalnog društva i medija (MJUDDIM) i koji se fokusira na razvoj digitalnog društva kao i poboljšanje stepena digitalne transformacije proizvoda i usluga namijenjenih građanima i privredi. </w:t>
            </w:r>
          </w:p>
          <w:p w14:paraId="7060FCDE" w14:textId="77777777" w:rsidR="00AE7DE0" w:rsidRPr="00B054ED" w:rsidRDefault="00AE7DE0" w:rsidP="00A26279">
            <w:pPr>
              <w:autoSpaceDE w:val="0"/>
              <w:autoSpaceDN w:val="0"/>
              <w:adjustRightInd w:val="0"/>
              <w:contextualSpacing/>
              <w:rPr>
                <w:rFonts w:ascii="Arial" w:hAnsi="Arial" w:cs="Arial"/>
                <w:bCs w:val="0"/>
                <w:sz w:val="20"/>
                <w:szCs w:val="20"/>
                <w:lang w:val="it-IT"/>
              </w:rPr>
            </w:pPr>
          </w:p>
          <w:p w14:paraId="53D1B5EA" w14:textId="77777777" w:rsidR="00AE7DE0" w:rsidRPr="006F2293"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Pr>
                <w:rFonts w:ascii="Arial" w:hAnsi="Arial" w:cs="Arial"/>
                <w:b w:val="0"/>
                <w:sz w:val="20"/>
                <w:szCs w:val="20"/>
                <w:lang w:val="it-IT"/>
              </w:rPr>
              <w:t>Osim prethodno navedenih, postoje i određena</w:t>
            </w:r>
            <w:r w:rsidRPr="006F2293">
              <w:rPr>
                <w:rFonts w:ascii="Arial" w:hAnsi="Arial" w:cs="Arial"/>
                <w:b w:val="0"/>
                <w:sz w:val="20"/>
                <w:szCs w:val="20"/>
                <w:lang w:val="it-IT"/>
              </w:rPr>
              <w:t xml:space="preserve"> radna tijela sa koordinacionim zadacima i njihovim odgovornostima, a koje ulaze i u domen digitalne transformacije</w:t>
            </w:r>
            <w:r>
              <w:rPr>
                <w:rFonts w:ascii="Arial" w:hAnsi="Arial" w:cs="Arial"/>
                <w:b w:val="0"/>
                <w:sz w:val="20"/>
                <w:szCs w:val="20"/>
                <w:lang w:val="it-IT"/>
              </w:rPr>
              <w:t>. To su</w:t>
            </w:r>
            <w:r w:rsidRPr="006F2293">
              <w:rPr>
                <w:rFonts w:ascii="Arial" w:hAnsi="Arial" w:cs="Arial"/>
                <w:b w:val="0"/>
                <w:sz w:val="20"/>
                <w:szCs w:val="20"/>
                <w:lang w:val="it-IT"/>
              </w:rPr>
              <w:t>:</w:t>
            </w:r>
          </w:p>
          <w:p w14:paraId="2F3CAB66"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Savjet za inovacije i pametnu specijalizaciju</w:t>
            </w:r>
          </w:p>
          <w:p w14:paraId="45883648"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Savjet za konkurentnost</w:t>
            </w:r>
          </w:p>
          <w:p w14:paraId="159733E9"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Savjet za elektronsku upravu</w:t>
            </w:r>
          </w:p>
          <w:p w14:paraId="64AF3D9F"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Savjet za reformu javne uprave</w:t>
            </w:r>
          </w:p>
          <w:p w14:paraId="31DBDDA5"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Savjet za upravljanje portalom otvornih podataka</w:t>
            </w:r>
          </w:p>
          <w:p w14:paraId="5AD2D776"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Formirana platforma za razmjenu ideja – klaster za informacione tehnologije inovacije, edukaciju, dizajn i tehnološki razvoj Crne Gore</w:t>
            </w:r>
          </w:p>
          <w:p w14:paraId="65A09F82" w14:textId="77777777" w:rsidR="00AE7DE0" w:rsidRPr="006F2293" w:rsidRDefault="00AE7DE0" w:rsidP="00A26279">
            <w:pPr>
              <w:pStyle w:val="ListParagraph"/>
              <w:autoSpaceDE w:val="0"/>
              <w:autoSpaceDN w:val="0"/>
              <w:adjustRightInd w:val="0"/>
              <w:ind w:left="630"/>
              <w:rPr>
                <w:rFonts w:ascii="Arial" w:hAnsi="Arial" w:cs="Arial"/>
                <w:b w:val="0"/>
                <w:bCs w:val="0"/>
                <w:sz w:val="20"/>
                <w:szCs w:val="20"/>
                <w:lang w:val="it-IT"/>
              </w:rPr>
            </w:pPr>
          </w:p>
          <w:p w14:paraId="5E142FAB" w14:textId="77777777" w:rsidR="00AE7DE0" w:rsidRPr="006F2293"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Imajući u vidu da oblast digitalne transformacije obuhvata mnogo širi aspekt promjena, kao što su i pitanja obezbjeđenja informacione bezbjednosti, pouzdane informacione infrastrukture, zaštite ličnih podataka i sl., formirana su tijela ali i definisane nadležnosti u institucijama koja se bave ovim temama, kao što su:</w:t>
            </w:r>
          </w:p>
          <w:p w14:paraId="47758D1C"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Savjet za informacionu bezbjednost</w:t>
            </w:r>
          </w:p>
          <w:p w14:paraId="03B34AC9"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Odjeljenje za informatičku bezbjednost i odgovor na računarske incidente (CIRT)</w:t>
            </w:r>
          </w:p>
          <w:p w14:paraId="1048ABCF"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 xml:space="preserve">Agencija za zaštitu ličnih podataka </w:t>
            </w:r>
          </w:p>
          <w:p w14:paraId="4EF3CCCF"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Radne grupe/timovi koji prate implementaciju i razvoj određenih oblasti, kao što su:</w:t>
            </w:r>
          </w:p>
          <w:p w14:paraId="7A050C45"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Međuresorni radni tim za praćenje razvoja elektronskih usluga;</w:t>
            </w:r>
          </w:p>
          <w:p w14:paraId="2EB4A290"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Radni tim za open data;</w:t>
            </w:r>
          </w:p>
          <w:p w14:paraId="62CD2C93"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Međuresorni radni tim za praćenje implementacije za elektronsko upravljanje</w:t>
            </w:r>
          </w:p>
          <w:p w14:paraId="7434016E" w14:textId="77777777" w:rsidR="00AE7DE0" w:rsidRPr="006F2293"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dokumetima i pripremu predloga za dalju implementaciju;</w:t>
            </w:r>
          </w:p>
          <w:p w14:paraId="0A27C6BC" w14:textId="77777777" w:rsidR="00AE7DE0" w:rsidRDefault="00AE7DE0" w:rsidP="00AE7DE0">
            <w:pPr>
              <w:pStyle w:val="ListParagraph"/>
              <w:numPr>
                <w:ilvl w:val="1"/>
                <w:numId w:val="68"/>
              </w:numPr>
              <w:autoSpaceDE w:val="0"/>
              <w:autoSpaceDN w:val="0"/>
              <w:adjustRightInd w:val="0"/>
              <w:spacing w:after="0" w:line="240" w:lineRule="auto"/>
              <w:jc w:val="both"/>
              <w:rPr>
                <w:rFonts w:ascii="Arial" w:hAnsi="Arial" w:cs="Arial"/>
                <w:b w:val="0"/>
                <w:bCs w:val="0"/>
                <w:sz w:val="20"/>
                <w:szCs w:val="20"/>
                <w:lang w:val="it-IT"/>
              </w:rPr>
            </w:pPr>
            <w:r w:rsidRPr="006F2293">
              <w:rPr>
                <w:rFonts w:ascii="Arial" w:hAnsi="Arial" w:cs="Arial"/>
                <w:b w:val="0"/>
                <w:sz w:val="20"/>
                <w:szCs w:val="20"/>
                <w:lang w:val="it-IT"/>
              </w:rPr>
              <w:t>Međuresorski stručni tim za interoperabilnost registara.</w:t>
            </w:r>
          </w:p>
          <w:p w14:paraId="32FFD1D2" w14:textId="77777777" w:rsidR="00AE7DE0" w:rsidRPr="005E28F5" w:rsidRDefault="00AE7DE0" w:rsidP="00A26279">
            <w:pPr>
              <w:autoSpaceDE w:val="0"/>
              <w:autoSpaceDN w:val="0"/>
              <w:adjustRightInd w:val="0"/>
              <w:ind w:left="990"/>
              <w:contextualSpacing/>
              <w:rPr>
                <w:rFonts w:ascii="Arial" w:hAnsi="Arial" w:cs="Arial"/>
                <w:bCs w:val="0"/>
                <w:sz w:val="20"/>
                <w:szCs w:val="20"/>
                <w:lang w:val="it-IT"/>
              </w:rPr>
            </w:pPr>
          </w:p>
          <w:p w14:paraId="1B212F9F" w14:textId="77777777" w:rsidR="00AE7DE0" w:rsidRPr="00D2257B"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Pr>
                <w:rFonts w:ascii="Arial" w:hAnsi="Arial" w:cs="Arial"/>
                <w:b w:val="0"/>
                <w:sz w:val="20"/>
                <w:szCs w:val="20"/>
                <w:lang w:val="it-IT"/>
              </w:rPr>
              <w:t>Na početku procesa izrade strategije formiran je</w:t>
            </w:r>
            <w:r w:rsidRPr="00900D5D">
              <w:rPr>
                <w:rFonts w:ascii="Arial" w:hAnsi="Arial" w:cs="Arial"/>
                <w:b w:val="0"/>
                <w:sz w:val="20"/>
                <w:szCs w:val="20"/>
                <w:lang w:val="it-IT"/>
              </w:rPr>
              <w:t xml:space="preserve"> radni</w:t>
            </w:r>
            <w:r>
              <w:rPr>
                <w:rFonts w:ascii="Arial" w:hAnsi="Arial" w:cs="Arial"/>
                <w:b w:val="0"/>
                <w:sz w:val="20"/>
                <w:szCs w:val="20"/>
                <w:lang w:val="it-IT"/>
              </w:rPr>
              <w:t xml:space="preserve"> (operativni)</w:t>
            </w:r>
            <w:r w:rsidRPr="00900D5D">
              <w:rPr>
                <w:rFonts w:ascii="Arial" w:hAnsi="Arial" w:cs="Arial"/>
                <w:b w:val="0"/>
                <w:sz w:val="20"/>
                <w:szCs w:val="20"/>
                <w:lang w:val="it-IT"/>
              </w:rPr>
              <w:t xml:space="preserve"> tim sastavljen od predstavnika ključnih organa državne uprave, relevantnih predstavnika biznis zajedn</w:t>
            </w:r>
            <w:r>
              <w:rPr>
                <w:rFonts w:ascii="Arial" w:hAnsi="Arial" w:cs="Arial"/>
                <w:b w:val="0"/>
                <w:sz w:val="20"/>
                <w:szCs w:val="20"/>
                <w:lang w:val="it-IT"/>
              </w:rPr>
              <w:t>ice i ICT sektora, NVO sektora i</w:t>
            </w:r>
            <w:r w:rsidRPr="00900D5D">
              <w:rPr>
                <w:rFonts w:ascii="Arial" w:hAnsi="Arial" w:cs="Arial"/>
                <w:b w:val="0"/>
                <w:sz w:val="20"/>
                <w:szCs w:val="20"/>
                <w:lang w:val="it-IT"/>
              </w:rPr>
              <w:t xml:space="preserve"> međunarodnih eksperata sa bogatim iskustvom u o</w:t>
            </w:r>
            <w:r>
              <w:rPr>
                <w:rFonts w:ascii="Arial" w:hAnsi="Arial" w:cs="Arial"/>
                <w:b w:val="0"/>
                <w:sz w:val="20"/>
                <w:szCs w:val="20"/>
                <w:lang w:val="it-IT"/>
              </w:rPr>
              <w:t xml:space="preserve">blasti digitalne transformacije a u cilju definisanja ključnog strateškog dokumenta koji će prepoznati krucijalne izazove u ovoj oblasti i identifikovati prioritetne ciljeve kao i aktivnosti koji će doprinjeti njihovoj krajnjoj realizaciji i sveukupnoj digitalnoj transformaciji društva. </w:t>
            </w:r>
            <w:r w:rsidRPr="00D2257B">
              <w:rPr>
                <w:rFonts w:ascii="Arial" w:hAnsi="Arial" w:cs="Arial"/>
                <w:sz w:val="20"/>
                <w:szCs w:val="20"/>
                <w:lang w:val="it-IT"/>
              </w:rPr>
              <w:t xml:space="preserve"> </w:t>
            </w:r>
          </w:p>
          <w:p w14:paraId="632CA16E" w14:textId="77777777" w:rsidR="00AE7DE0" w:rsidRPr="00D2257B" w:rsidRDefault="00AE7DE0" w:rsidP="00A26279">
            <w:pPr>
              <w:pStyle w:val="ListParagraph"/>
              <w:autoSpaceDE w:val="0"/>
              <w:autoSpaceDN w:val="0"/>
              <w:adjustRightInd w:val="0"/>
              <w:ind w:left="630"/>
              <w:rPr>
                <w:rFonts w:ascii="Arial" w:hAnsi="Arial" w:cs="Arial"/>
                <w:b w:val="0"/>
                <w:bCs w:val="0"/>
                <w:sz w:val="20"/>
                <w:szCs w:val="20"/>
                <w:lang w:val="it-IT"/>
              </w:rPr>
            </w:pPr>
          </w:p>
          <w:p w14:paraId="4239DB6B" w14:textId="77777777" w:rsidR="00AE7DE0"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Pr>
                <w:rFonts w:ascii="Arial" w:hAnsi="Arial" w:cs="Arial"/>
                <w:b w:val="0"/>
                <w:sz w:val="20"/>
                <w:szCs w:val="20"/>
                <w:lang w:val="it-IT"/>
              </w:rPr>
              <w:t>Tokom trajanja procesa izrade Nacrta strategije realizovane su</w:t>
            </w:r>
            <w:r w:rsidRPr="00900D5D">
              <w:rPr>
                <w:rFonts w:ascii="Arial" w:hAnsi="Arial" w:cs="Arial"/>
                <w:b w:val="0"/>
                <w:sz w:val="20"/>
                <w:szCs w:val="20"/>
                <w:lang w:val="it-IT"/>
              </w:rPr>
              <w:t xml:space="preserve"> </w:t>
            </w:r>
            <w:r>
              <w:rPr>
                <w:rFonts w:ascii="Arial" w:hAnsi="Arial" w:cs="Arial"/>
                <w:b w:val="0"/>
                <w:sz w:val="20"/>
                <w:szCs w:val="20"/>
                <w:lang w:val="it-IT"/>
              </w:rPr>
              <w:t>konsultacije</w:t>
            </w:r>
            <w:r w:rsidRPr="00900D5D">
              <w:rPr>
                <w:rFonts w:ascii="Arial" w:hAnsi="Arial" w:cs="Arial"/>
                <w:b w:val="0"/>
                <w:sz w:val="20"/>
                <w:szCs w:val="20"/>
                <w:lang w:val="it-IT"/>
              </w:rPr>
              <w:t xml:space="preserve"> sa zainterosav</w:t>
            </w:r>
            <w:r>
              <w:rPr>
                <w:rFonts w:ascii="Arial" w:hAnsi="Arial" w:cs="Arial"/>
                <w:b w:val="0"/>
                <w:sz w:val="20"/>
                <w:szCs w:val="20"/>
                <w:lang w:val="it-IT"/>
              </w:rPr>
              <w:t>a</w:t>
            </w:r>
            <w:r w:rsidRPr="00900D5D">
              <w:rPr>
                <w:rFonts w:ascii="Arial" w:hAnsi="Arial" w:cs="Arial"/>
                <w:b w:val="0"/>
                <w:sz w:val="20"/>
                <w:szCs w:val="20"/>
                <w:lang w:val="it-IT"/>
              </w:rPr>
              <w:t>nim stranama u cilju prikupljanja komentara, suge</w:t>
            </w:r>
            <w:r>
              <w:rPr>
                <w:rFonts w:ascii="Arial" w:hAnsi="Arial" w:cs="Arial"/>
                <w:b w:val="0"/>
                <w:sz w:val="20"/>
                <w:szCs w:val="20"/>
                <w:lang w:val="it-IT"/>
              </w:rPr>
              <w:t>stija i inicijativa za što kvalitetnije</w:t>
            </w:r>
            <w:r w:rsidRPr="00900D5D">
              <w:rPr>
                <w:rFonts w:ascii="Arial" w:hAnsi="Arial" w:cs="Arial"/>
                <w:b w:val="0"/>
                <w:sz w:val="20"/>
                <w:szCs w:val="20"/>
                <w:lang w:val="it-IT"/>
              </w:rPr>
              <w:t xml:space="preserve"> </w:t>
            </w:r>
            <w:r>
              <w:rPr>
                <w:rFonts w:ascii="Arial" w:hAnsi="Arial" w:cs="Arial"/>
                <w:b w:val="0"/>
                <w:sz w:val="20"/>
                <w:szCs w:val="20"/>
                <w:lang w:val="it-IT"/>
              </w:rPr>
              <w:t>definisanje koncepta strategije, a sa krajnjim c</w:t>
            </w:r>
            <w:r w:rsidRPr="00900D5D">
              <w:rPr>
                <w:rFonts w:ascii="Arial" w:hAnsi="Arial" w:cs="Arial"/>
                <w:b w:val="0"/>
                <w:sz w:val="20"/>
                <w:szCs w:val="20"/>
                <w:lang w:val="it-IT"/>
              </w:rPr>
              <w:t>ilj</w:t>
            </w:r>
            <w:r>
              <w:rPr>
                <w:rFonts w:ascii="Arial" w:hAnsi="Arial" w:cs="Arial"/>
                <w:b w:val="0"/>
                <w:sz w:val="20"/>
                <w:szCs w:val="20"/>
                <w:lang w:val="it-IT"/>
              </w:rPr>
              <w:t>em postavljanja</w:t>
            </w:r>
            <w:r w:rsidRPr="00900D5D">
              <w:rPr>
                <w:rFonts w:ascii="Arial" w:hAnsi="Arial" w:cs="Arial"/>
                <w:b w:val="0"/>
                <w:sz w:val="20"/>
                <w:szCs w:val="20"/>
                <w:lang w:val="it-IT"/>
              </w:rPr>
              <w:t xml:space="preserve"> </w:t>
            </w:r>
            <w:r>
              <w:rPr>
                <w:rFonts w:ascii="Arial" w:hAnsi="Arial" w:cs="Arial"/>
                <w:b w:val="0"/>
                <w:sz w:val="20"/>
                <w:szCs w:val="20"/>
                <w:lang w:val="it-IT"/>
              </w:rPr>
              <w:t>realnih, ostvarivih i svrsihodnih strateških ciljeva</w:t>
            </w:r>
            <w:r w:rsidRPr="00900D5D">
              <w:rPr>
                <w:rFonts w:ascii="Arial" w:hAnsi="Arial" w:cs="Arial"/>
                <w:b w:val="0"/>
                <w:sz w:val="20"/>
                <w:szCs w:val="20"/>
                <w:lang w:val="it-IT"/>
              </w:rPr>
              <w:t>, uz punu koordinaciju i partnerstvo sa svim zainter</w:t>
            </w:r>
            <w:r>
              <w:rPr>
                <w:rFonts w:ascii="Arial" w:hAnsi="Arial" w:cs="Arial"/>
                <w:b w:val="0"/>
                <w:sz w:val="20"/>
                <w:szCs w:val="20"/>
                <w:lang w:val="it-IT"/>
              </w:rPr>
              <w:t>esovanim stranama na koje će S</w:t>
            </w:r>
            <w:r w:rsidRPr="00900D5D">
              <w:rPr>
                <w:rFonts w:ascii="Arial" w:hAnsi="Arial" w:cs="Arial"/>
                <w:b w:val="0"/>
                <w:sz w:val="20"/>
                <w:szCs w:val="20"/>
                <w:lang w:val="it-IT"/>
              </w:rPr>
              <w:t>trategija</w:t>
            </w:r>
            <w:r>
              <w:rPr>
                <w:rFonts w:ascii="Arial" w:hAnsi="Arial" w:cs="Arial"/>
                <w:b w:val="0"/>
                <w:sz w:val="20"/>
                <w:szCs w:val="20"/>
                <w:lang w:val="it-IT"/>
              </w:rPr>
              <w:t xml:space="preserve"> digitalne transformacije</w:t>
            </w:r>
            <w:r w:rsidRPr="00900D5D">
              <w:rPr>
                <w:rFonts w:ascii="Arial" w:hAnsi="Arial" w:cs="Arial"/>
                <w:b w:val="0"/>
                <w:sz w:val="20"/>
                <w:szCs w:val="20"/>
                <w:lang w:val="it-IT"/>
              </w:rPr>
              <w:t xml:space="preserve"> imati</w:t>
            </w:r>
            <w:r>
              <w:rPr>
                <w:rFonts w:ascii="Arial" w:hAnsi="Arial" w:cs="Arial"/>
                <w:b w:val="0"/>
                <w:sz w:val="20"/>
                <w:szCs w:val="20"/>
                <w:lang w:val="it-IT"/>
              </w:rPr>
              <w:t xml:space="preserve"> krajnji</w:t>
            </w:r>
            <w:r w:rsidRPr="00900D5D">
              <w:rPr>
                <w:rFonts w:ascii="Arial" w:hAnsi="Arial" w:cs="Arial"/>
                <w:b w:val="0"/>
                <w:sz w:val="20"/>
                <w:szCs w:val="20"/>
                <w:lang w:val="it-IT"/>
              </w:rPr>
              <w:t xml:space="preserve"> uticaj.</w:t>
            </w:r>
            <w:r>
              <w:rPr>
                <w:rFonts w:ascii="Arial" w:hAnsi="Arial" w:cs="Arial"/>
                <w:b w:val="0"/>
                <w:sz w:val="20"/>
                <w:szCs w:val="20"/>
                <w:lang w:val="it-IT"/>
              </w:rPr>
              <w:t xml:space="preserve"> </w:t>
            </w:r>
            <w:r w:rsidRPr="005E28F5">
              <w:rPr>
                <w:rFonts w:ascii="Arial" w:hAnsi="Arial" w:cs="Arial"/>
                <w:b w:val="0"/>
                <w:sz w:val="20"/>
                <w:szCs w:val="20"/>
                <w:lang w:val="it-IT"/>
              </w:rPr>
              <w:t>Pokretanje širokog konsultativnog procesa rezultiralo je velikim interesovanjem i uključivanjem biznis zajednice u proces izrade strategije.</w:t>
            </w:r>
            <w:r w:rsidRPr="00900D5D">
              <w:rPr>
                <w:rFonts w:ascii="Arial" w:hAnsi="Arial" w:cs="Arial"/>
                <w:b w:val="0"/>
                <w:sz w:val="20"/>
                <w:szCs w:val="20"/>
                <w:lang w:val="it-IT"/>
              </w:rPr>
              <w:t xml:space="preserve"> </w:t>
            </w:r>
          </w:p>
          <w:p w14:paraId="40A36546" w14:textId="77777777" w:rsidR="00AE7DE0" w:rsidRPr="00CC389A" w:rsidRDefault="00AE7DE0" w:rsidP="00A26279">
            <w:pPr>
              <w:pStyle w:val="ListParagraph"/>
              <w:rPr>
                <w:rFonts w:ascii="Arial" w:hAnsi="Arial" w:cs="Arial"/>
                <w:sz w:val="20"/>
                <w:szCs w:val="20"/>
                <w:lang w:val="it-IT"/>
              </w:rPr>
            </w:pPr>
          </w:p>
          <w:p w14:paraId="5770FA42" w14:textId="77777777" w:rsidR="00AE7DE0" w:rsidRPr="005E28F5"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900D5D">
              <w:rPr>
                <w:rFonts w:ascii="Arial" w:hAnsi="Arial" w:cs="Arial"/>
                <w:b w:val="0"/>
                <w:sz w:val="20"/>
                <w:szCs w:val="20"/>
                <w:lang w:val="it-IT"/>
              </w:rPr>
              <w:t>U cilju kreiranja širokog okvira konsultacija sa relevantnim subjektima, osim obaveznih javnih konsultacija, organizovana su ukupno tri konsultativna procesa  sa raznim zainteresovanim stranama</w:t>
            </w:r>
            <w:r>
              <w:rPr>
                <w:rFonts w:ascii="Arial" w:hAnsi="Arial" w:cs="Arial"/>
                <w:b w:val="0"/>
                <w:sz w:val="20"/>
                <w:szCs w:val="20"/>
                <w:lang w:val="it-IT"/>
              </w:rPr>
              <w:t>.</w:t>
            </w:r>
          </w:p>
          <w:p w14:paraId="243D88ED" w14:textId="77777777" w:rsidR="00AE7DE0" w:rsidRPr="00900D5D" w:rsidRDefault="00AE7DE0" w:rsidP="00A26279">
            <w:pPr>
              <w:pStyle w:val="ListParagraph"/>
              <w:autoSpaceDE w:val="0"/>
              <w:autoSpaceDN w:val="0"/>
              <w:adjustRightInd w:val="0"/>
              <w:ind w:left="630"/>
              <w:rPr>
                <w:rFonts w:ascii="Arial" w:hAnsi="Arial" w:cs="Arial"/>
                <w:b w:val="0"/>
                <w:bCs w:val="0"/>
                <w:sz w:val="20"/>
                <w:szCs w:val="20"/>
                <w:lang w:val="it-IT"/>
              </w:rPr>
            </w:pPr>
          </w:p>
          <w:p w14:paraId="67BAA27E" w14:textId="77777777" w:rsidR="00AE7DE0"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900D5D">
              <w:rPr>
                <w:rFonts w:ascii="Arial" w:hAnsi="Arial" w:cs="Arial"/>
                <w:b w:val="0"/>
                <w:sz w:val="20"/>
                <w:szCs w:val="20"/>
                <w:lang w:val="it-IT"/>
              </w:rPr>
              <w:t>ICT odbori poslovnih udruženja, kompanije i organizacije koje se bave digitalnom transformacijom u Crnoj Gori udružile su se kako bi zajednički doprinijele u definisanju ciljeva i procesu izrade Strategije digitalne transformacije Crne Gore.</w:t>
            </w:r>
          </w:p>
          <w:p w14:paraId="7DF8B707" w14:textId="77777777" w:rsidR="00AE7DE0" w:rsidRPr="00CC389A" w:rsidRDefault="00AE7DE0" w:rsidP="00A26279">
            <w:pPr>
              <w:pStyle w:val="ListParagraph"/>
              <w:rPr>
                <w:rFonts w:ascii="Arial" w:hAnsi="Arial" w:cs="Arial"/>
                <w:sz w:val="20"/>
                <w:szCs w:val="20"/>
                <w:lang w:val="it-IT"/>
              </w:rPr>
            </w:pPr>
          </w:p>
          <w:p w14:paraId="49928007" w14:textId="77777777" w:rsidR="00AE7DE0" w:rsidRPr="00CC389A"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CC389A">
              <w:rPr>
                <w:rFonts w:ascii="Arial" w:hAnsi="Arial" w:cs="Arial"/>
                <w:b w:val="0"/>
                <w:sz w:val="20"/>
                <w:szCs w:val="20"/>
                <w:lang w:val="it-IT"/>
              </w:rPr>
              <w:t xml:space="preserve">Privredna komora Crne Gore, Asocijacija menadžera Crne Gore, Unija poslodavaca Crne Gore, Savjet stranih investitora Crne Gore, AmCham Montenegro, Crnogorski Telekom, Telenor Crna Gora, M:tel Crna Gora, Digitalizuj.me, DevClub i ICT Cortex - klaster za informacione tehnologije, inovacije, edukaciju, dizajn i tehnološki razvoj Crne Gore okupili su se kako bi sinergijskim djelovanjem doprinijeli uspješnom procesu kreiranja, ali i implementaciji Strategije digitalne transformacije Crne Gore. </w:t>
            </w:r>
          </w:p>
          <w:p w14:paraId="14466962" w14:textId="77777777" w:rsidR="00AE7DE0" w:rsidRPr="00CC389A" w:rsidRDefault="00AE7DE0" w:rsidP="00A26279">
            <w:pPr>
              <w:autoSpaceDE w:val="0"/>
              <w:autoSpaceDN w:val="0"/>
              <w:adjustRightInd w:val="0"/>
              <w:contextualSpacing/>
              <w:rPr>
                <w:rFonts w:ascii="Arial" w:hAnsi="Arial" w:cs="Arial"/>
                <w:bCs w:val="0"/>
                <w:sz w:val="20"/>
                <w:szCs w:val="20"/>
                <w:lang w:val="it-IT"/>
              </w:rPr>
            </w:pPr>
          </w:p>
          <w:p w14:paraId="6C458A19" w14:textId="77777777" w:rsidR="00AE7DE0" w:rsidRPr="00CC389A"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CC389A">
              <w:rPr>
                <w:rFonts w:ascii="Arial" w:hAnsi="Arial" w:cs="Arial"/>
                <w:b w:val="0"/>
                <w:sz w:val="20"/>
                <w:szCs w:val="20"/>
                <w:lang w:val="it-IT"/>
              </w:rPr>
              <w:t xml:space="preserve">Pomenuta udruženja, kompanije i organizacije formirali su platformu za razmjenu ideja, koja će se sastajati na redovnom nivou, a kao jedna od prvih aktivnosti koja je proistekla od strane učesnika ovog foruma jeste upućivanje zvanične inicijative Ministarstvu javne uprave, digitalnog društva i medija. </w:t>
            </w:r>
          </w:p>
          <w:p w14:paraId="42CFD572" w14:textId="77777777" w:rsidR="00AE7DE0" w:rsidRPr="00CC389A" w:rsidRDefault="00AE7DE0" w:rsidP="00A26279">
            <w:pPr>
              <w:pStyle w:val="ListParagraph"/>
              <w:autoSpaceDE w:val="0"/>
              <w:autoSpaceDN w:val="0"/>
              <w:adjustRightInd w:val="0"/>
              <w:ind w:left="630"/>
              <w:rPr>
                <w:rFonts w:ascii="Arial" w:hAnsi="Arial" w:cs="Arial"/>
                <w:b w:val="0"/>
                <w:bCs w:val="0"/>
                <w:sz w:val="20"/>
                <w:szCs w:val="20"/>
                <w:lang w:val="it-IT"/>
              </w:rPr>
            </w:pPr>
          </w:p>
          <w:p w14:paraId="3A3C53B3" w14:textId="77777777" w:rsidR="00AE7DE0" w:rsidRPr="006E45FB"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CC389A">
              <w:rPr>
                <w:rFonts w:ascii="Arial" w:hAnsi="Arial" w:cs="Arial"/>
                <w:b w:val="0"/>
                <w:sz w:val="20"/>
                <w:szCs w:val="20"/>
                <w:lang w:val="it-IT"/>
              </w:rPr>
              <w:t xml:space="preserve">MJUDDM-a je u saradnji sa Privrednom komorom Crne Gore pokrenuo jednu vrstu hub-platforme u kojoj su stručnjaci raznih profila sa znanjem i referencama u nekoj od prepoznatih oblasti od značaja za digitalnu transformaciju imali mogućnost da  pristupe kako bi tokom izrade strategije ostvarili što bolji opseg konsultacija sa svim relevantnim akterima u društvu. </w:t>
            </w:r>
          </w:p>
          <w:p w14:paraId="3763D956" w14:textId="77777777" w:rsidR="00AE7DE0" w:rsidRPr="006E45FB" w:rsidRDefault="00AE7DE0" w:rsidP="00A26279">
            <w:pPr>
              <w:pStyle w:val="ListParagraph"/>
              <w:rPr>
                <w:rFonts w:ascii="Arial" w:hAnsi="Arial" w:cs="Arial"/>
                <w:sz w:val="20"/>
                <w:szCs w:val="20"/>
                <w:lang w:val="it-IT"/>
              </w:rPr>
            </w:pPr>
          </w:p>
          <w:p w14:paraId="0C9593E2" w14:textId="77777777" w:rsidR="00AE7DE0" w:rsidRPr="006E45FB" w:rsidRDefault="00AE7DE0" w:rsidP="00AE7DE0">
            <w:pPr>
              <w:pStyle w:val="ListParagraph"/>
              <w:numPr>
                <w:ilvl w:val="0"/>
                <w:numId w:val="68"/>
              </w:numPr>
              <w:autoSpaceDE w:val="0"/>
              <w:autoSpaceDN w:val="0"/>
              <w:adjustRightInd w:val="0"/>
              <w:spacing w:after="0" w:line="240" w:lineRule="auto"/>
              <w:jc w:val="both"/>
              <w:rPr>
                <w:rFonts w:ascii="Arial" w:hAnsi="Arial" w:cs="Arial"/>
                <w:b w:val="0"/>
                <w:bCs w:val="0"/>
                <w:sz w:val="20"/>
                <w:szCs w:val="20"/>
                <w:lang w:val="it-IT"/>
              </w:rPr>
            </w:pPr>
            <w:r w:rsidRPr="006E45FB">
              <w:rPr>
                <w:rFonts w:ascii="Arial" w:hAnsi="Arial" w:cs="Arial"/>
                <w:b w:val="0"/>
                <w:sz w:val="20"/>
                <w:szCs w:val="20"/>
                <w:lang w:val="it-IT"/>
              </w:rPr>
              <w:t xml:space="preserve">U okviru Javne rasprave </w:t>
            </w:r>
            <w:r>
              <w:rPr>
                <w:rFonts w:ascii="Arial" w:hAnsi="Arial" w:cs="Arial"/>
                <w:b w:val="0"/>
                <w:sz w:val="20"/>
                <w:szCs w:val="20"/>
                <w:lang w:val="it-IT"/>
              </w:rPr>
              <w:t>bio je</w:t>
            </w:r>
            <w:r w:rsidRPr="006E45FB">
              <w:rPr>
                <w:rFonts w:ascii="Arial" w:hAnsi="Arial" w:cs="Arial"/>
                <w:b w:val="0"/>
                <w:sz w:val="20"/>
                <w:szCs w:val="20"/>
                <w:lang w:val="it-IT"/>
              </w:rPr>
              <w:t xml:space="preserve"> održan </w:t>
            </w:r>
            <w:r>
              <w:rPr>
                <w:rFonts w:ascii="Arial" w:hAnsi="Arial" w:cs="Arial"/>
                <w:b w:val="0"/>
                <w:sz w:val="20"/>
                <w:szCs w:val="20"/>
                <w:lang w:val="it-IT"/>
              </w:rPr>
              <w:t>i</w:t>
            </w:r>
            <w:r w:rsidRPr="006E45FB">
              <w:rPr>
                <w:rFonts w:ascii="Arial" w:hAnsi="Arial" w:cs="Arial"/>
                <w:b w:val="0"/>
                <w:sz w:val="20"/>
                <w:szCs w:val="20"/>
                <w:lang w:val="it-IT"/>
              </w:rPr>
              <w:t xml:space="preserve"> okrugli sto</w:t>
            </w:r>
            <w:r>
              <w:rPr>
                <w:rFonts w:ascii="Arial" w:hAnsi="Arial" w:cs="Arial"/>
                <w:b w:val="0"/>
                <w:sz w:val="20"/>
                <w:szCs w:val="20"/>
                <w:lang w:val="it-IT"/>
              </w:rPr>
              <w:t xml:space="preserve"> k</w:t>
            </w:r>
            <w:r w:rsidRPr="006E45FB">
              <w:rPr>
                <w:rFonts w:ascii="Arial" w:hAnsi="Arial" w:cs="Arial"/>
                <w:b w:val="0"/>
                <w:sz w:val="20"/>
                <w:szCs w:val="20"/>
                <w:lang w:val="it-IT"/>
              </w:rPr>
              <w:t>ojem je prisustvovalo 20 ključnih partnera i zainteresovanih strana.</w:t>
            </w:r>
            <w:r w:rsidRPr="006E45FB">
              <w:rPr>
                <w:rFonts w:ascii="Arial" w:hAnsi="Arial" w:cs="Arial"/>
                <w:sz w:val="20"/>
                <w:szCs w:val="20"/>
                <w:lang w:val="it-IT"/>
              </w:rPr>
              <w:t xml:space="preserve"> </w:t>
            </w:r>
            <w:r w:rsidRPr="00636311">
              <w:rPr>
                <w:rFonts w:ascii="Arial" w:hAnsi="Arial" w:cs="Arial"/>
                <w:b w:val="0"/>
                <w:sz w:val="20"/>
                <w:szCs w:val="20"/>
                <w:lang w:val="it-IT"/>
              </w:rPr>
              <w:t xml:space="preserve">Tokom trajanja javne rasprave pristigli su komentari, primjedbe, predlozi i sugestije u elektronskom obliku od strane </w:t>
            </w:r>
            <w:r>
              <w:rPr>
                <w:rFonts w:ascii="Arial" w:hAnsi="Arial" w:cs="Arial"/>
                <w:b w:val="0"/>
                <w:sz w:val="20"/>
                <w:szCs w:val="20"/>
                <w:lang w:val="it-IT"/>
              </w:rPr>
              <w:t xml:space="preserve">zainteresovanih strana, a najviše institucija partnera koje se bave ovom oblašću. Ukupno dostavljenih komentara/sugestija/predloga u roku je bilo 71, od čega je prihvaćeno 54% sugestija/predloga. U cilju poštovanja principa  </w:t>
            </w:r>
            <w:r w:rsidRPr="00E25D84">
              <w:rPr>
                <w:rFonts w:ascii="Arial" w:hAnsi="Arial" w:cs="Arial"/>
                <w:b w:val="0"/>
                <w:sz w:val="20"/>
                <w:szCs w:val="20"/>
                <w:lang w:val="it-IT"/>
              </w:rPr>
              <w:t xml:space="preserve">transparentnosti i inkluzivnosti koji je pratio cijeli poces izrade Strategije, </w:t>
            </w:r>
            <w:r>
              <w:rPr>
                <w:rFonts w:ascii="Arial" w:hAnsi="Arial" w:cs="Arial"/>
                <w:b w:val="0"/>
                <w:sz w:val="20"/>
                <w:szCs w:val="20"/>
                <w:lang w:val="it-IT"/>
              </w:rPr>
              <w:t>k</w:t>
            </w:r>
            <w:r w:rsidRPr="00E25D84">
              <w:rPr>
                <w:rFonts w:ascii="Arial" w:hAnsi="Arial" w:cs="Arial"/>
                <w:b w:val="0"/>
                <w:sz w:val="20"/>
                <w:szCs w:val="20"/>
                <w:lang w:val="it-IT"/>
              </w:rPr>
              <w:t xml:space="preserve">omentari, primjedbe, predlozi i sugestije </w:t>
            </w:r>
            <w:r>
              <w:rPr>
                <w:rFonts w:ascii="Arial" w:hAnsi="Arial" w:cs="Arial"/>
                <w:b w:val="0"/>
                <w:sz w:val="20"/>
                <w:szCs w:val="20"/>
                <w:lang w:val="it-IT"/>
              </w:rPr>
              <w:t xml:space="preserve">koji su </w:t>
            </w:r>
            <w:r w:rsidRPr="00E25D84">
              <w:rPr>
                <w:rFonts w:ascii="Arial" w:hAnsi="Arial" w:cs="Arial"/>
                <w:b w:val="0"/>
                <w:sz w:val="20"/>
                <w:szCs w:val="20"/>
                <w:lang w:val="it-IT"/>
              </w:rPr>
              <w:t>dostavljeni nakon roka predviđenog za javnu raspravu, takođe</w:t>
            </w:r>
            <w:r>
              <w:rPr>
                <w:rFonts w:ascii="Arial" w:hAnsi="Arial" w:cs="Arial"/>
                <w:b w:val="0"/>
                <w:sz w:val="20"/>
                <w:szCs w:val="20"/>
                <w:lang w:val="it-IT"/>
              </w:rPr>
              <w:t xml:space="preserve"> su</w:t>
            </w:r>
            <w:r w:rsidRPr="00E25D84">
              <w:rPr>
                <w:rFonts w:ascii="Arial" w:hAnsi="Arial" w:cs="Arial"/>
                <w:b w:val="0"/>
                <w:sz w:val="20"/>
                <w:szCs w:val="20"/>
                <w:lang w:val="it-IT"/>
              </w:rPr>
              <w:t xml:space="preserve"> uzeti u razmatranje i prikazani su u okviru Izvještaja</w:t>
            </w:r>
            <w:r>
              <w:rPr>
                <w:rFonts w:ascii="Arial" w:hAnsi="Arial" w:cs="Arial"/>
                <w:b w:val="0"/>
                <w:sz w:val="20"/>
                <w:szCs w:val="20"/>
                <w:lang w:val="it-IT"/>
              </w:rPr>
              <w:t xml:space="preserve"> sa javne rasprave.</w:t>
            </w:r>
            <w:r w:rsidRPr="00E25D84">
              <w:rPr>
                <w:rFonts w:ascii="Arial" w:hAnsi="Arial" w:cs="Arial"/>
                <w:b w:val="0"/>
                <w:sz w:val="20"/>
                <w:szCs w:val="20"/>
                <w:lang w:val="it-IT"/>
              </w:rPr>
              <w:t xml:space="preserve"> </w:t>
            </w:r>
          </w:p>
          <w:p w14:paraId="6156FE32" w14:textId="77777777" w:rsidR="00AE7DE0" w:rsidRPr="00CC389A" w:rsidRDefault="00AE7DE0" w:rsidP="00A26279">
            <w:pPr>
              <w:pStyle w:val="ListParagraph"/>
              <w:autoSpaceDE w:val="0"/>
              <w:autoSpaceDN w:val="0"/>
              <w:adjustRightInd w:val="0"/>
              <w:ind w:left="630"/>
              <w:rPr>
                <w:rFonts w:ascii="Arial" w:hAnsi="Arial" w:cs="Arial"/>
                <w:b w:val="0"/>
                <w:bCs w:val="0"/>
                <w:sz w:val="20"/>
                <w:szCs w:val="20"/>
                <w:lang w:val="it-IT"/>
              </w:rPr>
            </w:pPr>
          </w:p>
          <w:p w14:paraId="6162ADBC" w14:textId="77777777" w:rsidR="00AE7DE0" w:rsidRPr="00CC389A" w:rsidRDefault="00AE7DE0" w:rsidP="00A26279">
            <w:pPr>
              <w:autoSpaceDE w:val="0"/>
              <w:autoSpaceDN w:val="0"/>
              <w:adjustRightInd w:val="0"/>
              <w:contextualSpacing/>
              <w:rPr>
                <w:rFonts w:ascii="Arial" w:hAnsi="Arial" w:cs="Arial"/>
                <w:bCs w:val="0"/>
                <w:sz w:val="20"/>
                <w:szCs w:val="20"/>
                <w:lang w:val="it-IT"/>
              </w:rPr>
            </w:pPr>
          </w:p>
          <w:p w14:paraId="21B002E1" w14:textId="77777777" w:rsidR="00AE7DE0" w:rsidRPr="00453C62" w:rsidRDefault="00AE7DE0" w:rsidP="00A26279">
            <w:pPr>
              <w:pStyle w:val="ListParagraph"/>
              <w:autoSpaceDE w:val="0"/>
              <w:autoSpaceDN w:val="0"/>
              <w:adjustRightInd w:val="0"/>
              <w:ind w:left="630"/>
              <w:rPr>
                <w:rFonts w:ascii="Arial" w:hAnsi="Arial" w:cs="Arial"/>
                <w:b w:val="0"/>
                <w:bCs w:val="0"/>
                <w:sz w:val="20"/>
                <w:szCs w:val="20"/>
                <w:lang w:val="it-IT"/>
              </w:rPr>
            </w:pPr>
          </w:p>
        </w:tc>
      </w:tr>
      <w:tr w:rsidR="00AE7DE0" w:rsidRPr="0047726C" w14:paraId="79330B34" w14:textId="77777777" w:rsidTr="00AE7D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43F7E433" w14:textId="77777777" w:rsidR="00AE7DE0" w:rsidRPr="00817808" w:rsidRDefault="00AE7DE0" w:rsidP="00A26279">
            <w:pPr>
              <w:autoSpaceDE w:val="0"/>
              <w:autoSpaceDN w:val="0"/>
              <w:adjustRightInd w:val="0"/>
              <w:rPr>
                <w:rFonts w:ascii="Arial" w:hAnsi="Arial" w:cs="Arial"/>
                <w:b w:val="0"/>
                <w:color w:val="365F91" w:themeColor="accent1" w:themeShade="BF"/>
                <w:sz w:val="20"/>
                <w:szCs w:val="20"/>
              </w:rPr>
            </w:pPr>
            <w:r w:rsidRPr="00817808">
              <w:rPr>
                <w:rFonts w:ascii="Arial" w:hAnsi="Arial" w:cs="Arial"/>
                <w:color w:val="365F91" w:themeColor="accent1" w:themeShade="BF"/>
                <w:sz w:val="20"/>
                <w:szCs w:val="20"/>
              </w:rPr>
              <w:t>7: Monitoring i evaluacija</w:t>
            </w:r>
          </w:p>
          <w:p w14:paraId="17FA6028" w14:textId="77777777" w:rsidR="00AE7DE0" w:rsidRPr="00F15F1C" w:rsidRDefault="00AE7DE0" w:rsidP="00AE7DE0">
            <w:pPr>
              <w:pStyle w:val="ListParagraph"/>
              <w:numPr>
                <w:ilvl w:val="0"/>
                <w:numId w:val="68"/>
              </w:numPr>
              <w:autoSpaceDE w:val="0"/>
              <w:autoSpaceDN w:val="0"/>
              <w:adjustRightInd w:val="0"/>
              <w:spacing w:after="0" w:line="240" w:lineRule="auto"/>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 xml:space="preserve">Koje su potencijalne prepreke za implementaciju propisa? </w:t>
            </w:r>
          </w:p>
          <w:p w14:paraId="7B479A05" w14:textId="77777777" w:rsidR="00AE7DE0" w:rsidRPr="00F15F1C" w:rsidRDefault="00AE7DE0" w:rsidP="00AE7DE0">
            <w:pPr>
              <w:pStyle w:val="ListParagraph"/>
              <w:numPr>
                <w:ilvl w:val="0"/>
                <w:numId w:val="68"/>
              </w:numPr>
              <w:autoSpaceDE w:val="0"/>
              <w:autoSpaceDN w:val="0"/>
              <w:adjustRightInd w:val="0"/>
              <w:spacing w:after="0" w:line="240" w:lineRule="auto"/>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Koje će mjere biti preduzete tokom primjene propisa da bi se ispunili ciljevi?</w:t>
            </w:r>
          </w:p>
          <w:p w14:paraId="04ECBA91" w14:textId="77777777" w:rsidR="00AE7DE0" w:rsidRPr="00F15F1C" w:rsidRDefault="00AE7DE0" w:rsidP="00AE7DE0">
            <w:pPr>
              <w:pStyle w:val="ListParagraph"/>
              <w:numPr>
                <w:ilvl w:val="0"/>
                <w:numId w:val="68"/>
              </w:numPr>
              <w:autoSpaceDE w:val="0"/>
              <w:autoSpaceDN w:val="0"/>
              <w:adjustRightInd w:val="0"/>
              <w:spacing w:after="0" w:line="240" w:lineRule="auto"/>
              <w:rPr>
                <w:rFonts w:ascii="Arial" w:hAnsi="Arial" w:cs="Arial"/>
                <w:color w:val="365F91" w:themeColor="accent1" w:themeShade="BF"/>
                <w:sz w:val="20"/>
                <w:szCs w:val="20"/>
                <w:lang w:val="it-IT"/>
              </w:rPr>
            </w:pPr>
            <w:r w:rsidRPr="00F15F1C">
              <w:rPr>
                <w:rFonts w:ascii="Arial" w:hAnsi="Arial" w:cs="Arial"/>
                <w:color w:val="365F91" w:themeColor="accent1" w:themeShade="BF"/>
                <w:sz w:val="20"/>
                <w:szCs w:val="20"/>
                <w:lang w:val="it-IT"/>
              </w:rPr>
              <w:t>Koji su glavni indikatori prema kojima će se mjeriti ispunjenje ciljeva?</w:t>
            </w:r>
          </w:p>
          <w:p w14:paraId="08BDECD3" w14:textId="77777777" w:rsidR="00AE7DE0" w:rsidRPr="00F15F1C" w:rsidRDefault="00AE7DE0" w:rsidP="00AE7DE0">
            <w:pPr>
              <w:pStyle w:val="ListParagraph"/>
              <w:numPr>
                <w:ilvl w:val="0"/>
                <w:numId w:val="68"/>
              </w:numPr>
              <w:autoSpaceDE w:val="0"/>
              <w:autoSpaceDN w:val="0"/>
              <w:adjustRightInd w:val="0"/>
              <w:spacing w:after="0" w:line="240" w:lineRule="auto"/>
              <w:rPr>
                <w:rFonts w:ascii="Arial" w:hAnsi="Arial" w:cs="Arial"/>
                <w:b w:val="0"/>
                <w:color w:val="365F91" w:themeColor="accent1" w:themeShade="BF"/>
                <w:sz w:val="20"/>
                <w:szCs w:val="20"/>
                <w:lang w:val="it-IT"/>
              </w:rPr>
            </w:pPr>
            <w:r w:rsidRPr="00F15F1C">
              <w:rPr>
                <w:rFonts w:ascii="Arial" w:hAnsi="Arial" w:cs="Arial"/>
                <w:color w:val="365F91" w:themeColor="accent1" w:themeShade="BF"/>
                <w:sz w:val="20"/>
                <w:szCs w:val="20"/>
                <w:lang w:val="it-IT"/>
              </w:rPr>
              <w:t>Ko će biti zadužen za sprovođenje monitoringa i evaluacije primjene propisa?</w:t>
            </w:r>
          </w:p>
        </w:tc>
      </w:tr>
      <w:tr w:rsidR="00AE7DE0" w:rsidRPr="0047726C" w14:paraId="5E918FF6" w14:textId="77777777" w:rsidTr="00AE7DE0">
        <w:trPr>
          <w:cnfStyle w:val="000000010000" w:firstRow="0" w:lastRow="0" w:firstColumn="0" w:lastColumn="0" w:oddVBand="0" w:evenVBand="0" w:oddHBand="0" w:evenHBand="1"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9204" w:type="dxa"/>
            <w:gridSpan w:val="2"/>
          </w:tcPr>
          <w:p w14:paraId="3641BEB4" w14:textId="77777777" w:rsidR="00AE7DE0" w:rsidRPr="00B3066E" w:rsidRDefault="00AE7DE0" w:rsidP="00AE7DE0">
            <w:pPr>
              <w:pStyle w:val="ListParagraph"/>
              <w:numPr>
                <w:ilvl w:val="0"/>
                <w:numId w:val="68"/>
              </w:numPr>
              <w:spacing w:after="0" w:line="240" w:lineRule="auto"/>
              <w:contextualSpacing w:val="0"/>
              <w:jc w:val="both"/>
              <w:rPr>
                <w:rFonts w:ascii="Arial" w:hAnsi="Arial" w:cs="Arial"/>
                <w:b w:val="0"/>
                <w:sz w:val="20"/>
                <w:szCs w:val="20"/>
                <w:lang w:val="it-IT"/>
              </w:rPr>
            </w:pPr>
            <w:r>
              <w:rPr>
                <w:rFonts w:ascii="Arial" w:hAnsi="Arial" w:cs="Arial"/>
                <w:b w:val="0"/>
                <w:sz w:val="20"/>
                <w:szCs w:val="20"/>
                <w:lang w:val="it-IT"/>
              </w:rPr>
              <w:t xml:space="preserve">Prilikom izrade nacrta strategije digitalne transofrmacije Crne Gore 2022-2026, urađena je SWOT analiza kroz koju su identifikovane snage, slabosti, mogućnosti i prijetnje. Među potencijalnim preprekama za implementaciju Strategije navedeni su izazovi u premošćavanju jaza između strategije i stvarne primjene, nepovjerenje građana u e-usluge, brži digitalni razvoj u drugim zemljama koji može dodatno da istakne relativno spor napredak digitalnog razvoja/zrelosti u Crnoj Gori, neizvozno orjentisana perspektiva razvoja IT-a koja je u velikoj mjeri povezana sa ekonomskim napretkom i ekonomskim razvojem Crne Gore i sl. </w:t>
            </w:r>
          </w:p>
          <w:p w14:paraId="133DE020" w14:textId="77777777" w:rsidR="00AE7DE0" w:rsidRPr="00B3066E" w:rsidRDefault="00AE7DE0" w:rsidP="00A26279">
            <w:pPr>
              <w:pStyle w:val="ListParagraph"/>
              <w:ind w:left="630"/>
              <w:rPr>
                <w:rFonts w:ascii="Arial" w:hAnsi="Arial" w:cs="Arial"/>
                <w:b w:val="0"/>
                <w:sz w:val="20"/>
                <w:szCs w:val="20"/>
                <w:lang w:val="it-IT"/>
              </w:rPr>
            </w:pPr>
          </w:p>
          <w:p w14:paraId="47CBF235"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U skladu sa Metodologijom razvijanja politika, izrade i praćenja sporovođenja stateških dokumenata, Strategija digitalne transformacije Crne Gore 2022-2026. definiše plan monitoringa, izvještavanja i evaluacije.</w:t>
            </w:r>
          </w:p>
          <w:p w14:paraId="7617B923" w14:textId="77777777" w:rsidR="00AE7DE0" w:rsidRPr="0076596E" w:rsidRDefault="00AE7DE0" w:rsidP="00A26279">
            <w:pPr>
              <w:pStyle w:val="ListParagraph"/>
              <w:rPr>
                <w:rFonts w:ascii="Arial" w:hAnsi="Arial" w:cs="Arial"/>
                <w:bCs w:val="0"/>
                <w:sz w:val="20"/>
                <w:szCs w:val="20"/>
                <w:lang w:val="it-IT"/>
              </w:rPr>
            </w:pPr>
          </w:p>
          <w:p w14:paraId="07266469"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 xml:space="preserve">Monitoringom će se obezbijediti redovno prikupljanje i analiza podataka o postizanju ciljeva i rezultata u toku sprovođenja aktivnost. Konkretno, </w:t>
            </w:r>
            <w:r>
              <w:rPr>
                <w:rFonts w:ascii="Arial" w:hAnsi="Arial" w:cs="Arial"/>
                <w:b w:val="0"/>
                <w:sz w:val="20"/>
                <w:szCs w:val="20"/>
                <w:lang w:val="it-IT"/>
              </w:rPr>
              <w:t>monitoring će biti</w:t>
            </w:r>
            <w:r w:rsidRPr="0076596E">
              <w:rPr>
                <w:rFonts w:ascii="Arial" w:hAnsi="Arial" w:cs="Arial"/>
                <w:b w:val="0"/>
                <w:sz w:val="20"/>
                <w:szCs w:val="20"/>
                <w:lang w:val="it-IT"/>
              </w:rPr>
              <w:t xml:space="preserve"> fokusiran na Akcioni plan i na realizaciju godišnjih akti</w:t>
            </w:r>
            <w:r>
              <w:rPr>
                <w:rFonts w:ascii="Arial" w:hAnsi="Arial" w:cs="Arial"/>
                <w:b w:val="0"/>
                <w:sz w:val="20"/>
                <w:szCs w:val="20"/>
                <w:lang w:val="it-IT"/>
              </w:rPr>
              <w:t>v</w:t>
            </w:r>
            <w:r w:rsidRPr="0076596E">
              <w:rPr>
                <w:rFonts w:ascii="Arial" w:hAnsi="Arial" w:cs="Arial"/>
                <w:b w:val="0"/>
                <w:sz w:val="20"/>
                <w:szCs w:val="20"/>
                <w:lang w:val="it-IT"/>
              </w:rPr>
              <w:t>nosti predviđeni</w:t>
            </w:r>
            <w:r>
              <w:rPr>
                <w:rFonts w:ascii="Arial" w:hAnsi="Arial" w:cs="Arial"/>
                <w:b w:val="0"/>
                <w:sz w:val="20"/>
                <w:szCs w:val="20"/>
                <w:lang w:val="it-IT"/>
              </w:rPr>
              <w:t>h</w:t>
            </w:r>
            <w:r w:rsidRPr="0076596E">
              <w:rPr>
                <w:rFonts w:ascii="Arial" w:hAnsi="Arial" w:cs="Arial"/>
                <w:b w:val="0"/>
                <w:sz w:val="20"/>
                <w:szCs w:val="20"/>
                <w:lang w:val="it-IT"/>
              </w:rPr>
              <w:t xml:space="preserve"> planom. Izvještaj o monitoringu sprovođenja aktivnosti će se baviti indikatorima rezultata sa osvrtom na indikatore učinka</w:t>
            </w:r>
            <w:r>
              <w:rPr>
                <w:rFonts w:ascii="Arial" w:hAnsi="Arial" w:cs="Arial"/>
                <w:b w:val="0"/>
                <w:sz w:val="20"/>
                <w:szCs w:val="20"/>
                <w:lang w:val="it-IT"/>
              </w:rPr>
              <w:t>.</w:t>
            </w:r>
          </w:p>
          <w:p w14:paraId="66E6CAD0" w14:textId="77777777" w:rsidR="00AE7DE0" w:rsidRPr="0076596E" w:rsidRDefault="00AE7DE0" w:rsidP="00A26279">
            <w:pPr>
              <w:pStyle w:val="ListParagraph"/>
              <w:rPr>
                <w:rFonts w:ascii="Arial" w:hAnsi="Arial" w:cs="Arial"/>
                <w:b w:val="0"/>
                <w:bCs w:val="0"/>
                <w:sz w:val="20"/>
                <w:szCs w:val="20"/>
                <w:lang w:val="it-IT"/>
              </w:rPr>
            </w:pPr>
          </w:p>
          <w:p w14:paraId="3EFF7005"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Osnivanjem Direktorata za digitalizaciju i e-servise sa posebnom Direkcijom za elektronsku upravu u okviru MJUDDM, jasno je definisan značaj i fokus Ministarstva na planiranje, razvoj, implementaciju i izvještavanje o Strategiji digitalne transformacije. Dodatno, u junu 2021. godine osnovan je Savjet za elektronsku upravu, sa izmijenjenim konceptom i sastavom članova u odnosu na predhodni. Inoviranje ovog savjetodavnog tijela je bilo nužno, imajući u vidu obim i značaj digitalizacije procesa i razvoja elektronske uprave u narednom periodu i njegov rad će biti fokusiran na aktivnosti koje sprovode organi javne uprave u cilju ostvarivanja operativnih ciljeva, koji su osnov ovog strateškog dokumenta. Stručnu i administrativnu podršku radu Savjeta za elektronsku upravu pružaće i dalje MJUDDM.</w:t>
            </w:r>
          </w:p>
          <w:p w14:paraId="68793D37" w14:textId="77777777" w:rsidR="00AE7DE0" w:rsidRPr="0076596E" w:rsidRDefault="00AE7DE0" w:rsidP="00A26279">
            <w:pPr>
              <w:pStyle w:val="ListParagraph"/>
              <w:rPr>
                <w:rFonts w:ascii="Arial" w:hAnsi="Arial" w:cs="Arial"/>
                <w:b w:val="0"/>
                <w:bCs w:val="0"/>
                <w:sz w:val="20"/>
                <w:szCs w:val="20"/>
                <w:lang w:val="it-IT"/>
              </w:rPr>
            </w:pPr>
          </w:p>
          <w:p w14:paraId="0E2E592D"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Za praćenje realizacije Strategije i nadzor nad kvalitetom i dinamikom planiranih aktivnosti formiraće se Komisija za praćenje sprovođenja Strategije digitalne transformacije Crne Gore. Pored predstavnika Ministarstva javne uprave, digitalnog društva i medija, članovi Komisije biće predstavnici institucija čije su aktivnosti prepoznate Strategijom: Ministarstvo unutrašnjih poslova, Ministarstvo ekonomskog razvoja, Ministarstvo finansija i socijalnog staranja, Ministarstvo prosvjete, nauke, kulture i sporta, Privredna komora Crne Gore, Uprava za kadrove. Komisija će se formirati nakon usvajanja Strategije.</w:t>
            </w:r>
          </w:p>
          <w:p w14:paraId="231FBFEF" w14:textId="77777777" w:rsidR="00AE7DE0" w:rsidRPr="0076596E" w:rsidRDefault="00AE7DE0" w:rsidP="00A26279">
            <w:pPr>
              <w:pStyle w:val="ListParagraph"/>
              <w:rPr>
                <w:rFonts w:ascii="Arial" w:hAnsi="Arial" w:cs="Arial"/>
                <w:b w:val="0"/>
                <w:bCs w:val="0"/>
                <w:sz w:val="20"/>
                <w:szCs w:val="20"/>
                <w:lang w:val="it-IT"/>
              </w:rPr>
            </w:pPr>
          </w:p>
          <w:p w14:paraId="1412EA3A" w14:textId="77777777" w:rsidR="00AE7DE0" w:rsidRPr="003B14F7"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sz w:val="20"/>
                <w:szCs w:val="20"/>
                <w:lang w:val="it-IT"/>
              </w:rPr>
            </w:pPr>
            <w:r w:rsidRPr="003B14F7">
              <w:rPr>
                <w:rFonts w:ascii="Arial" w:hAnsi="Arial" w:cs="Arial"/>
                <w:b w:val="0"/>
                <w:sz w:val="20"/>
                <w:szCs w:val="20"/>
                <w:lang w:val="it-IT"/>
              </w:rPr>
              <w:t>Sprovođenje strategije digitalne transformacije Crne Gore realizovaće se akcion</w:t>
            </w:r>
            <w:r w:rsidRPr="003B14F7">
              <w:rPr>
                <w:rFonts w:ascii="Arial" w:hAnsi="Arial" w:cs="Arial"/>
                <w:sz w:val="20"/>
                <w:szCs w:val="20"/>
                <w:lang w:val="it-IT"/>
              </w:rPr>
              <w:t>e</w:t>
            </w:r>
            <w:r w:rsidRPr="003B14F7">
              <w:rPr>
                <w:rFonts w:ascii="Arial" w:hAnsi="Arial" w:cs="Arial"/>
                <w:b w:val="0"/>
                <w:sz w:val="20"/>
                <w:szCs w:val="20"/>
                <w:lang w:val="it-IT"/>
              </w:rPr>
              <w:t xml:space="preserve"> plan</w:t>
            </w:r>
            <w:r w:rsidRPr="003B14F7">
              <w:rPr>
                <w:rFonts w:ascii="Arial" w:hAnsi="Arial" w:cs="Arial"/>
                <w:sz w:val="20"/>
                <w:szCs w:val="20"/>
                <w:lang w:val="it-IT"/>
              </w:rPr>
              <w:t>ove</w:t>
            </w:r>
            <w:r w:rsidRPr="003B14F7">
              <w:rPr>
                <w:rFonts w:ascii="Arial" w:hAnsi="Arial" w:cs="Arial"/>
                <w:b w:val="0"/>
                <w:sz w:val="20"/>
                <w:szCs w:val="20"/>
                <w:lang w:val="it-IT"/>
              </w:rPr>
              <w:t>. Akcioni planovi će sadržati pregled aktivnosti potrebnih za ostvarivanje operativnih ciljeva, kao i nosioce aktivnosti i partnere za svaku od njih, rokove za realizaciju, indikatore učinka, kao i iznos sredstava i način finansiranja.</w:t>
            </w:r>
            <w:r>
              <w:rPr>
                <w:rFonts w:ascii="Arial" w:hAnsi="Arial" w:cs="Arial"/>
                <w:b w:val="0"/>
                <w:sz w:val="20"/>
                <w:szCs w:val="20"/>
                <w:lang w:val="it-IT"/>
              </w:rPr>
              <w:t xml:space="preserve"> </w:t>
            </w:r>
            <w:r w:rsidRPr="003B14F7">
              <w:rPr>
                <w:rFonts w:ascii="Arial" w:hAnsi="Arial" w:cs="Arial"/>
                <w:b w:val="0"/>
                <w:sz w:val="20"/>
                <w:szCs w:val="20"/>
                <w:lang w:val="it-IT"/>
              </w:rPr>
              <w:t xml:space="preserve">Ključne institucije zadužene za realizaciju aktivnosti iz Strategije digitalne transformacije </w:t>
            </w:r>
            <w:r>
              <w:rPr>
                <w:rFonts w:ascii="Arial" w:hAnsi="Arial" w:cs="Arial"/>
                <w:b w:val="0"/>
                <w:sz w:val="20"/>
                <w:szCs w:val="20"/>
                <w:lang w:val="it-IT"/>
              </w:rPr>
              <w:t>biće dužne</w:t>
            </w:r>
            <w:r w:rsidRPr="003B14F7">
              <w:rPr>
                <w:rFonts w:ascii="Arial" w:hAnsi="Arial" w:cs="Arial"/>
                <w:b w:val="0"/>
                <w:sz w:val="20"/>
                <w:szCs w:val="20"/>
                <w:lang w:val="it-IT"/>
              </w:rPr>
              <w:t xml:space="preserve"> su da tokom trajanja implementacije Strategije, najkasnije do kraja januara tekuće godine, dostave Ministarstvu javne uprave, digitalnog društva i medija (MJUDDM) podatke o stepenu realizovanosti aktivnosti iz AP za prethodnu godinu. One će u narednom četvorogodišnjem periodu izvještavati MJUDDM i dostavljati sve potrebne podatke koje Ministarstvo, kao rukovodeća institucija za proces digitalizacije</w:t>
            </w:r>
            <w:r>
              <w:rPr>
                <w:rFonts w:ascii="Arial" w:hAnsi="Arial" w:cs="Arial"/>
                <w:b w:val="0"/>
                <w:sz w:val="20"/>
                <w:szCs w:val="20"/>
                <w:lang w:val="it-IT"/>
              </w:rPr>
              <w:t>,</w:t>
            </w:r>
            <w:r w:rsidRPr="003B14F7">
              <w:rPr>
                <w:rFonts w:ascii="Arial" w:hAnsi="Arial" w:cs="Arial"/>
                <w:b w:val="0"/>
                <w:sz w:val="20"/>
                <w:szCs w:val="20"/>
                <w:lang w:val="it-IT"/>
              </w:rPr>
              <w:t xml:space="preserve"> zatraži.</w:t>
            </w:r>
          </w:p>
          <w:p w14:paraId="34B0619A" w14:textId="77777777" w:rsidR="00AE7DE0" w:rsidRPr="0076596E" w:rsidRDefault="00AE7DE0" w:rsidP="00A26279">
            <w:pPr>
              <w:pStyle w:val="ListParagraph"/>
              <w:rPr>
                <w:rFonts w:ascii="Arial" w:hAnsi="Arial" w:cs="Arial"/>
                <w:b w:val="0"/>
                <w:bCs w:val="0"/>
                <w:sz w:val="20"/>
                <w:szCs w:val="20"/>
                <w:lang w:val="it-IT"/>
              </w:rPr>
            </w:pPr>
          </w:p>
          <w:p w14:paraId="6D9D2310"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MJUDDM je zaduženo da objedini podatke i pripremi godišnje Izvještaje o sprovođenju AP koje dostavlja na uvid Savjetu za elektronsku upravu. Izvještaji o realizaciji akcionih planova upućuju se Vladi Crne Gore na usvajanje. Izvještaji će biti pripremani u skladu sa Metodologijom razvijanja politika, izrade i praćenja sprovođenja strategijskih dokumenata i poslužiće za identifikovanje mogućih zastoja u realizaciji aktivnosti i davanje preporuka za njihovo prevazilaženje. Po usvajanju na Vladi, ukoliko se ukaže potreba, MJUDDM će izvršiti ažuriranje AP najkasnije do kraja aprila tekuće godine. Izvještaji će se objaviti i na sajtu Ministarstva javne uprave, digitalnog društva i medija.</w:t>
            </w:r>
          </w:p>
          <w:p w14:paraId="40572003" w14:textId="77777777" w:rsidR="00AE7DE0" w:rsidRPr="0076596E" w:rsidRDefault="00AE7DE0" w:rsidP="00A26279">
            <w:pPr>
              <w:pStyle w:val="ListParagraph"/>
              <w:rPr>
                <w:rFonts w:ascii="Arial" w:hAnsi="Arial" w:cs="Arial"/>
                <w:b w:val="0"/>
                <w:bCs w:val="0"/>
                <w:sz w:val="20"/>
                <w:szCs w:val="20"/>
                <w:lang w:val="it-IT"/>
              </w:rPr>
            </w:pPr>
          </w:p>
          <w:p w14:paraId="6973EF06"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Sa ciljem utvrđivanja relevantnosti i ispunjavanja ciljeva, efikasnosti razvoja, djelotvornosti, uticaja i održivost</w:t>
            </w:r>
            <w:r>
              <w:rPr>
                <w:rFonts w:ascii="Arial" w:hAnsi="Arial" w:cs="Arial"/>
                <w:b w:val="0"/>
                <w:sz w:val="20"/>
                <w:szCs w:val="20"/>
                <w:lang w:val="it-IT"/>
              </w:rPr>
              <w:t>i</w:t>
            </w:r>
            <w:r w:rsidRPr="0076596E">
              <w:rPr>
                <w:rFonts w:ascii="Arial" w:hAnsi="Arial" w:cs="Arial"/>
                <w:b w:val="0"/>
                <w:sz w:val="20"/>
                <w:szCs w:val="20"/>
                <w:lang w:val="it-IT"/>
              </w:rPr>
              <w:t xml:space="preserve"> strategije, u skladu sa Metodologijom, predviđena je evaluacija strateškog dokumenta. Finalna evaluacija će se sprovesti na kraju implementacionog perioda, kako bi ocijenila ef</w:t>
            </w:r>
            <w:r>
              <w:rPr>
                <w:rFonts w:ascii="Arial" w:hAnsi="Arial" w:cs="Arial"/>
                <w:b w:val="0"/>
                <w:sz w:val="20"/>
                <w:szCs w:val="20"/>
                <w:lang w:val="it-IT"/>
              </w:rPr>
              <w:t>e</w:t>
            </w:r>
            <w:r w:rsidRPr="0076596E">
              <w:rPr>
                <w:rFonts w:ascii="Arial" w:hAnsi="Arial" w:cs="Arial"/>
                <w:b w:val="0"/>
                <w:sz w:val="20"/>
                <w:szCs w:val="20"/>
                <w:lang w:val="it-IT"/>
              </w:rPr>
              <w:t>kte i učinke Strategije digitalne transformacije 2022-2026, sa početnom analizom stanja za donošenje narednog strateškog dokumenta. Koristiće se kombinovana metoda u cilju obezbjeđivanja objektivnosti u sprovođenju evaluacije, a biće sprovodena od strane nezavis</w:t>
            </w:r>
            <w:r>
              <w:rPr>
                <w:rFonts w:ascii="Arial" w:hAnsi="Arial" w:cs="Arial"/>
                <w:b w:val="0"/>
                <w:sz w:val="20"/>
                <w:szCs w:val="20"/>
                <w:lang w:val="it-IT"/>
              </w:rPr>
              <w:t>n</w:t>
            </w:r>
            <w:r w:rsidRPr="0076596E">
              <w:rPr>
                <w:rFonts w:ascii="Arial" w:hAnsi="Arial" w:cs="Arial"/>
                <w:b w:val="0"/>
                <w:sz w:val="20"/>
                <w:szCs w:val="20"/>
                <w:lang w:val="it-IT"/>
              </w:rPr>
              <w:t>og eksperta, dok će taj proces koordinirati MJUDDM.</w:t>
            </w:r>
          </w:p>
          <w:p w14:paraId="1FA5B484" w14:textId="77777777" w:rsidR="00AE7DE0" w:rsidRPr="0076596E" w:rsidRDefault="00AE7DE0" w:rsidP="00A26279">
            <w:pPr>
              <w:pStyle w:val="ListParagraph"/>
              <w:rPr>
                <w:rFonts w:ascii="Arial" w:hAnsi="Arial" w:cs="Arial"/>
                <w:b w:val="0"/>
                <w:bCs w:val="0"/>
                <w:sz w:val="20"/>
                <w:szCs w:val="20"/>
                <w:lang w:val="it-IT"/>
              </w:rPr>
            </w:pPr>
          </w:p>
          <w:p w14:paraId="330ADEAE"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 xml:space="preserve">Evaluacija će se fokusirati prevashodno na postignutost ciljeva </w:t>
            </w:r>
            <w:r>
              <w:rPr>
                <w:rFonts w:ascii="Arial" w:hAnsi="Arial" w:cs="Arial"/>
                <w:b w:val="0"/>
                <w:sz w:val="20"/>
                <w:szCs w:val="20"/>
                <w:lang w:val="it-IT"/>
              </w:rPr>
              <w:t>i</w:t>
            </w:r>
            <w:r w:rsidRPr="0076596E">
              <w:rPr>
                <w:rFonts w:ascii="Arial" w:hAnsi="Arial" w:cs="Arial"/>
                <w:b w:val="0"/>
                <w:sz w:val="20"/>
                <w:szCs w:val="20"/>
                <w:lang w:val="it-IT"/>
              </w:rPr>
              <w:t xml:space="preserve"> indikatore učinka, a izvještaj će biti razmatran na Savjetu za elektronsku upravu, te biti dostavljen Vladi preko </w:t>
            </w:r>
            <w:r>
              <w:rPr>
                <w:rFonts w:ascii="Arial" w:hAnsi="Arial" w:cs="Arial"/>
                <w:b w:val="0"/>
                <w:sz w:val="20"/>
                <w:szCs w:val="20"/>
                <w:lang w:val="it-IT"/>
              </w:rPr>
              <w:t>Generalnog sekretarijata Vlade</w:t>
            </w:r>
            <w:r w:rsidRPr="0076596E">
              <w:rPr>
                <w:rFonts w:ascii="Arial" w:hAnsi="Arial" w:cs="Arial"/>
                <w:b w:val="0"/>
                <w:sz w:val="20"/>
                <w:szCs w:val="20"/>
                <w:lang w:val="it-IT"/>
              </w:rPr>
              <w:t xml:space="preserve"> na usvajanje</w:t>
            </w:r>
            <w:r>
              <w:rPr>
                <w:rFonts w:ascii="Arial" w:hAnsi="Arial" w:cs="Arial"/>
                <w:b w:val="0"/>
                <w:sz w:val="20"/>
                <w:szCs w:val="20"/>
                <w:lang w:val="it-IT"/>
              </w:rPr>
              <w:t>.</w:t>
            </w:r>
          </w:p>
          <w:p w14:paraId="430D91ED" w14:textId="77777777" w:rsidR="00AE7DE0" w:rsidRPr="0076596E" w:rsidRDefault="00AE7DE0" w:rsidP="00A26279">
            <w:pPr>
              <w:pStyle w:val="ListParagraph"/>
              <w:rPr>
                <w:rFonts w:ascii="Arial" w:hAnsi="Arial" w:cs="Arial"/>
                <w:b w:val="0"/>
                <w:bCs w:val="0"/>
                <w:sz w:val="20"/>
                <w:szCs w:val="20"/>
                <w:lang w:val="it-IT"/>
              </w:rPr>
            </w:pPr>
          </w:p>
          <w:p w14:paraId="7AA40D55" w14:textId="77777777" w:rsidR="00AE7DE0" w:rsidRPr="0076596E" w:rsidRDefault="00AE7DE0" w:rsidP="00AE7DE0">
            <w:pPr>
              <w:pStyle w:val="ListParagraph"/>
              <w:numPr>
                <w:ilvl w:val="0"/>
                <w:numId w:val="68"/>
              </w:numPr>
              <w:autoSpaceDE w:val="0"/>
              <w:autoSpaceDN w:val="0"/>
              <w:adjustRightInd w:val="0"/>
              <w:spacing w:after="0" w:line="240" w:lineRule="auto"/>
              <w:contextualSpacing w:val="0"/>
              <w:jc w:val="both"/>
              <w:rPr>
                <w:rFonts w:ascii="Arial" w:hAnsi="Arial" w:cs="Arial"/>
                <w:b w:val="0"/>
                <w:bCs w:val="0"/>
                <w:sz w:val="20"/>
                <w:szCs w:val="20"/>
                <w:lang w:val="it-IT"/>
              </w:rPr>
            </w:pPr>
            <w:r w:rsidRPr="0076596E">
              <w:rPr>
                <w:rFonts w:ascii="Arial" w:hAnsi="Arial" w:cs="Arial"/>
                <w:b w:val="0"/>
                <w:sz w:val="20"/>
                <w:szCs w:val="20"/>
                <w:lang w:val="it-IT"/>
              </w:rPr>
              <w:t>Inspekcijski nadzor vršiće inspekcija za usluge informacionog društva, u skladu sa zakonom kojim se uređuje inspekcijski nadzor i ovim zakonom.</w:t>
            </w:r>
          </w:p>
          <w:p w14:paraId="02A066BA" w14:textId="77777777" w:rsidR="00AE7DE0" w:rsidRPr="000F4725" w:rsidRDefault="00AE7DE0" w:rsidP="00A26279">
            <w:pPr>
              <w:autoSpaceDE w:val="0"/>
              <w:autoSpaceDN w:val="0"/>
              <w:adjustRightInd w:val="0"/>
              <w:rPr>
                <w:rFonts w:ascii="Arial" w:hAnsi="Arial" w:cs="Arial"/>
                <w:sz w:val="20"/>
                <w:szCs w:val="20"/>
                <w:lang w:val="it-IT"/>
              </w:rPr>
            </w:pPr>
          </w:p>
        </w:tc>
      </w:tr>
    </w:tbl>
    <w:p w14:paraId="114CB886" w14:textId="77777777" w:rsidR="00AE7DE0" w:rsidRPr="00F15F1C" w:rsidRDefault="00AE7DE0" w:rsidP="00AE7DE0">
      <w:pPr>
        <w:autoSpaceDE w:val="0"/>
        <w:autoSpaceDN w:val="0"/>
        <w:adjustRightInd w:val="0"/>
        <w:rPr>
          <w:rFonts w:ascii="Arial" w:hAnsi="Arial" w:cs="Arial"/>
          <w:b/>
          <w:bCs/>
          <w:color w:val="365F91" w:themeColor="accent1" w:themeShade="BF"/>
          <w:sz w:val="20"/>
          <w:szCs w:val="20"/>
          <w:lang w:val="it-IT"/>
        </w:rPr>
      </w:pPr>
    </w:p>
    <w:p w14:paraId="474FA33A" w14:textId="77777777" w:rsidR="00AE7DE0" w:rsidRPr="00F15F1C" w:rsidRDefault="00AE7DE0" w:rsidP="00AE7DE0">
      <w:pPr>
        <w:autoSpaceDE w:val="0"/>
        <w:autoSpaceDN w:val="0"/>
        <w:adjustRightInd w:val="0"/>
        <w:rPr>
          <w:rFonts w:ascii="Arial" w:hAnsi="Arial" w:cs="Arial"/>
          <w:b/>
          <w:bCs/>
          <w:color w:val="365F91" w:themeColor="accent1" w:themeShade="BF"/>
          <w:sz w:val="20"/>
          <w:szCs w:val="20"/>
          <w:lang w:val="it-IT"/>
        </w:rPr>
      </w:pPr>
    </w:p>
    <w:p w14:paraId="5535CAE6" w14:textId="77777777" w:rsidR="00AE7DE0" w:rsidRPr="00F15F1C" w:rsidRDefault="00AE7DE0" w:rsidP="00AE7DE0">
      <w:pPr>
        <w:rPr>
          <w:rFonts w:ascii="Arial" w:hAnsi="Arial" w:cs="Arial"/>
          <w:b/>
          <w:color w:val="365F91" w:themeColor="accent1" w:themeShade="BF"/>
          <w:sz w:val="20"/>
          <w:szCs w:val="20"/>
          <w:lang w:val="it-IT"/>
        </w:rPr>
      </w:pPr>
      <w:r w:rsidRPr="00F15F1C">
        <w:rPr>
          <w:rFonts w:ascii="Arial" w:hAnsi="Arial" w:cs="Arial"/>
          <w:b/>
          <w:color w:val="365F91" w:themeColor="accent1" w:themeShade="BF"/>
          <w:sz w:val="20"/>
          <w:szCs w:val="20"/>
          <w:lang w:val="it-IT"/>
        </w:rPr>
        <w:t xml:space="preserve">   Datum i mjesto</w:t>
      </w:r>
      <w:r w:rsidRPr="00F15F1C">
        <w:rPr>
          <w:rFonts w:ascii="Arial" w:hAnsi="Arial" w:cs="Arial"/>
          <w:b/>
          <w:color w:val="365F91" w:themeColor="accent1" w:themeShade="BF"/>
          <w:sz w:val="20"/>
          <w:szCs w:val="20"/>
          <w:lang w:val="it-IT"/>
        </w:rPr>
        <w:tab/>
      </w:r>
      <w:r w:rsidRPr="00F15F1C">
        <w:rPr>
          <w:rFonts w:ascii="Arial" w:hAnsi="Arial" w:cs="Arial"/>
          <w:b/>
          <w:color w:val="365F91" w:themeColor="accent1" w:themeShade="BF"/>
          <w:sz w:val="20"/>
          <w:szCs w:val="20"/>
          <w:lang w:val="it-IT"/>
        </w:rPr>
        <w:tab/>
      </w:r>
      <w:r w:rsidRPr="00F15F1C">
        <w:rPr>
          <w:rFonts w:ascii="Arial" w:hAnsi="Arial" w:cs="Arial"/>
          <w:b/>
          <w:color w:val="365F91" w:themeColor="accent1" w:themeShade="BF"/>
          <w:sz w:val="20"/>
          <w:szCs w:val="20"/>
          <w:lang w:val="it-IT"/>
        </w:rPr>
        <w:tab/>
      </w:r>
      <w:r w:rsidRPr="00F15F1C">
        <w:rPr>
          <w:rFonts w:ascii="Arial" w:hAnsi="Arial" w:cs="Arial"/>
          <w:b/>
          <w:color w:val="365F91" w:themeColor="accent1" w:themeShade="BF"/>
          <w:sz w:val="20"/>
          <w:szCs w:val="20"/>
          <w:lang w:val="it-IT"/>
        </w:rPr>
        <w:tab/>
        <w:t xml:space="preserve">                                                         Starješina </w:t>
      </w:r>
    </w:p>
    <w:p w14:paraId="0BB5C9CD" w14:textId="77777777" w:rsidR="00AE7DE0" w:rsidRPr="00530AA1" w:rsidRDefault="00AE7DE0" w:rsidP="00AE7DE0">
      <w:pPr>
        <w:rPr>
          <w:rFonts w:ascii="Arial" w:hAnsi="Arial" w:cs="Arial"/>
          <w:b/>
          <w:color w:val="365F91" w:themeColor="accent1" w:themeShade="BF"/>
          <w:sz w:val="20"/>
          <w:szCs w:val="20"/>
          <w:lang w:val="it-IT"/>
        </w:rPr>
      </w:pPr>
      <w:r w:rsidRPr="00F15F1C">
        <w:rPr>
          <w:rFonts w:ascii="Arial" w:hAnsi="Arial" w:cs="Arial"/>
          <w:color w:val="365F91" w:themeColor="accent1" w:themeShade="BF"/>
          <w:sz w:val="20"/>
          <w:szCs w:val="20"/>
          <w:lang w:val="it-IT"/>
        </w:rPr>
        <w:t xml:space="preserve"> </w:t>
      </w:r>
      <w:r w:rsidRPr="00530AA1">
        <w:rPr>
          <w:rFonts w:ascii="Arial" w:hAnsi="Arial" w:cs="Arial"/>
          <w:b/>
          <w:color w:val="365F91" w:themeColor="accent1" w:themeShade="BF"/>
          <w:sz w:val="20"/>
          <w:szCs w:val="20"/>
          <w:lang w:val="it-IT"/>
        </w:rPr>
        <w:t>0</w:t>
      </w:r>
      <w:r>
        <w:rPr>
          <w:rFonts w:ascii="Arial" w:hAnsi="Arial" w:cs="Arial"/>
          <w:b/>
          <w:color w:val="365F91" w:themeColor="accent1" w:themeShade="BF"/>
          <w:sz w:val="20"/>
          <w:szCs w:val="20"/>
          <w:lang w:val="it-IT"/>
        </w:rPr>
        <w:t>7</w:t>
      </w:r>
      <w:r w:rsidRPr="00530AA1">
        <w:rPr>
          <w:rFonts w:ascii="Arial" w:hAnsi="Arial" w:cs="Arial"/>
          <w:b/>
          <w:color w:val="365F91" w:themeColor="accent1" w:themeShade="BF"/>
          <w:sz w:val="20"/>
          <w:szCs w:val="20"/>
          <w:lang w:val="it-IT"/>
        </w:rPr>
        <w:t>.1</w:t>
      </w:r>
      <w:r>
        <w:rPr>
          <w:rFonts w:ascii="Arial" w:hAnsi="Arial" w:cs="Arial"/>
          <w:b/>
          <w:color w:val="365F91" w:themeColor="accent1" w:themeShade="BF"/>
          <w:sz w:val="20"/>
          <w:szCs w:val="20"/>
          <w:lang w:val="it-IT"/>
        </w:rPr>
        <w:t>2</w:t>
      </w:r>
      <w:r w:rsidRPr="00530AA1">
        <w:rPr>
          <w:rFonts w:ascii="Arial" w:hAnsi="Arial" w:cs="Arial"/>
          <w:b/>
          <w:color w:val="365F91" w:themeColor="accent1" w:themeShade="BF"/>
          <w:sz w:val="20"/>
          <w:szCs w:val="20"/>
          <w:lang w:val="it-IT"/>
        </w:rPr>
        <w:t>.2021. godine</w:t>
      </w:r>
      <w:r w:rsidRPr="00530AA1">
        <w:rPr>
          <w:rFonts w:ascii="Arial" w:hAnsi="Arial" w:cs="Arial"/>
          <w:b/>
          <w:color w:val="365F91" w:themeColor="accent1" w:themeShade="BF"/>
          <w:sz w:val="20"/>
          <w:szCs w:val="20"/>
          <w:lang w:val="it-IT"/>
        </w:rPr>
        <w:tab/>
      </w:r>
      <w:r w:rsidRPr="00530AA1">
        <w:rPr>
          <w:rFonts w:ascii="Arial" w:hAnsi="Arial" w:cs="Arial"/>
          <w:b/>
          <w:color w:val="365F91" w:themeColor="accent1" w:themeShade="BF"/>
          <w:sz w:val="20"/>
          <w:szCs w:val="20"/>
          <w:lang w:val="it-IT"/>
        </w:rPr>
        <w:tab/>
      </w:r>
      <w:r w:rsidRPr="00530AA1">
        <w:rPr>
          <w:rFonts w:ascii="Arial" w:hAnsi="Arial" w:cs="Arial"/>
          <w:b/>
          <w:color w:val="365F91" w:themeColor="accent1" w:themeShade="BF"/>
          <w:sz w:val="20"/>
          <w:szCs w:val="20"/>
          <w:lang w:val="it-IT"/>
        </w:rPr>
        <w:tab/>
      </w:r>
      <w:r w:rsidRPr="00530AA1">
        <w:rPr>
          <w:rFonts w:ascii="Arial" w:hAnsi="Arial" w:cs="Arial"/>
          <w:b/>
          <w:color w:val="365F91" w:themeColor="accent1" w:themeShade="BF"/>
          <w:sz w:val="20"/>
          <w:szCs w:val="20"/>
          <w:lang w:val="it-IT"/>
        </w:rPr>
        <w:tab/>
        <w:t xml:space="preserve">                                      __________________________</w:t>
      </w:r>
      <w:r w:rsidRPr="00530AA1">
        <w:rPr>
          <w:rFonts w:ascii="Arial" w:hAnsi="Arial" w:cs="Arial"/>
          <w:b/>
          <w:color w:val="365F91" w:themeColor="accent1" w:themeShade="BF"/>
          <w:sz w:val="20"/>
          <w:szCs w:val="20"/>
          <w:lang w:val="it-IT"/>
        </w:rPr>
        <w:tab/>
      </w:r>
    </w:p>
    <w:p w14:paraId="580B74B2" w14:textId="77777777" w:rsidR="00AE7DE0" w:rsidRPr="00F15F1C" w:rsidRDefault="00AE7DE0" w:rsidP="00AE7DE0">
      <w:pPr>
        <w:autoSpaceDE w:val="0"/>
        <w:autoSpaceDN w:val="0"/>
        <w:adjustRightInd w:val="0"/>
        <w:rPr>
          <w:rFonts w:ascii="Arial" w:hAnsi="Arial" w:cs="Arial"/>
          <w:color w:val="1F497D" w:themeColor="text2"/>
          <w:sz w:val="20"/>
          <w:szCs w:val="20"/>
          <w:lang w:val="it-IT"/>
        </w:rPr>
      </w:pPr>
    </w:p>
    <w:p w14:paraId="4A88A57C" w14:textId="77777777" w:rsidR="00AE7DE0" w:rsidRPr="00F15F1C" w:rsidRDefault="00AE7DE0" w:rsidP="00AE7DE0">
      <w:pPr>
        <w:autoSpaceDE w:val="0"/>
        <w:autoSpaceDN w:val="0"/>
        <w:adjustRightInd w:val="0"/>
        <w:rPr>
          <w:rFonts w:ascii="Arial" w:hAnsi="Arial" w:cs="Arial"/>
          <w:color w:val="1F497D" w:themeColor="text2"/>
          <w:sz w:val="20"/>
          <w:szCs w:val="20"/>
          <w:lang w:val="it-IT"/>
        </w:rPr>
      </w:pPr>
    </w:p>
    <w:p w14:paraId="77415132" w14:textId="77777777" w:rsidR="00AE7DE0" w:rsidRPr="00F15F1C" w:rsidRDefault="00AE7DE0" w:rsidP="00AE7DE0">
      <w:pPr>
        <w:autoSpaceDE w:val="0"/>
        <w:autoSpaceDN w:val="0"/>
        <w:adjustRightInd w:val="0"/>
        <w:rPr>
          <w:rFonts w:ascii="Arial" w:hAnsi="Arial" w:cs="Arial"/>
          <w:b/>
          <w:bCs/>
          <w:color w:val="365F91" w:themeColor="accent1" w:themeShade="BF"/>
          <w:sz w:val="20"/>
          <w:szCs w:val="20"/>
          <w:lang w:val="it-IT"/>
        </w:rPr>
      </w:pPr>
    </w:p>
    <w:p w14:paraId="1FD4F27D"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47675AAF"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630ECB08"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498FDB7B"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p w14:paraId="2EE3D4E7" w14:textId="77777777" w:rsidR="005038F6" w:rsidRDefault="005038F6">
      <w:pPr>
        <w:pBdr>
          <w:top w:val="nil"/>
          <w:left w:val="nil"/>
          <w:bottom w:val="nil"/>
          <w:right w:val="nil"/>
          <w:between w:val="nil"/>
        </w:pBdr>
        <w:spacing w:before="20" w:after="20" w:line="240" w:lineRule="auto"/>
        <w:rPr>
          <w:rFonts w:ascii="Arial" w:eastAsia="Arial" w:hAnsi="Arial" w:cs="Arial"/>
          <w:b/>
          <w:sz w:val="28"/>
          <w:szCs w:val="28"/>
        </w:rPr>
      </w:pPr>
    </w:p>
    <w:sectPr w:rsidR="005038F6" w:rsidSect="008A78FF">
      <w:headerReference w:type="default" r:id="rId59"/>
      <w:footerReference w:type="default" r:id="rId60"/>
      <w:headerReference w:type="first" r:id="rId61"/>
      <w:footerReference w:type="first" r:id="rId62"/>
      <w:pgSz w:w="12240" w:h="15840"/>
      <w:pgMar w:top="1440" w:right="1140" w:bottom="1276" w:left="630" w:header="720" w:footer="624" w:gutter="0"/>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720C99" w14:textId="77777777" w:rsidR="00F348F7" w:rsidRDefault="00F348F7">
      <w:pPr>
        <w:spacing w:after="0" w:line="240" w:lineRule="auto"/>
      </w:pPr>
      <w:r>
        <w:separator/>
      </w:r>
    </w:p>
  </w:endnote>
  <w:endnote w:type="continuationSeparator" w:id="0">
    <w:p w14:paraId="3F91C673" w14:textId="77777777" w:rsidR="00F348F7" w:rsidRDefault="00F34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auto"/>
    <w:pitch w:val="variable"/>
    <w:sig w:usb0="E00002FF" w:usb1="4000ACFF" w:usb2="00000001" w:usb3="00000000" w:csb0="0000019F" w:csb1="00000000"/>
  </w:font>
  <w:font w:name="SymbolMT">
    <w:altName w:val="Symbol"/>
    <w:panose1 w:val="00000000000000000000"/>
    <w:charset w:val="00"/>
    <w:family w:val="roman"/>
    <w:notTrueType/>
    <w:pitch w:val="default"/>
  </w:font>
  <w:font w:name="Segoe UI Symbol">
    <w:altName w:val="Calibri"/>
    <w:charset w:val="00"/>
    <w:family w:val="swiss"/>
    <w:pitch w:val="variable"/>
    <w:sig w:usb0="800001E3" w:usb1="1200FFEF" w:usb2="00040000" w:usb3="00000000" w:csb0="00000001"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Majora Pro Bold">
    <w:altName w:val="Calibri"/>
    <w:charset w:val="00"/>
    <w:family w:val="auto"/>
    <w:pitch w:val="default"/>
  </w:font>
  <w:font w:name="Sitka Text">
    <w:altName w:val="Luminari"/>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B03E4" w14:textId="77777777" w:rsidR="005E4CCE" w:rsidRDefault="005E4CCE">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60288" behindDoc="0" locked="0" layoutInCell="1" hidden="0" allowOverlap="1" wp14:anchorId="40D03EDB" wp14:editId="10082962">
          <wp:simplePos x="0" y="0"/>
          <wp:positionH relativeFrom="column">
            <wp:posOffset>3957320</wp:posOffset>
          </wp:positionH>
          <wp:positionV relativeFrom="paragraph">
            <wp:posOffset>303339488</wp:posOffset>
          </wp:positionV>
          <wp:extent cx="3575050" cy="3632835"/>
          <wp:effectExtent l="0" t="0" r="0" b="0"/>
          <wp:wrapSquare wrapText="bothSides" distT="0" distB="0" distL="114300" distR="11430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575050" cy="3632835"/>
                  </a:xfrm>
                  <a:prstGeom prst="rect">
                    <a:avLst/>
                  </a:prstGeom>
                  <a:ln/>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456DD" w14:textId="77777777" w:rsidR="005E4CCE" w:rsidRDefault="005E4CCE">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266AC" w14:textId="77777777" w:rsidR="005E4CCE" w:rsidRDefault="005E4CCE">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62336" behindDoc="0" locked="0" layoutInCell="1" hidden="0" allowOverlap="1" wp14:anchorId="21036065" wp14:editId="1995CC6C">
          <wp:simplePos x="0" y="0"/>
          <wp:positionH relativeFrom="column">
            <wp:posOffset>3957320</wp:posOffset>
          </wp:positionH>
          <wp:positionV relativeFrom="paragraph">
            <wp:posOffset>303339488</wp:posOffset>
          </wp:positionV>
          <wp:extent cx="3575050" cy="3632835"/>
          <wp:effectExtent l="0" t="0" r="0" b="0"/>
          <wp:wrapSquare wrapText="bothSides" distT="0" distB="0" distL="114300" distR="11430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575050" cy="3632835"/>
                  </a:xfrm>
                  <a:prstGeom prst="rect">
                    <a:avLst/>
                  </a:prstGeom>
                  <a:ln/>
                </pic:spPr>
              </pic:pic>
            </a:graphicData>
          </a:graphic>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73590" w14:textId="77777777" w:rsidR="005E4CCE" w:rsidRDefault="005E4CCE">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7DAB" w14:textId="77777777" w:rsidR="00B66795" w:rsidRDefault="00B66795">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0DA293" w14:textId="77777777" w:rsidR="004C791B" w:rsidRDefault="004C791B">
    <w:pPr>
      <w:pBdr>
        <w:top w:val="nil"/>
        <w:left w:val="nil"/>
        <w:bottom w:val="nil"/>
        <w:right w:val="nil"/>
        <w:between w:val="nil"/>
      </w:pBdr>
      <w:tabs>
        <w:tab w:val="center" w:pos="4680"/>
        <w:tab w:val="right" w:pos="9360"/>
      </w:tabs>
      <w:spacing w:after="0" w:line="240" w:lineRule="auto"/>
      <w:jc w:val="right"/>
      <w:rPr>
        <w:color w:val="000000"/>
      </w:rPr>
    </w:pPr>
    <w:r>
      <w:rPr>
        <w:noProof/>
      </w:rPr>
      <w:drawing>
        <wp:anchor distT="0" distB="0" distL="114300" distR="114300" simplePos="0" relativeHeight="251672576" behindDoc="0" locked="0" layoutInCell="1" hidden="0" allowOverlap="1" wp14:anchorId="49656EA9" wp14:editId="53533165">
          <wp:simplePos x="0" y="0"/>
          <wp:positionH relativeFrom="column">
            <wp:posOffset>3957320</wp:posOffset>
          </wp:positionH>
          <wp:positionV relativeFrom="paragraph">
            <wp:posOffset>303339488</wp:posOffset>
          </wp:positionV>
          <wp:extent cx="3575050" cy="3632835"/>
          <wp:effectExtent l="0" t="0" r="0" b="0"/>
          <wp:wrapSquare wrapText="bothSides" distT="0" distB="0" distL="114300" distR="114300"/>
          <wp:docPr id="1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3575050" cy="3632835"/>
                  </a:xfrm>
                  <a:prstGeom prst="rect">
                    <a:avLst/>
                  </a:prstGeom>
                  <a:ln/>
                </pic:spPr>
              </pic:pic>
            </a:graphicData>
          </a:graphic>
        </wp:anchor>
      </w:drawing>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ECB128" w14:textId="77777777" w:rsidR="005E4CCE" w:rsidRDefault="005E4CC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140D5" w14:textId="77777777" w:rsidR="00F348F7" w:rsidRDefault="00F348F7">
      <w:pPr>
        <w:spacing w:after="0" w:line="240" w:lineRule="auto"/>
      </w:pPr>
      <w:r>
        <w:separator/>
      </w:r>
    </w:p>
  </w:footnote>
  <w:footnote w:type="continuationSeparator" w:id="0">
    <w:p w14:paraId="05C02A62" w14:textId="77777777" w:rsidR="00F348F7" w:rsidRDefault="00F348F7">
      <w:pPr>
        <w:spacing w:after="0" w:line="240" w:lineRule="auto"/>
      </w:pPr>
      <w:r>
        <w:continuationSeparator/>
      </w:r>
    </w:p>
  </w:footnote>
  <w:footnote w:id="1">
    <w:p w14:paraId="399ACE07"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1">
        <w:r>
          <w:rPr>
            <w:color w:val="0563C1"/>
            <w:sz w:val="18"/>
            <w:szCs w:val="18"/>
            <w:u w:val="single"/>
          </w:rPr>
          <w:t>https://ec.europa.eu/info/strategy/priorities-2019-2024/europe-fit-digital-age/europes-digital-decade-digital-targets-2030_en</w:t>
        </w:r>
      </w:hyperlink>
      <w:r>
        <w:rPr>
          <w:color w:val="000000"/>
          <w:sz w:val="18"/>
          <w:szCs w:val="18"/>
        </w:rPr>
        <w:t xml:space="preserve"> </w:t>
      </w:r>
    </w:p>
  </w:footnote>
  <w:footnote w:id="2">
    <w:p w14:paraId="02DEB053"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2">
        <w:r>
          <w:rPr>
            <w:color w:val="0563C1"/>
            <w:sz w:val="18"/>
            <w:szCs w:val="18"/>
            <w:u w:val="single"/>
          </w:rPr>
          <w:t>https://ec.europa.eu/info/strategy/priorities-2019-2024/europe-fit-digital-age/european-data-strategy_en</w:t>
        </w:r>
      </w:hyperlink>
      <w:r>
        <w:rPr>
          <w:color w:val="000000"/>
          <w:sz w:val="18"/>
          <w:szCs w:val="18"/>
        </w:rPr>
        <w:t xml:space="preserve"> </w:t>
      </w:r>
    </w:p>
  </w:footnote>
  <w:footnote w:id="3">
    <w:p w14:paraId="341F0219"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3">
        <w:r>
          <w:rPr>
            <w:color w:val="0563C1"/>
            <w:sz w:val="18"/>
            <w:szCs w:val="18"/>
            <w:u w:val="single"/>
          </w:rPr>
          <w:t>https://ec.europa.eu/social/main.jsp?catId=1223</w:t>
        </w:r>
      </w:hyperlink>
      <w:r>
        <w:rPr>
          <w:color w:val="000000"/>
          <w:sz w:val="18"/>
          <w:szCs w:val="18"/>
        </w:rPr>
        <w:t xml:space="preserve"> </w:t>
      </w:r>
    </w:p>
  </w:footnote>
  <w:footnote w:id="4">
    <w:p w14:paraId="24A0376D"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hyperlink r:id="rId4">
        <w:r>
          <w:rPr>
            <w:color w:val="0563C1"/>
            <w:sz w:val="18"/>
            <w:szCs w:val="18"/>
            <w:u w:val="single"/>
          </w:rPr>
          <w:t>https://ec.europa.eu/education/education-in-the-eu/digital-education-action-plan_en</w:t>
        </w:r>
      </w:hyperlink>
      <w:r>
        <w:rPr>
          <w:color w:val="000000"/>
          <w:sz w:val="18"/>
          <w:szCs w:val="18"/>
        </w:rPr>
        <w:t xml:space="preserve"> </w:t>
      </w:r>
    </w:p>
  </w:footnote>
  <w:footnote w:id="5">
    <w:p w14:paraId="317B1FDF"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r>
        <w:rPr>
          <w:color w:val="0563C1"/>
          <w:sz w:val="18"/>
          <w:szCs w:val="18"/>
          <w:u w:val="single"/>
        </w:rPr>
        <w:t>https://ec.europa.eu/info/strategy/priorities-2019-2024/europe-fit-digital-age/european-industrial-strategy_en</w:t>
      </w:r>
    </w:p>
  </w:footnote>
  <w:footnote w:id="6">
    <w:p w14:paraId="5B828E98" w14:textId="77777777" w:rsidR="005E4CCE" w:rsidRDefault="005E4CCE">
      <w:pPr>
        <w:spacing w:after="0" w:line="240" w:lineRule="auto"/>
        <w:rPr>
          <w:sz w:val="20"/>
          <w:szCs w:val="20"/>
        </w:rPr>
      </w:pPr>
      <w:r>
        <w:rPr>
          <w:vertAlign w:val="superscript"/>
        </w:rPr>
        <w:footnoteRef/>
      </w:r>
      <w:r>
        <w:rPr>
          <w:color w:val="0563C1"/>
          <w:sz w:val="18"/>
          <w:szCs w:val="18"/>
          <w:u w:val="single"/>
        </w:rPr>
        <w:t xml:space="preserve"> https://ec.europa.eu/commission/presscorner/detail/en/IP_20_1811</w:t>
      </w:r>
    </w:p>
  </w:footnote>
  <w:footnote w:id="7">
    <w:p w14:paraId="3AA53C3A"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r>
        <w:rPr>
          <w:color w:val="0563C1"/>
          <w:sz w:val="18"/>
          <w:szCs w:val="18"/>
          <w:u w:val="single"/>
        </w:rPr>
        <w:t>https://www.rcc.int/pages/143/common-regional-market</w:t>
      </w:r>
    </w:p>
  </w:footnote>
  <w:footnote w:id="8">
    <w:p w14:paraId="70046332"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r>
        <w:rPr>
          <w:color w:val="0563C1"/>
          <w:sz w:val="18"/>
          <w:szCs w:val="18"/>
          <w:u w:val="single"/>
        </w:rPr>
        <w:t>https://www.rcc.int/events/1394/shaping-the-common-regional-market-crm-2021-2024-action-plan</w:t>
      </w:r>
    </w:p>
  </w:footnote>
  <w:footnote w:id="9">
    <w:p w14:paraId="735E651B"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r>
        <w:rPr>
          <w:color w:val="0563C1"/>
          <w:sz w:val="18"/>
          <w:szCs w:val="18"/>
          <w:u w:val="single"/>
        </w:rPr>
        <w:t>https://eur-lex.europa.eu/legal-content/EN/TXT/?uri=celex%3A32013L0037</w:t>
      </w:r>
    </w:p>
  </w:footnote>
  <w:footnote w:id="10">
    <w:p w14:paraId="0759A50A" w14:textId="77777777" w:rsidR="005E4CCE" w:rsidRDefault="005E4CCE">
      <w:pPr>
        <w:pBdr>
          <w:top w:val="nil"/>
          <w:left w:val="nil"/>
          <w:bottom w:val="nil"/>
          <w:right w:val="nil"/>
          <w:between w:val="nil"/>
        </w:pBdr>
        <w:spacing w:after="0" w:line="240" w:lineRule="auto"/>
        <w:rPr>
          <w:color w:val="0563C1"/>
          <w:sz w:val="18"/>
          <w:szCs w:val="18"/>
          <w:u w:val="single"/>
        </w:rPr>
      </w:pPr>
      <w:r>
        <w:rPr>
          <w:vertAlign w:val="superscript"/>
        </w:rPr>
        <w:footnoteRef/>
      </w:r>
      <w:r>
        <w:rPr>
          <w:color w:val="000000"/>
          <w:sz w:val="18"/>
          <w:szCs w:val="18"/>
        </w:rPr>
        <w:t xml:space="preserve"> </w:t>
      </w:r>
      <w:r>
        <w:rPr>
          <w:color w:val="0563C1"/>
          <w:sz w:val="18"/>
          <w:szCs w:val="18"/>
          <w:u w:val="single"/>
        </w:rPr>
        <w:t>https://eur-lex.europa.eu/legal-content/EN/TXT/?uri=uriserv:OJ.L_.2019.172.01.0056.01.ENG</w:t>
      </w:r>
    </w:p>
  </w:footnote>
  <w:footnote w:id="11">
    <w:p w14:paraId="151D1739" w14:textId="77777777" w:rsidR="005E4CCE" w:rsidRDefault="005E4CCE">
      <w:pPr>
        <w:pBdr>
          <w:top w:val="nil"/>
          <w:left w:val="nil"/>
          <w:bottom w:val="nil"/>
          <w:right w:val="nil"/>
          <w:between w:val="nil"/>
        </w:pBdr>
        <w:spacing w:after="0" w:line="240" w:lineRule="auto"/>
        <w:rPr>
          <w:color w:val="0563C1"/>
          <w:sz w:val="18"/>
          <w:szCs w:val="18"/>
          <w:u w:val="single"/>
        </w:rPr>
      </w:pPr>
      <w:r>
        <w:rPr>
          <w:vertAlign w:val="superscript"/>
        </w:rPr>
        <w:footnoteRef/>
      </w:r>
      <w:r>
        <w:rPr>
          <w:color w:val="000000"/>
          <w:sz w:val="18"/>
          <w:szCs w:val="18"/>
        </w:rPr>
        <w:t xml:space="preserve"> </w:t>
      </w:r>
      <w:r>
        <w:rPr>
          <w:color w:val="0563C1"/>
          <w:sz w:val="18"/>
          <w:szCs w:val="18"/>
          <w:u w:val="single"/>
        </w:rPr>
        <w:t>https://eur-lex.europa.eu/legal-content/EN/TXT/?uri=CELEX%3A32018R1807</w:t>
      </w:r>
    </w:p>
  </w:footnote>
  <w:footnote w:id="12">
    <w:p w14:paraId="1810AE17"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t>
      </w:r>
      <w:r>
        <w:rPr>
          <w:color w:val="0563C1"/>
          <w:sz w:val="18"/>
          <w:szCs w:val="18"/>
          <w:u w:val="single"/>
        </w:rPr>
        <w:t>https://eur-lex.europa.eu/eli/reg/2016/679/oj</w:t>
      </w:r>
    </w:p>
  </w:footnote>
  <w:footnote w:id="13">
    <w:p w14:paraId="52F36DAA" w14:textId="77777777" w:rsidR="005E4CCE" w:rsidRDefault="005E4CCE">
      <w:pPr>
        <w:spacing w:after="0" w:line="240" w:lineRule="auto"/>
        <w:rPr>
          <w:sz w:val="20"/>
          <w:szCs w:val="20"/>
        </w:rPr>
      </w:pPr>
      <w:r>
        <w:rPr>
          <w:vertAlign w:val="superscript"/>
        </w:rPr>
        <w:footnoteRef/>
      </w:r>
      <w:r>
        <w:rPr>
          <w:sz w:val="20"/>
          <w:szCs w:val="20"/>
        </w:rPr>
        <w:t xml:space="preserve"> https://www.gov.me/en/documents/75fd43fa-de2e-4e70-9a1f-08e6fa224235</w:t>
      </w:r>
    </w:p>
  </w:footnote>
  <w:footnote w:id="14">
    <w:p w14:paraId="5FC2ED45" w14:textId="77777777" w:rsidR="005E4CCE" w:rsidRDefault="005E4CCE">
      <w:pPr>
        <w:spacing w:after="0" w:line="240" w:lineRule="auto"/>
        <w:rPr>
          <w:sz w:val="20"/>
          <w:szCs w:val="20"/>
        </w:rPr>
      </w:pPr>
      <w:r>
        <w:rPr>
          <w:vertAlign w:val="superscript"/>
        </w:rPr>
        <w:footnoteRef/>
      </w:r>
      <w:r>
        <w:rPr>
          <w:sz w:val="20"/>
          <w:szCs w:val="20"/>
        </w:rPr>
        <w:t xml:space="preserve"> https://www.gov.me/dokumenta/b5f98cf5-f6a6-476b-9216-3133e67a8886</w:t>
      </w:r>
    </w:p>
  </w:footnote>
  <w:footnote w:id="15">
    <w:p w14:paraId="54155A17" w14:textId="77777777" w:rsidR="005E4CCE" w:rsidRDefault="005E4CCE">
      <w:pPr>
        <w:spacing w:after="0" w:line="240" w:lineRule="auto"/>
        <w:rPr>
          <w:sz w:val="20"/>
          <w:szCs w:val="20"/>
        </w:rPr>
      </w:pPr>
      <w:r>
        <w:rPr>
          <w:vertAlign w:val="superscript"/>
        </w:rPr>
        <w:footnoteRef/>
      </w:r>
      <w:r>
        <w:rPr>
          <w:sz w:val="20"/>
          <w:szCs w:val="20"/>
        </w:rPr>
        <w:t xml:space="preserve"> https://www.un.org/ga/search/view_doc.asp?symbol=A/RES/70/1&amp;Lang=E</w:t>
      </w:r>
    </w:p>
  </w:footnote>
  <w:footnote w:id="16">
    <w:p w14:paraId="522DFF05" w14:textId="77777777" w:rsidR="005E4CCE" w:rsidRDefault="005E4CCE">
      <w:pPr>
        <w:spacing w:after="0" w:line="240" w:lineRule="auto"/>
        <w:rPr>
          <w:sz w:val="20"/>
          <w:szCs w:val="20"/>
        </w:rPr>
      </w:pPr>
      <w:r>
        <w:rPr>
          <w:vertAlign w:val="superscript"/>
        </w:rPr>
        <w:footnoteRef/>
      </w:r>
      <w:r>
        <w:rPr>
          <w:sz w:val="20"/>
          <w:szCs w:val="20"/>
        </w:rPr>
        <w:t xml:space="preserve"> https://www.gov.me/clanak/program-rada-vlade-crne-gore </w:t>
      </w:r>
    </w:p>
  </w:footnote>
  <w:footnote w:id="17">
    <w:p w14:paraId="499D346A" w14:textId="77777777" w:rsidR="005E4CCE" w:rsidRDefault="005E4CCE">
      <w:pPr>
        <w:spacing w:after="0" w:line="240" w:lineRule="auto"/>
        <w:rPr>
          <w:sz w:val="20"/>
          <w:szCs w:val="20"/>
        </w:rPr>
      </w:pPr>
      <w:r>
        <w:rPr>
          <w:vertAlign w:val="superscript"/>
        </w:rPr>
        <w:footnoteRef/>
      </w:r>
      <w:r>
        <w:rPr>
          <w:sz w:val="20"/>
          <w:szCs w:val="20"/>
        </w:rPr>
        <w:t xml:space="preserve"> https://www.gov.me/dokumenta/6852d215-af43-4671-b940-cbd0525896c1</w:t>
      </w:r>
    </w:p>
  </w:footnote>
  <w:footnote w:id="18">
    <w:p w14:paraId="2EF098EE" w14:textId="77777777" w:rsidR="005E4CCE" w:rsidRDefault="005E4CCE">
      <w:pPr>
        <w:spacing w:after="0" w:line="240" w:lineRule="auto"/>
        <w:rPr>
          <w:sz w:val="20"/>
          <w:szCs w:val="20"/>
        </w:rPr>
      </w:pPr>
      <w:r>
        <w:rPr>
          <w:vertAlign w:val="superscript"/>
        </w:rPr>
        <w:footnoteRef/>
      </w:r>
      <w:r>
        <w:rPr>
          <w:sz w:val="20"/>
          <w:szCs w:val="20"/>
        </w:rPr>
        <w:t xml:space="preserve"> https://www.gov.me/dokumenta/1a5fab12-ec7a-4f28-b1e9-83c9d0dadb79</w:t>
      </w:r>
    </w:p>
  </w:footnote>
  <w:footnote w:id="19">
    <w:p w14:paraId="5F27B4CE" w14:textId="77777777" w:rsidR="005E4CCE" w:rsidRDefault="005E4CCE">
      <w:pPr>
        <w:spacing w:after="0" w:line="240" w:lineRule="auto"/>
        <w:rPr>
          <w:sz w:val="20"/>
          <w:szCs w:val="20"/>
        </w:rPr>
      </w:pPr>
      <w:r>
        <w:rPr>
          <w:vertAlign w:val="superscript"/>
        </w:rPr>
        <w:footnoteRef/>
      </w:r>
      <w:r>
        <w:rPr>
          <w:sz w:val="20"/>
          <w:szCs w:val="20"/>
        </w:rPr>
        <w:t xml:space="preserve"> https://www.gov.me/dokumenta/2e3bf859-0506-4fe6-b21f-356f4f041b48</w:t>
      </w:r>
    </w:p>
  </w:footnote>
  <w:footnote w:id="20">
    <w:p w14:paraId="11503495" w14:textId="77777777" w:rsidR="005E4CCE" w:rsidRDefault="005E4CCE">
      <w:pPr>
        <w:spacing w:after="0" w:line="240" w:lineRule="auto"/>
        <w:rPr>
          <w:sz w:val="20"/>
          <w:szCs w:val="20"/>
        </w:rPr>
      </w:pPr>
      <w:r>
        <w:rPr>
          <w:vertAlign w:val="superscript"/>
        </w:rPr>
        <w:footnoteRef/>
      </w:r>
      <w:r>
        <w:rPr>
          <w:sz w:val="20"/>
          <w:szCs w:val="20"/>
        </w:rPr>
        <w:t xml:space="preserve"> https://www.gov.me/dokumenta/b6d2c966-ac8b-409a-bcf5-acdce90c36d9</w:t>
      </w:r>
    </w:p>
  </w:footnote>
  <w:footnote w:id="21">
    <w:p w14:paraId="4CFDE144" w14:textId="77777777" w:rsidR="005E4CCE" w:rsidRDefault="005E4CCE">
      <w:pPr>
        <w:spacing w:after="0" w:line="240" w:lineRule="auto"/>
        <w:rPr>
          <w:sz w:val="20"/>
          <w:szCs w:val="20"/>
        </w:rPr>
      </w:pPr>
      <w:r>
        <w:rPr>
          <w:vertAlign w:val="superscript"/>
        </w:rPr>
        <w:footnoteRef/>
      </w:r>
      <w:r>
        <w:rPr>
          <w:sz w:val="20"/>
          <w:szCs w:val="20"/>
        </w:rPr>
        <w:t xml:space="preserve"> https://www.gov.me/dokumenta/18205a91-1afc-4eb7-a5cb-8ad5bd0b7712</w:t>
      </w:r>
    </w:p>
  </w:footnote>
  <w:footnote w:id="22">
    <w:p w14:paraId="42B7BCD4" w14:textId="77777777" w:rsidR="005E4CCE" w:rsidRDefault="005E4CCE">
      <w:pPr>
        <w:spacing w:after="0" w:line="240" w:lineRule="auto"/>
        <w:rPr>
          <w:sz w:val="20"/>
          <w:szCs w:val="20"/>
        </w:rPr>
      </w:pPr>
      <w:r>
        <w:rPr>
          <w:vertAlign w:val="superscript"/>
        </w:rPr>
        <w:footnoteRef/>
      </w:r>
      <w:r>
        <w:rPr>
          <w:sz w:val="20"/>
          <w:szCs w:val="20"/>
        </w:rPr>
        <w:t xml:space="preserve"> https://www.gov.me/dokumenta/d3f71b72-fa31-4d94-80dd-18ce93096226</w:t>
      </w:r>
    </w:p>
  </w:footnote>
  <w:footnote w:id="23">
    <w:p w14:paraId="1DD3E3AA" w14:textId="77777777" w:rsidR="005E4CCE" w:rsidRDefault="005E4CCE">
      <w:pPr>
        <w:ind w:left="360"/>
        <w:jc w:val="both"/>
        <w:rPr>
          <w:sz w:val="18"/>
          <w:szCs w:val="18"/>
        </w:rPr>
      </w:pPr>
      <w:r>
        <w:rPr>
          <w:vertAlign w:val="superscript"/>
        </w:rPr>
        <w:footnoteRef/>
      </w:r>
      <w:r>
        <w:t xml:space="preserve"> </w:t>
      </w:r>
      <w:r>
        <w:rPr>
          <w:sz w:val="18"/>
          <w:szCs w:val="18"/>
        </w:rPr>
        <w:t>ICT zajednicu čine udruženja poslovnih asocijacija Privredne komore Crne Gore, Unije poslodavaca, Savjeta stranih investitora Crne Gore, Američke privredne komore u Crnoj Gori i Asocijacije menadžera Crne Gore, kompanija Telenor, Mtel i Crnogorski Telekom i udruženja Digitalizuj.me, Dev Club, ICT Cortex i Crnogorski IT cluster</w:t>
      </w:r>
    </w:p>
    <w:p w14:paraId="64D1B1A5" w14:textId="77777777" w:rsidR="005E4CCE" w:rsidRDefault="005E4CCE">
      <w:pPr>
        <w:pBdr>
          <w:top w:val="nil"/>
          <w:left w:val="nil"/>
          <w:bottom w:val="nil"/>
          <w:right w:val="nil"/>
          <w:between w:val="nil"/>
        </w:pBdr>
        <w:spacing w:line="240" w:lineRule="auto"/>
        <w:rPr>
          <w:sz w:val="20"/>
          <w:szCs w:val="20"/>
        </w:rPr>
      </w:pPr>
    </w:p>
  </w:footnote>
  <w:footnote w:id="24">
    <w:p w14:paraId="5B98EC51" w14:textId="77777777" w:rsidR="005E4CCE" w:rsidRDefault="005E4CCE">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w:t>
      </w:r>
      <w:hyperlink r:id="rId5">
        <w:r>
          <w:rPr>
            <w:color w:val="1155CC"/>
            <w:sz w:val="16"/>
            <w:szCs w:val="16"/>
            <w:u w:val="single"/>
          </w:rPr>
          <w:t>https://www.monstat.org/userfiles/file/ICT/2019/Upotreba%20IKT%20u%20domacinstvima%202019_Final.pdf</w:t>
        </w:r>
      </w:hyperlink>
      <w:r>
        <w:rPr>
          <w:sz w:val="16"/>
          <w:szCs w:val="16"/>
        </w:rPr>
        <w:t xml:space="preserve">  </w:t>
      </w:r>
    </w:p>
  </w:footnote>
  <w:footnote w:id="25">
    <w:p w14:paraId="14AED66A" w14:textId="77777777" w:rsidR="005E4CCE" w:rsidRDefault="005E4CCE">
      <w:pPr>
        <w:pBdr>
          <w:top w:val="nil"/>
          <w:left w:val="nil"/>
          <w:bottom w:val="nil"/>
          <w:right w:val="nil"/>
          <w:between w:val="nil"/>
        </w:pBdr>
        <w:spacing w:after="0" w:line="240" w:lineRule="auto"/>
        <w:rPr>
          <w:sz w:val="20"/>
          <w:szCs w:val="20"/>
        </w:rPr>
      </w:pPr>
      <w:r>
        <w:rPr>
          <w:vertAlign w:val="superscript"/>
        </w:rPr>
        <w:footnoteRef/>
      </w:r>
      <w:r>
        <w:rPr>
          <w:sz w:val="16"/>
          <w:szCs w:val="16"/>
        </w:rPr>
        <w:t xml:space="preserve"> </w:t>
      </w:r>
      <w:hyperlink r:id="rId6">
        <w:r>
          <w:rPr>
            <w:color w:val="1155CC"/>
            <w:sz w:val="16"/>
            <w:szCs w:val="16"/>
            <w:u w:val="single"/>
          </w:rPr>
          <w:t>https://www.gov.me/dokumenta/fa24a8c6-2241-4d6f-9297-328636b157e5</w:t>
        </w:r>
      </w:hyperlink>
      <w:r>
        <w:rPr>
          <w:sz w:val="16"/>
          <w:szCs w:val="16"/>
        </w:rPr>
        <w:t xml:space="preserve"> </w:t>
      </w:r>
    </w:p>
  </w:footnote>
  <w:footnote w:id="26">
    <w:p w14:paraId="12646512" w14:textId="77777777" w:rsidR="005E4CCE" w:rsidRDefault="005E4CCE">
      <w:pPr>
        <w:pBdr>
          <w:top w:val="nil"/>
          <w:left w:val="nil"/>
          <w:bottom w:val="nil"/>
          <w:right w:val="nil"/>
          <w:between w:val="nil"/>
        </w:pBdr>
        <w:spacing w:after="0" w:line="240" w:lineRule="auto"/>
        <w:rPr>
          <w:sz w:val="20"/>
          <w:szCs w:val="20"/>
        </w:rPr>
      </w:pPr>
      <w:r>
        <w:rPr>
          <w:vertAlign w:val="superscript"/>
        </w:rPr>
        <w:footnoteRef/>
      </w:r>
      <w:r>
        <w:rPr>
          <w:sz w:val="16"/>
          <w:szCs w:val="16"/>
        </w:rPr>
        <w:t xml:space="preserve"> </w:t>
      </w:r>
      <w:hyperlink r:id="rId7">
        <w:r>
          <w:rPr>
            <w:color w:val="1155CC"/>
            <w:sz w:val="16"/>
            <w:szCs w:val="16"/>
            <w:u w:val="single"/>
          </w:rPr>
          <w:t>https://www.euprava.me/ResourceManager/FileDownload.aspx?rId=85&amp;rType=2</w:t>
        </w:r>
      </w:hyperlink>
      <w:r>
        <w:rPr>
          <w:sz w:val="16"/>
          <w:szCs w:val="16"/>
        </w:rPr>
        <w:t xml:space="preserve">  </w:t>
      </w:r>
    </w:p>
  </w:footnote>
  <w:footnote w:id="27">
    <w:p w14:paraId="30861EBC" w14:textId="77777777" w:rsidR="005E4CCE" w:rsidRDefault="005E4CCE">
      <w:pPr>
        <w:pBdr>
          <w:top w:val="nil"/>
          <w:left w:val="nil"/>
          <w:bottom w:val="nil"/>
          <w:right w:val="nil"/>
          <w:between w:val="nil"/>
        </w:pBdr>
        <w:spacing w:after="0" w:line="240" w:lineRule="auto"/>
        <w:rPr>
          <w:sz w:val="16"/>
          <w:szCs w:val="16"/>
        </w:rPr>
      </w:pPr>
      <w:r>
        <w:rPr>
          <w:vertAlign w:val="superscript"/>
        </w:rPr>
        <w:footnoteRef/>
      </w:r>
      <w:r>
        <w:rPr>
          <w:sz w:val="16"/>
          <w:szCs w:val="16"/>
        </w:rPr>
        <w:t xml:space="preserve"> </w:t>
      </w:r>
      <w:hyperlink r:id="rId8">
        <w:r>
          <w:rPr>
            <w:color w:val="1155CC"/>
            <w:sz w:val="16"/>
            <w:szCs w:val="16"/>
            <w:u w:val="single"/>
          </w:rPr>
          <w:t>https://buducnostzasve.me/</w:t>
        </w:r>
      </w:hyperlink>
      <w:r>
        <w:rPr>
          <w:sz w:val="16"/>
          <w:szCs w:val="16"/>
        </w:rPr>
        <w:t xml:space="preserve"> </w:t>
      </w:r>
    </w:p>
  </w:footnote>
  <w:footnote w:id="28">
    <w:p w14:paraId="2455D8CE" w14:textId="77777777" w:rsidR="005E4CCE" w:rsidRDefault="005E4CCE">
      <w:pPr>
        <w:pBdr>
          <w:top w:val="nil"/>
          <w:left w:val="nil"/>
          <w:bottom w:val="nil"/>
          <w:right w:val="nil"/>
          <w:between w:val="nil"/>
        </w:pBdr>
        <w:spacing w:after="0" w:line="240" w:lineRule="auto"/>
        <w:rPr>
          <w:sz w:val="16"/>
          <w:szCs w:val="16"/>
        </w:rPr>
      </w:pPr>
      <w:r>
        <w:rPr>
          <w:vertAlign w:val="superscript"/>
        </w:rPr>
        <w:footnoteRef/>
      </w:r>
      <w:r>
        <w:rPr>
          <w:sz w:val="16"/>
          <w:szCs w:val="16"/>
        </w:rPr>
        <w:t xml:space="preserve"> </w:t>
      </w:r>
      <w:hyperlink r:id="rId9">
        <w:r>
          <w:rPr>
            <w:color w:val="0563C1"/>
            <w:sz w:val="16"/>
            <w:szCs w:val="16"/>
            <w:u w:val="single"/>
          </w:rPr>
          <w:t>https://files.cargocollective.com/c953148/NHDR-2020-CG.pdf</w:t>
        </w:r>
      </w:hyperlink>
    </w:p>
  </w:footnote>
  <w:footnote w:id="29">
    <w:p w14:paraId="0C6B2DC2" w14:textId="77777777" w:rsidR="005E4CCE" w:rsidRDefault="005E4CCE">
      <w:pPr>
        <w:pBdr>
          <w:top w:val="nil"/>
          <w:left w:val="nil"/>
          <w:bottom w:val="nil"/>
          <w:right w:val="nil"/>
          <w:between w:val="nil"/>
        </w:pBdr>
        <w:spacing w:after="0" w:line="240" w:lineRule="auto"/>
        <w:rPr>
          <w:sz w:val="16"/>
          <w:szCs w:val="16"/>
        </w:rPr>
      </w:pPr>
      <w:r>
        <w:rPr>
          <w:vertAlign w:val="superscript"/>
        </w:rPr>
        <w:footnoteRef/>
      </w:r>
      <w:r>
        <w:rPr>
          <w:sz w:val="16"/>
          <w:szCs w:val="16"/>
        </w:rPr>
        <w:t xml:space="preserve"> </w:t>
      </w:r>
      <w:hyperlink r:id="rId10">
        <w:r>
          <w:rPr>
            <w:color w:val="0563C1"/>
            <w:sz w:val="16"/>
            <w:szCs w:val="16"/>
            <w:u w:val="single"/>
          </w:rPr>
          <w:t>https://joinup.ec.europa.eu/sites/default/files/inline-files/OSS%20Country%20Intelligence%20Report_MO.pdf</w:t>
        </w:r>
      </w:hyperlink>
    </w:p>
  </w:footnote>
  <w:footnote w:id="30">
    <w:p w14:paraId="06C71391" w14:textId="77777777" w:rsidR="005E4CCE" w:rsidRDefault="005E4CCE">
      <w:pPr>
        <w:pBdr>
          <w:top w:val="nil"/>
          <w:left w:val="nil"/>
          <w:bottom w:val="nil"/>
          <w:right w:val="nil"/>
          <w:between w:val="nil"/>
        </w:pBdr>
        <w:spacing w:after="0" w:line="240" w:lineRule="auto"/>
        <w:rPr>
          <w:sz w:val="16"/>
          <w:szCs w:val="16"/>
        </w:rPr>
      </w:pPr>
      <w:r>
        <w:rPr>
          <w:vertAlign w:val="superscript"/>
        </w:rPr>
        <w:footnoteRef/>
      </w:r>
      <w:r>
        <w:rPr>
          <w:sz w:val="16"/>
          <w:szCs w:val="16"/>
        </w:rPr>
        <w:t xml:space="preserve"> </w:t>
      </w:r>
      <w:hyperlink r:id="rId11">
        <w:r>
          <w:rPr>
            <w:color w:val="0563C1"/>
            <w:sz w:val="16"/>
            <w:szCs w:val="16"/>
            <w:u w:val="single"/>
          </w:rPr>
          <w:t>https://www.itu.int/dms_pub/itu-d/opb/phcb/D-PHCB-CAP_BLD.03-2019-PDF-E.pdf</w:t>
        </w:r>
      </w:hyperlink>
    </w:p>
  </w:footnote>
  <w:footnote w:id="31">
    <w:p w14:paraId="1E465BF9" w14:textId="77777777" w:rsidR="005E4CCE" w:rsidRDefault="005E4CCE">
      <w:pPr>
        <w:spacing w:after="0" w:line="240" w:lineRule="auto"/>
        <w:rPr>
          <w:sz w:val="20"/>
          <w:szCs w:val="20"/>
        </w:rPr>
      </w:pPr>
      <w:r>
        <w:rPr>
          <w:vertAlign w:val="superscript"/>
        </w:rPr>
        <w:footnoteRef/>
      </w:r>
      <w:r>
        <w:rPr>
          <w:sz w:val="20"/>
          <w:szCs w:val="20"/>
        </w:rPr>
        <w:t xml:space="preserve"> </w:t>
      </w:r>
      <w:hyperlink r:id="rId12">
        <w:r>
          <w:rPr>
            <w:color w:val="0563C1"/>
            <w:sz w:val="16"/>
            <w:szCs w:val="16"/>
            <w:u w:val="single"/>
          </w:rPr>
          <w:t>https://www.gov.me/dokumenta/649059ca-2519-43ff-9df7-6ec32b44148b</w:t>
        </w:r>
      </w:hyperlink>
      <w:r>
        <w:rPr>
          <w:color w:val="0563C1"/>
          <w:sz w:val="16"/>
          <w:szCs w:val="16"/>
          <w:u w:val="single"/>
        </w:rPr>
        <w:t xml:space="preserve"> </w:t>
      </w:r>
    </w:p>
  </w:footnote>
  <w:footnote w:id="32">
    <w:p w14:paraId="0C431F13" w14:textId="77777777" w:rsidR="005E4CCE" w:rsidRDefault="005E4CCE">
      <w:pPr>
        <w:spacing w:after="0" w:line="240" w:lineRule="auto"/>
        <w:rPr>
          <w:sz w:val="16"/>
          <w:szCs w:val="16"/>
        </w:rPr>
      </w:pPr>
      <w:r>
        <w:rPr>
          <w:vertAlign w:val="superscript"/>
        </w:rPr>
        <w:footnoteRef/>
      </w:r>
      <w:r>
        <w:rPr>
          <w:sz w:val="16"/>
          <w:szCs w:val="16"/>
        </w:rPr>
        <w:t xml:space="preserve"> Vlada Crne Gore (2021.); </w:t>
      </w:r>
      <w:hyperlink r:id="rId13">
        <w:r>
          <w:rPr>
            <w:sz w:val="16"/>
            <w:szCs w:val="16"/>
          </w:rPr>
          <w:t>Plana rada Vlade Crne Gore za 2021</w:t>
        </w:r>
      </w:hyperlink>
      <w:r>
        <w:rPr>
          <w:sz w:val="16"/>
          <w:szCs w:val="16"/>
        </w:rPr>
        <w:t>.</w:t>
      </w:r>
    </w:p>
  </w:footnote>
  <w:footnote w:id="33">
    <w:p w14:paraId="060BD78D" w14:textId="77777777" w:rsidR="005E4CCE" w:rsidRDefault="005E4CCE">
      <w:pPr>
        <w:spacing w:after="0" w:line="240" w:lineRule="auto"/>
        <w:rPr>
          <w:sz w:val="20"/>
          <w:szCs w:val="20"/>
        </w:rPr>
      </w:pPr>
      <w:r>
        <w:rPr>
          <w:vertAlign w:val="superscript"/>
        </w:rPr>
        <w:footnoteRef/>
      </w:r>
      <w:r>
        <w:rPr>
          <w:sz w:val="16"/>
          <w:szCs w:val="16"/>
        </w:rPr>
        <w:t xml:space="preserve"> </w:t>
      </w:r>
      <w:hyperlink r:id="rId14">
        <w:r>
          <w:rPr>
            <w:sz w:val="16"/>
            <w:szCs w:val="16"/>
          </w:rPr>
          <w:t>Zakon o elektronskoj upravi "Službeni list Crne Gore, br. 72/19"</w:t>
        </w:r>
      </w:hyperlink>
      <w:r>
        <w:rPr>
          <w:sz w:val="16"/>
          <w:szCs w:val="16"/>
        </w:rPr>
        <w:t xml:space="preserve"> (2019.)</w:t>
      </w:r>
    </w:p>
  </w:footnote>
  <w:footnote w:id="34">
    <w:p w14:paraId="0F58DFD1" w14:textId="77777777" w:rsidR="005E4CCE" w:rsidRDefault="005E4CCE">
      <w:pPr>
        <w:pBdr>
          <w:top w:val="nil"/>
          <w:left w:val="nil"/>
          <w:bottom w:val="nil"/>
          <w:right w:val="nil"/>
          <w:between w:val="nil"/>
        </w:pBdr>
        <w:spacing w:line="240" w:lineRule="auto"/>
        <w:rPr>
          <w:sz w:val="20"/>
          <w:szCs w:val="20"/>
        </w:rPr>
      </w:pPr>
      <w:r>
        <w:rPr>
          <w:vertAlign w:val="superscript"/>
        </w:rPr>
        <w:footnoteRef/>
      </w:r>
      <w:r>
        <w:rPr>
          <w:sz w:val="20"/>
          <w:szCs w:val="20"/>
        </w:rPr>
        <w:t xml:space="preserve"> </w:t>
      </w:r>
      <w:r>
        <w:rPr>
          <w:sz w:val="18"/>
          <w:szCs w:val="18"/>
        </w:rPr>
        <w:t>Procjena digitalne zrelosti Crne Gore; E-gov Academy; Estonija; Projekat finansiran od strane EBRD-a, “Crna Gora: BRZI SAVJETODAVNI ODGOVOR 2.0 – Procjena digitalne zrelosti”</w:t>
      </w:r>
    </w:p>
  </w:footnote>
  <w:footnote w:id="35">
    <w:p w14:paraId="5F8F131D"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https://www.europarl.europa.eu/factsheets/en/sheet/64/digital-agenda-for-europe</w:t>
      </w:r>
    </w:p>
  </w:footnote>
  <w:footnote w:id="36">
    <w:p w14:paraId="0EDD3699"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https://www.europarl.europa.eu/doceo/document/A-8-2017-0184_HR.html</w:t>
      </w:r>
    </w:p>
  </w:footnote>
  <w:footnote w:id="37">
    <w:p w14:paraId="5784571C" w14:textId="77777777" w:rsidR="005E4CCE" w:rsidRDefault="005E4CCE">
      <w:pPr>
        <w:spacing w:after="0" w:line="240" w:lineRule="auto"/>
        <w:rPr>
          <w:sz w:val="20"/>
          <w:szCs w:val="20"/>
        </w:rPr>
      </w:pPr>
      <w:r>
        <w:rPr>
          <w:vertAlign w:val="superscript"/>
        </w:rPr>
        <w:footnoteRef/>
      </w:r>
      <w:r>
        <w:rPr>
          <w:sz w:val="20"/>
          <w:szCs w:val="20"/>
        </w:rPr>
        <w:t xml:space="preserve"> </w:t>
      </w:r>
      <w:r>
        <w:rPr>
          <w:sz w:val="18"/>
          <w:szCs w:val="18"/>
        </w:rPr>
        <w:t>https://www.me.undp.org/content/dam/montenegro/docs/publications/ISTRAZIVANJE%20Stavovi%20i%20percepcije%20zaposlenih%20u%20javnoj%20upravi%20o%20rodnoj%20ravnopravnosti.pdf</w:t>
      </w:r>
    </w:p>
  </w:footnote>
  <w:footnote w:id="38">
    <w:p w14:paraId="0B0EAA9C" w14:textId="77777777" w:rsidR="005E4CCE" w:rsidRDefault="005E4CCE">
      <w:pPr>
        <w:spacing w:line="240" w:lineRule="auto"/>
      </w:pPr>
      <w:r>
        <w:rPr>
          <w:vertAlign w:val="superscript"/>
        </w:rPr>
        <w:footnoteRef/>
      </w:r>
      <w:r>
        <w:rPr>
          <w:sz w:val="20"/>
          <w:szCs w:val="20"/>
        </w:rPr>
        <w:t xml:space="preserve"> </w:t>
      </w:r>
      <w:hyperlink r:id="rId15">
        <w:r>
          <w:rPr>
            <w:sz w:val="18"/>
            <w:szCs w:val="18"/>
          </w:rPr>
          <w:t>https://publicadministration.un.org/egovkb/en-us/Data/Country-Information/id/114-Montenegro</w:t>
        </w:r>
      </w:hyperlink>
    </w:p>
  </w:footnote>
  <w:footnote w:id="39">
    <w:p w14:paraId="4CB3E98E" w14:textId="77777777" w:rsidR="005E4CCE" w:rsidRDefault="005E4CCE">
      <w:pPr>
        <w:spacing w:line="240" w:lineRule="auto"/>
        <w:rPr>
          <w:sz w:val="18"/>
          <w:szCs w:val="18"/>
        </w:rPr>
      </w:pPr>
      <w:r>
        <w:rPr>
          <w:vertAlign w:val="superscript"/>
        </w:rPr>
        <w:footnoteRef/>
      </w:r>
      <w:r>
        <w:rPr>
          <w:sz w:val="18"/>
          <w:szCs w:val="18"/>
        </w:rPr>
        <w:t xml:space="preserve"> Indeks razvoja e-Uprave (eng. e-Government Development Index (EDGI)) je kompozitni indikator koji se sastoji od tri indeksa: Indeks elektronskih usluga (eng.Online Service Index - OSI), Telekomunikacioni indeks (eng. Telecommunication Index - TI) i Indeks ljudskog kapitala (eng. Human Capital Index - HCI).</w:t>
      </w:r>
    </w:p>
  </w:footnote>
  <w:footnote w:id="40">
    <w:p w14:paraId="2D13BFFC" w14:textId="77777777" w:rsidR="005E4CCE" w:rsidRDefault="005E4CCE">
      <w:pPr>
        <w:spacing w:line="240" w:lineRule="auto"/>
        <w:rPr>
          <w:sz w:val="20"/>
          <w:szCs w:val="20"/>
        </w:rPr>
      </w:pPr>
      <w:r>
        <w:rPr>
          <w:vertAlign w:val="superscript"/>
        </w:rPr>
        <w:footnoteRef/>
      </w:r>
      <w:r>
        <w:rPr>
          <w:sz w:val="18"/>
          <w:szCs w:val="18"/>
        </w:rPr>
        <w:t xml:space="preserve"> Procjena digitalne zrelosti Crne Gore; 2021;  E-gov Academy</w:t>
      </w:r>
    </w:p>
  </w:footnote>
  <w:footnote w:id="41">
    <w:p w14:paraId="69B8E064" w14:textId="77777777" w:rsidR="005E4CCE" w:rsidRDefault="005E4CCE">
      <w:pPr>
        <w:spacing w:line="240" w:lineRule="auto"/>
        <w:jc w:val="both"/>
        <w:rPr>
          <w:sz w:val="20"/>
          <w:szCs w:val="20"/>
        </w:rPr>
      </w:pPr>
      <w:r>
        <w:rPr>
          <w:vertAlign w:val="superscript"/>
        </w:rPr>
        <w:footnoteRef/>
      </w:r>
      <w:r>
        <w:rPr>
          <w:sz w:val="20"/>
          <w:szCs w:val="20"/>
        </w:rPr>
        <w:t xml:space="preserve"> </w:t>
      </w:r>
      <w:r>
        <w:rPr>
          <w:sz w:val="18"/>
          <w:szCs w:val="18"/>
        </w:rPr>
        <w:t xml:space="preserve">https://publicadministration.un.org/egovkb/en-us/Data/Country-Information/id/114-Montenegro  </w:t>
      </w:r>
    </w:p>
  </w:footnote>
  <w:footnote w:id="42">
    <w:p w14:paraId="74853EDB" w14:textId="77777777" w:rsidR="005E4CCE" w:rsidRDefault="005E4CCE">
      <w:pPr>
        <w:spacing w:line="240" w:lineRule="auto"/>
        <w:jc w:val="both"/>
        <w:rPr>
          <w:sz w:val="20"/>
          <w:szCs w:val="20"/>
        </w:rPr>
      </w:pPr>
      <w:r>
        <w:rPr>
          <w:vertAlign w:val="superscript"/>
        </w:rPr>
        <w:footnoteRef/>
      </w:r>
      <w:r>
        <w:rPr>
          <w:sz w:val="20"/>
          <w:szCs w:val="20"/>
        </w:rPr>
        <w:t xml:space="preserve"> </w:t>
      </w:r>
      <w:r>
        <w:rPr>
          <w:sz w:val="18"/>
          <w:szCs w:val="18"/>
        </w:rPr>
        <w:t>OECD (2021), Competitiveness in South East Europe 2021: A Policy Outlook, Competitiveness and Private Sector Development, OECD Publishing, Paris, https://doi.org/10.1787/dcbc2ea9-en.</w:t>
      </w:r>
    </w:p>
  </w:footnote>
  <w:footnote w:id="43">
    <w:p w14:paraId="36C9524B" w14:textId="77777777" w:rsidR="005E4CCE" w:rsidRDefault="005E4CCE">
      <w:pPr>
        <w:pBdr>
          <w:top w:val="nil"/>
          <w:left w:val="nil"/>
          <w:bottom w:val="nil"/>
          <w:right w:val="nil"/>
          <w:between w:val="nil"/>
        </w:pBdr>
        <w:spacing w:line="240" w:lineRule="auto"/>
        <w:rPr>
          <w:sz w:val="18"/>
          <w:szCs w:val="18"/>
        </w:rPr>
      </w:pPr>
      <w:r>
        <w:rPr>
          <w:vertAlign w:val="superscript"/>
        </w:rPr>
        <w:footnoteRef/>
      </w:r>
      <w:r>
        <w:rPr>
          <w:sz w:val="20"/>
          <w:szCs w:val="20"/>
        </w:rPr>
        <w:t xml:space="preserve"> </w:t>
      </w:r>
      <w:r>
        <w:rPr>
          <w:sz w:val="18"/>
          <w:szCs w:val="18"/>
        </w:rPr>
        <w:t xml:space="preserve">UNDP (2020); </w:t>
      </w:r>
      <w:hyperlink r:id="rId16">
        <w:r>
          <w:rPr>
            <w:sz w:val="18"/>
            <w:szCs w:val="18"/>
          </w:rPr>
          <w:t>Nadomak digitalne budućnosti za sve: Nacionalni izvještaj o razvoju po mjeri čovjeka 2020</w:t>
        </w:r>
      </w:hyperlink>
      <w:r>
        <w:rPr>
          <w:sz w:val="18"/>
          <w:szCs w:val="18"/>
        </w:rPr>
        <w:t>, strana 91</w:t>
      </w:r>
    </w:p>
  </w:footnote>
  <w:footnote w:id="44">
    <w:p w14:paraId="6466CF1A"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https://institut-alternativa.org/</w:t>
      </w:r>
    </w:p>
  </w:footnote>
  <w:footnote w:id="45">
    <w:p w14:paraId="5723F9B3"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www.euprava.me</w:t>
      </w:r>
    </w:p>
  </w:footnote>
  <w:footnote w:id="46">
    <w:p w14:paraId="1A2F3F64" w14:textId="77777777" w:rsidR="005E4CCE" w:rsidRDefault="005E4CCE">
      <w:pPr>
        <w:spacing w:after="0" w:line="240" w:lineRule="auto"/>
        <w:rPr>
          <w:sz w:val="16"/>
          <w:szCs w:val="16"/>
        </w:rPr>
      </w:pPr>
      <w:r>
        <w:rPr>
          <w:vertAlign w:val="superscript"/>
        </w:rPr>
        <w:footnoteRef/>
      </w:r>
      <w:r>
        <w:rPr>
          <w:sz w:val="20"/>
          <w:szCs w:val="20"/>
        </w:rPr>
        <w:t xml:space="preserve"> </w:t>
      </w:r>
      <w:r>
        <w:rPr>
          <w:sz w:val="18"/>
          <w:szCs w:val="18"/>
        </w:rPr>
        <w:t>E-services and digital infrastructure as COVID-19 response measure; Projekat finansira EU, a realizuje UNDP u saradnji sa Ministarstvom javne uprave, digitalnog društva i medija; Projektne aktivnosti su počele u januaru 2021. godine i trajaće do januara 2023. godine.</w:t>
      </w:r>
    </w:p>
  </w:footnote>
  <w:footnote w:id="47">
    <w:p w14:paraId="219FA05E" w14:textId="77777777" w:rsidR="005E4CCE" w:rsidRDefault="005E4CCE">
      <w:pPr>
        <w:pBdr>
          <w:top w:val="nil"/>
          <w:left w:val="nil"/>
          <w:bottom w:val="nil"/>
          <w:right w:val="nil"/>
          <w:between w:val="nil"/>
        </w:pBdr>
        <w:spacing w:line="240" w:lineRule="auto"/>
        <w:rPr>
          <w:sz w:val="18"/>
          <w:szCs w:val="18"/>
        </w:rPr>
      </w:pPr>
      <w:r>
        <w:rPr>
          <w:vertAlign w:val="superscript"/>
        </w:rPr>
        <w:footnoteRef/>
      </w:r>
      <w:r>
        <w:rPr>
          <w:sz w:val="18"/>
          <w:szCs w:val="18"/>
        </w:rPr>
        <w:t xml:space="preserve">https://www.me.undp.org/content/dam/montenegro/docs/publications/NHDR/NHDR2018/E-services%20survey_MNE.pdf </w:t>
      </w:r>
    </w:p>
  </w:footnote>
  <w:footnote w:id="48">
    <w:p w14:paraId="03D8031B" w14:textId="77777777" w:rsidR="005E4CCE" w:rsidRDefault="005E4CCE">
      <w:pPr>
        <w:pBdr>
          <w:top w:val="nil"/>
          <w:left w:val="nil"/>
          <w:bottom w:val="nil"/>
          <w:right w:val="nil"/>
          <w:between w:val="nil"/>
        </w:pBdr>
        <w:spacing w:line="240" w:lineRule="auto"/>
        <w:rPr>
          <w:sz w:val="18"/>
          <w:szCs w:val="18"/>
        </w:rPr>
      </w:pPr>
      <w:r>
        <w:rPr>
          <w:vertAlign w:val="superscript"/>
        </w:rPr>
        <w:footnoteRef/>
      </w:r>
      <w:r>
        <w:rPr>
          <w:sz w:val="18"/>
          <w:szCs w:val="18"/>
        </w:rPr>
        <w:t xml:space="preserve">https://nvo35mm.me/publications/download/36 </w:t>
      </w:r>
    </w:p>
  </w:footnote>
  <w:footnote w:id="49">
    <w:p w14:paraId="10FBC4D4"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https://metamorphosis.org.mk/wp-content/themes/metamorphosis/download.php?id=27831</w:t>
      </w:r>
    </w:p>
  </w:footnote>
  <w:footnote w:id="50">
    <w:p w14:paraId="25BABE54"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https://nvo35mm.me/publications/download/36</w:t>
      </w:r>
    </w:p>
  </w:footnote>
  <w:footnote w:id="51">
    <w:p w14:paraId="082450AB"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www.undp.org/content/dam/montenegro/docs/publications/NHDR/NHDR2018/UNDP_Report_ICT_3.10.pdf</w:t>
      </w:r>
    </w:p>
  </w:footnote>
  <w:footnote w:id="52">
    <w:p w14:paraId="743773C7" w14:textId="77777777" w:rsidR="005E4CCE" w:rsidRDefault="005E4CCE">
      <w:pPr>
        <w:pBdr>
          <w:top w:val="nil"/>
          <w:left w:val="nil"/>
          <w:bottom w:val="nil"/>
          <w:right w:val="nil"/>
          <w:between w:val="nil"/>
        </w:pBdr>
        <w:spacing w:line="240" w:lineRule="auto"/>
        <w:rPr>
          <w:sz w:val="18"/>
          <w:szCs w:val="18"/>
        </w:rPr>
      </w:pPr>
      <w:r>
        <w:rPr>
          <w:vertAlign w:val="superscript"/>
        </w:rPr>
        <w:footnoteRef/>
      </w:r>
      <w:r>
        <w:rPr>
          <w:sz w:val="20"/>
          <w:szCs w:val="20"/>
        </w:rPr>
        <w:t xml:space="preserve"> </w:t>
      </w:r>
      <w:r>
        <w:rPr>
          <w:sz w:val="18"/>
          <w:szCs w:val="18"/>
        </w:rPr>
        <w:t>www.mfic.me/activities/white-book</w:t>
      </w:r>
    </w:p>
  </w:footnote>
  <w:footnote w:id="53">
    <w:p w14:paraId="0E619A53"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Pr>
          <w:color w:val="000000"/>
          <w:sz w:val="18"/>
          <w:szCs w:val="18"/>
        </w:rPr>
        <w:t>https://www.britishcouncil.me/en/programmes/education/21st-century-schools</w:t>
      </w:r>
    </w:p>
  </w:footnote>
  <w:footnote w:id="54">
    <w:p w14:paraId="516A0D89"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20"/>
          <w:szCs w:val="20"/>
        </w:rPr>
        <w:t xml:space="preserve"> </w:t>
      </w:r>
      <w:r>
        <w:rPr>
          <w:color w:val="000000"/>
          <w:sz w:val="18"/>
          <w:szCs w:val="18"/>
        </w:rPr>
        <w:t>https://microbit.britishcouncil.org/bs-sr</w:t>
      </w:r>
    </w:p>
  </w:footnote>
  <w:footnote w:id="55">
    <w:p w14:paraId="6C962120"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https://ec.europa.eu/education/schools-go-digital/about-selfie_hr</w:t>
      </w:r>
    </w:p>
  </w:footnote>
  <w:footnote w:id="56">
    <w:p w14:paraId="5681B917" w14:textId="77777777" w:rsidR="005E4CCE" w:rsidRDefault="005E4CCE">
      <w:pPr>
        <w:spacing w:after="0" w:line="240" w:lineRule="auto"/>
        <w:rPr>
          <w:sz w:val="20"/>
          <w:szCs w:val="20"/>
        </w:rPr>
      </w:pPr>
      <w:r>
        <w:rPr>
          <w:vertAlign w:val="superscript"/>
        </w:rPr>
        <w:footnoteRef/>
      </w:r>
      <w:r>
        <w:rPr>
          <w:sz w:val="18"/>
          <w:szCs w:val="18"/>
        </w:rPr>
        <w:t xml:space="preserve"> Ministarstvo ekologije, prostornog planiranja i urbanizma, Ministarstvo ekonomskog razvoja, Ministarstvo finansija i socijalnog staranja, Ministarstvo javne uprave, digitalnog društva i medija, Ministarstvo kapitalnih investicija, Ministarstvo odbrane, Ministarstvo poljoprivrede, šumarstva i vodoprivrede, Ministarstvo pravde, ljudskih i manjinskih prava, Ministarstvo prosvjete, nauke, kulture i sporta, Ministarstvo unutrašnjih poslova, Ministarstvo vanjskih poslova, Ministarstvo zdravlja, Uprava policije, Uprava za sport i mlade, Uprava za kadrove, Zaštitnik imovinsko pravnih interesa</w:t>
      </w:r>
    </w:p>
  </w:footnote>
  <w:footnote w:id="57">
    <w:p w14:paraId="49A699EC"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https://ispi.mju.gov.me/</w:t>
      </w:r>
    </w:p>
  </w:footnote>
  <w:footnote w:id="58">
    <w:p w14:paraId="176BC229" w14:textId="77777777" w:rsidR="005E4CCE" w:rsidRDefault="005E4CCE">
      <w:pPr>
        <w:pBdr>
          <w:top w:val="nil"/>
          <w:left w:val="nil"/>
          <w:bottom w:val="nil"/>
          <w:right w:val="nil"/>
          <w:between w:val="nil"/>
        </w:pBdr>
        <w:spacing w:line="240" w:lineRule="auto"/>
        <w:rPr>
          <w:sz w:val="20"/>
          <w:szCs w:val="20"/>
        </w:rPr>
      </w:pPr>
      <w:r>
        <w:rPr>
          <w:vertAlign w:val="superscript"/>
        </w:rPr>
        <w:footnoteRef/>
      </w:r>
      <w:r>
        <w:rPr>
          <w:sz w:val="18"/>
          <w:szCs w:val="18"/>
        </w:rPr>
        <w:t xml:space="preserve"> https://buducnostzasve.me/ </w:t>
      </w:r>
    </w:p>
  </w:footnote>
  <w:footnote w:id="59">
    <w:p w14:paraId="1C04670E" w14:textId="77777777" w:rsidR="005E4CCE" w:rsidRDefault="005E4CCE">
      <w:pPr>
        <w:shd w:val="clear" w:color="auto" w:fill="FFFFFF"/>
        <w:jc w:val="both"/>
        <w:rPr>
          <w:sz w:val="18"/>
          <w:szCs w:val="18"/>
        </w:rPr>
      </w:pPr>
      <w:r>
        <w:rPr>
          <w:vertAlign w:val="superscript"/>
        </w:rPr>
        <w:footnoteRef/>
      </w:r>
      <w:r>
        <w:t xml:space="preserve"> </w:t>
      </w:r>
      <w:r>
        <w:rPr>
          <w:sz w:val="18"/>
          <w:szCs w:val="18"/>
        </w:rPr>
        <w:t xml:space="preserve">Prema najnovijim podacima dobijenim od MUP CG zaključno sa 1.12.2021. godine, novu ličnu kartu izdatu nakon 30.3.2020. godine posjeduje 169 137 građana/ki. </w:t>
      </w:r>
    </w:p>
  </w:footnote>
  <w:footnote w:id="60">
    <w:p w14:paraId="6FF2347D" w14:textId="77777777" w:rsidR="005E4CCE" w:rsidRDefault="005E4CCE">
      <w:pPr>
        <w:spacing w:line="240" w:lineRule="auto"/>
        <w:rPr>
          <w:sz w:val="18"/>
          <w:szCs w:val="18"/>
        </w:rPr>
      </w:pPr>
      <w:r>
        <w:rPr>
          <w:vertAlign w:val="superscript"/>
        </w:rPr>
        <w:footnoteRef/>
      </w:r>
      <w:r>
        <w:rPr>
          <w:sz w:val="20"/>
          <w:szCs w:val="20"/>
        </w:rPr>
        <w:t xml:space="preserve"> </w:t>
      </w:r>
      <w:r>
        <w:rPr>
          <w:sz w:val="18"/>
          <w:szCs w:val="18"/>
        </w:rPr>
        <w:t>Završni izvještaj o realizaciji Strategije razvoja informacionog društva Crne Gore 2016-2020.</w:t>
      </w:r>
    </w:p>
    <w:p w14:paraId="39D4864A" w14:textId="77777777" w:rsidR="005E4CCE" w:rsidRDefault="005E4CCE">
      <w:pPr>
        <w:spacing w:line="240" w:lineRule="auto"/>
        <w:rPr>
          <w:sz w:val="20"/>
          <w:szCs w:val="20"/>
        </w:rPr>
      </w:pPr>
    </w:p>
  </w:footnote>
  <w:footnote w:id="61">
    <w:p w14:paraId="2930877F" w14:textId="77777777" w:rsidR="005E4CCE" w:rsidRDefault="005E4CCE">
      <w:pPr>
        <w:pBdr>
          <w:top w:val="nil"/>
          <w:left w:val="nil"/>
          <w:bottom w:val="nil"/>
          <w:right w:val="nil"/>
          <w:between w:val="nil"/>
        </w:pBdr>
        <w:spacing w:line="240" w:lineRule="auto"/>
        <w:rPr>
          <w:sz w:val="20"/>
          <w:szCs w:val="20"/>
        </w:rPr>
      </w:pPr>
      <w:r>
        <w:rPr>
          <w:vertAlign w:val="superscript"/>
        </w:rPr>
        <w:footnoteRef/>
      </w:r>
      <w:r>
        <w:rPr>
          <w:sz w:val="20"/>
          <w:szCs w:val="20"/>
        </w:rPr>
        <w:t xml:space="preserve"> </w:t>
      </w:r>
      <w:r>
        <w:rPr>
          <w:sz w:val="18"/>
          <w:szCs w:val="18"/>
        </w:rPr>
        <w:t>https://digital-strategy.ec.europa.eu/en/policies/desi-human-capital</w:t>
      </w:r>
    </w:p>
  </w:footnote>
  <w:footnote w:id="62">
    <w:p w14:paraId="45CAD8F8"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www.undp.org/content/dam/montenegro/docs/publications/NHDR/NHDR2018/UNDP_Report_ICT_3.10.pdf</w:t>
      </w:r>
    </w:p>
  </w:footnote>
  <w:footnote w:id="63">
    <w:p w14:paraId="11F28706"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https://www.etf.europa.eu/en/publications-and-resources/publications/skills-mismatch-measurement-montenegro</w:t>
      </w:r>
    </w:p>
  </w:footnote>
  <w:footnote w:id="64">
    <w:p w14:paraId="2032BE5C"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https://www.etf.europa.eu/en/publications-and-resources/publications/continuing-professional-development-vocational-teachers-9</w:t>
      </w:r>
    </w:p>
  </w:footnote>
  <w:footnote w:id="65">
    <w:p w14:paraId="55BD8658"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https://www.etf.europa.eu/en/publications-and-resources/publications/continuing-professional-development-vocational-teachers-9</w:t>
      </w:r>
    </w:p>
  </w:footnote>
  <w:footnote w:id="66">
    <w:p w14:paraId="62D7BD47"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8"/>
          <w:szCs w:val="18"/>
        </w:rPr>
        <w:t>https://www.etf.europa.eu/en/publications-and-resources/publications/digital-skills-and-online-learning-montenegro</w:t>
      </w:r>
    </w:p>
  </w:footnote>
  <w:footnote w:id="67">
    <w:p w14:paraId="0985286F" w14:textId="77777777" w:rsidR="005E4CCE" w:rsidRDefault="005E4CCE">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https://www.itu.int/dms_pub/itu-d/opb/inno/D-INNO-PROFILE.MONTENEGRO-2020-PDF-E.pdf</w:t>
      </w:r>
    </w:p>
  </w:footnote>
  <w:footnote w:id="68">
    <w:p w14:paraId="546CE36B"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www.itu.int</w:t>
      </w:r>
    </w:p>
  </w:footnote>
  <w:footnote w:id="69">
    <w:p w14:paraId="705D6971"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https://www.itu.int/dms_pub/itu-d/opb/inno/D-INNO-PROFILE.MONTENEGRO-2020-PDF-E.pdf</w:t>
      </w:r>
    </w:p>
  </w:footnote>
  <w:footnote w:id="70">
    <w:p w14:paraId="4AA311A1"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https://www.itu.int/dms_pub/itu-d/opb/inno/D-INNO-PROFILE.MONTENEGRO-2020-PDF-E.pdf</w:t>
      </w:r>
    </w:p>
  </w:footnote>
  <w:footnote w:id="71">
    <w:p w14:paraId="6CE837CF" w14:textId="77777777" w:rsidR="005E4CCE" w:rsidRDefault="005E4CCE">
      <w:pPr>
        <w:spacing w:line="240" w:lineRule="auto"/>
        <w:rPr>
          <w:sz w:val="20"/>
          <w:szCs w:val="20"/>
        </w:rPr>
      </w:pPr>
      <w:r>
        <w:rPr>
          <w:vertAlign w:val="superscript"/>
        </w:rPr>
        <w:footnoteRef/>
      </w:r>
      <w:r>
        <w:rPr>
          <w:sz w:val="20"/>
          <w:szCs w:val="20"/>
        </w:rPr>
        <w:t xml:space="preserve"> </w:t>
      </w:r>
      <w:r>
        <w:rPr>
          <w:sz w:val="18"/>
          <w:szCs w:val="18"/>
        </w:rPr>
        <w:t>OECD (2021), Competitiveness in South East Europe 2021: A Policy Outlook, Competitiveness and Private Sector Development, OECD Publishing, Paris, https://doi.org/10.1787/dcbc2ea9-en</w:t>
      </w:r>
      <w:r>
        <w:rPr>
          <w:sz w:val="20"/>
          <w:szCs w:val="20"/>
        </w:rPr>
        <w:t>.</w:t>
      </w:r>
    </w:p>
  </w:footnote>
  <w:footnote w:id="72">
    <w:p w14:paraId="23B1F6BD" w14:textId="77777777" w:rsidR="005E4CCE" w:rsidRDefault="005E4CCE">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b/>
          <w:i/>
          <w:color w:val="000000"/>
          <w:sz w:val="18"/>
          <w:szCs w:val="18"/>
        </w:rPr>
        <w:t>Strategija sajber bezbjednosti 2022-2026</w:t>
      </w:r>
      <w:r>
        <w:rPr>
          <w:color w:val="000000"/>
          <w:sz w:val="18"/>
          <w:szCs w:val="18"/>
        </w:rPr>
        <w:t xml:space="preserve"> prepoznala je strateški cilj: Uspostavljen sistem zaštite kritične informatičke infrastrukture. Gdje se kroz dva operativni cilja definišu: Izmjena i dopuna zakonskih rješenja u oblasti zaštite kritične informatičke infrastrukture i  Donošenje liste kritične informati</w:t>
      </w:r>
      <w:r>
        <w:rPr>
          <w:sz w:val="18"/>
          <w:szCs w:val="18"/>
        </w:rPr>
        <w:t>č</w:t>
      </w:r>
      <w:r>
        <w:rPr>
          <w:color w:val="000000"/>
          <w:sz w:val="18"/>
          <w:szCs w:val="18"/>
        </w:rPr>
        <w:t>ke infrastrukture.</w:t>
      </w:r>
    </w:p>
  </w:footnote>
  <w:footnote w:id="73">
    <w:p w14:paraId="7D5371EB" w14:textId="77777777" w:rsidR="005E4CCE" w:rsidRDefault="005E4CCE">
      <w:pPr>
        <w:spacing w:after="0" w:line="240" w:lineRule="auto"/>
        <w:jc w:val="both"/>
        <w:rPr>
          <w:sz w:val="20"/>
          <w:szCs w:val="20"/>
        </w:rPr>
      </w:pPr>
      <w:r>
        <w:rPr>
          <w:vertAlign w:val="superscript"/>
        </w:rPr>
        <w:footnoteRef/>
      </w:r>
      <w:r>
        <w:rPr>
          <w:sz w:val="16"/>
          <w:szCs w:val="16"/>
        </w:rPr>
        <w:t xml:space="preserve"> </w:t>
      </w:r>
      <w:r>
        <w:rPr>
          <w:sz w:val="20"/>
          <w:szCs w:val="20"/>
        </w:rPr>
        <w:t xml:space="preserve">Predviđene aktivnosti su u jednom dijelu komplementarne sa ciljem “Poboljšanje socio-ekonomskog i pravnog položaja Roma i Egipćana u Crnoj Gori, unapređenjem inkluzivnog i otvorenog društva zasnovanog na promociji jednakosti, borbi i eliminisanju svih oblika diskriminacije, anticiganizma i siromaštva” koji je prepoznat </w:t>
      </w:r>
      <w:r>
        <w:rPr>
          <w:b/>
          <w:sz w:val="20"/>
          <w:szCs w:val="20"/>
        </w:rPr>
        <w:t>Strategijom socijalne inkluzije Roma i Egipćana 2021-2025</w:t>
      </w:r>
      <w:r>
        <w:rPr>
          <w:sz w:val="24"/>
          <w:szCs w:val="24"/>
        </w:rPr>
        <w:t>.</w:t>
      </w:r>
    </w:p>
  </w:footnote>
  <w:footnote w:id="74">
    <w:p w14:paraId="05464C98" w14:textId="77777777" w:rsidR="005E4CCE" w:rsidRDefault="005E4CCE">
      <w:pPr>
        <w:spacing w:after="0" w:line="240" w:lineRule="auto"/>
        <w:rPr>
          <w:i/>
          <w:sz w:val="20"/>
          <w:szCs w:val="20"/>
        </w:rPr>
      </w:pPr>
      <w:r>
        <w:rPr>
          <w:vertAlign w:val="superscript"/>
        </w:rPr>
        <w:footnoteRef/>
      </w:r>
      <w:r>
        <w:rPr>
          <w:sz w:val="20"/>
          <w:szCs w:val="20"/>
        </w:rPr>
        <w:t xml:space="preserve"> </w:t>
      </w:r>
      <w:r>
        <w:rPr>
          <w:i/>
          <w:sz w:val="20"/>
          <w:szCs w:val="20"/>
        </w:rPr>
        <w:t xml:space="preserve">Procjene ekonomskog uticaja COVID-19 na biznis sektor i perspektive razvoja Crne Gore; Undp, Unesco i UN Women, Oktobar 2020 </w:t>
      </w:r>
    </w:p>
  </w:footnote>
  <w:footnote w:id="75">
    <w:p w14:paraId="74F51F62" w14:textId="77777777" w:rsidR="005E4CCE" w:rsidRDefault="005E4CCE">
      <w:pPr>
        <w:spacing w:line="240" w:lineRule="auto"/>
        <w:rPr>
          <w:sz w:val="20"/>
          <w:szCs w:val="20"/>
        </w:rPr>
      </w:pPr>
      <w:r>
        <w:rPr>
          <w:vertAlign w:val="superscript"/>
        </w:rPr>
        <w:footnoteRef/>
      </w:r>
      <w:r>
        <w:rPr>
          <w:sz w:val="20"/>
          <w:szCs w:val="20"/>
        </w:rPr>
        <w:t xml:space="preserve"> Obveznika Zakona o slobodnom pristupu informacijama</w:t>
      </w:r>
    </w:p>
  </w:footnote>
  <w:footnote w:id="76">
    <w:p w14:paraId="7AC1ED55" w14:textId="77777777" w:rsidR="005E4CCE" w:rsidRDefault="005E4CCE">
      <w:pPr>
        <w:spacing w:line="240" w:lineRule="auto"/>
        <w:rPr>
          <w:sz w:val="20"/>
          <w:szCs w:val="20"/>
        </w:rPr>
      </w:pPr>
      <w:r>
        <w:rPr>
          <w:vertAlign w:val="superscript"/>
        </w:rPr>
        <w:footnoteRef/>
      </w:r>
      <w:r>
        <w:rPr>
          <w:sz w:val="20"/>
          <w:szCs w:val="20"/>
        </w:rPr>
        <w:t xml:space="preserve"> Broj prijavljenih registara u metaregistru</w:t>
      </w:r>
    </w:p>
  </w:footnote>
  <w:footnote w:id="77">
    <w:p w14:paraId="7CBAC418" w14:textId="77777777" w:rsidR="005E4CCE" w:rsidRDefault="005E4CCE">
      <w:pPr>
        <w:spacing w:line="240" w:lineRule="auto"/>
        <w:rPr>
          <w:sz w:val="20"/>
          <w:szCs w:val="20"/>
        </w:rPr>
      </w:pPr>
      <w:r>
        <w:rPr>
          <w:vertAlign w:val="superscript"/>
        </w:rPr>
        <w:footnoteRef/>
      </w:r>
      <w:r>
        <w:rPr>
          <w:sz w:val="20"/>
          <w:szCs w:val="20"/>
        </w:rPr>
        <w:t xml:space="preserve"> </w:t>
      </w:r>
      <w:r>
        <w:rPr>
          <w:color w:val="1F497D"/>
        </w:rPr>
        <w:t>Navedene ciljane vrijednosti indikatora treba ažurirati nakon završetka Nacionalnog plana razvoja širokopojasnih mreža velikih brzina i izrada Strategije/Plana za uvođenje 5G u Crnoj Gori</w:t>
      </w:r>
    </w:p>
  </w:footnote>
  <w:footnote w:id="78">
    <w:p w14:paraId="2401D46A" w14:textId="77777777" w:rsidR="005E4CCE" w:rsidRDefault="005E4CCE">
      <w:pPr>
        <w:pBdr>
          <w:top w:val="nil"/>
          <w:left w:val="nil"/>
          <w:bottom w:val="nil"/>
          <w:right w:val="nil"/>
          <w:between w:val="nil"/>
        </w:pBdr>
        <w:spacing w:line="240" w:lineRule="auto"/>
        <w:rPr>
          <w:sz w:val="20"/>
          <w:szCs w:val="20"/>
        </w:rPr>
      </w:pPr>
      <w:r>
        <w:rPr>
          <w:vertAlign w:val="superscript"/>
        </w:rPr>
        <w:footnoteRef/>
      </w:r>
      <w:r>
        <w:rPr>
          <w:sz w:val="20"/>
          <w:szCs w:val="20"/>
        </w:rPr>
        <w:t xml:space="preserve"> </w:t>
      </w:r>
      <w:r>
        <w:rPr>
          <w:sz w:val="16"/>
          <w:szCs w:val="16"/>
        </w:rPr>
        <w:t>Istraživanje sa građanima i preduzećima u vezi sa korišćenjem i stavovima prema e-uslugama u Crnoj Gori, IPSOS/UNDP,  2019.godina</w:t>
      </w:r>
    </w:p>
  </w:footnote>
  <w:footnote w:id="79">
    <w:p w14:paraId="753EBE8C" w14:textId="77777777" w:rsidR="005E4CCE" w:rsidRDefault="005E4CCE">
      <w:pPr>
        <w:spacing w:line="240" w:lineRule="auto"/>
      </w:pPr>
      <w:r>
        <w:rPr>
          <w:vertAlign w:val="superscript"/>
        </w:rPr>
        <w:footnoteRef/>
      </w:r>
      <w:r>
        <w:t xml:space="preserve"> </w:t>
      </w:r>
      <w:r>
        <w:rPr>
          <w:rFonts w:ascii="Sitka Text" w:eastAsia="Sitka Text" w:hAnsi="Sitka Text" w:cs="Sitka Text"/>
          <w:color w:val="1F4E79"/>
        </w:rPr>
        <w:t>Na dan 23.12.2020</w:t>
      </w:r>
    </w:p>
  </w:footnote>
  <w:footnote w:id="80">
    <w:p w14:paraId="0320EB1D" w14:textId="77777777" w:rsidR="005E4CCE" w:rsidRDefault="005E4CCE">
      <w:pPr>
        <w:spacing w:after="0" w:line="240" w:lineRule="auto"/>
        <w:rPr>
          <w:sz w:val="20"/>
          <w:szCs w:val="20"/>
        </w:rPr>
      </w:pPr>
      <w:r>
        <w:rPr>
          <w:vertAlign w:val="superscript"/>
        </w:rPr>
        <w:footnoteRef/>
      </w:r>
      <w:r>
        <w:rPr>
          <w:sz w:val="20"/>
          <w:szCs w:val="20"/>
        </w:rPr>
        <w:t xml:space="preserve"> U sklopu uspostavljanja nacionalnog digitalnog ekosistema (NS eID, NS NAT, JISERP, Portal eUprava, eInbox)</w:t>
      </w:r>
      <w:r>
        <w:rPr>
          <w:color w:val="1F4E79"/>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4E9BA1" w14:textId="77777777" w:rsidR="005E4CCE" w:rsidRDefault="005E4CCE">
    <w:pPr>
      <w:pBdr>
        <w:top w:val="nil"/>
        <w:left w:val="nil"/>
        <w:bottom w:val="nil"/>
        <w:right w:val="nil"/>
        <w:between w:val="nil"/>
      </w:pBdr>
      <w:tabs>
        <w:tab w:val="center" w:pos="4680"/>
        <w:tab w:val="right" w:pos="9360"/>
      </w:tabs>
      <w:spacing w:after="0" w:line="240" w:lineRule="auto"/>
      <w:jc w:val="right"/>
      <w:rPr>
        <w:rFonts w:ascii="Georgia" w:eastAsia="Georgia" w:hAnsi="Georgia" w:cs="Georgia"/>
        <w:b/>
        <w:color w:val="7030A0"/>
      </w:rPr>
    </w:pPr>
    <w:r>
      <w:rPr>
        <w:rFonts w:ascii="Georgia" w:eastAsia="Georgia" w:hAnsi="Georgia" w:cs="Georgia"/>
        <w:b/>
        <w:noProof/>
        <w:color w:val="7030A0"/>
      </w:rPr>
      <mc:AlternateContent>
        <mc:Choice Requires="wps">
          <w:drawing>
            <wp:anchor distT="0" distB="0" distL="114300" distR="114300" simplePos="0" relativeHeight="251658240" behindDoc="0" locked="0" layoutInCell="1" hidden="0" allowOverlap="1" wp14:anchorId="5C3309CE" wp14:editId="2D0C02B2">
              <wp:simplePos x="0" y="0"/>
              <wp:positionH relativeFrom="margin">
                <wp:align>left</wp:align>
              </wp:positionH>
              <wp:positionV relativeFrom="topMargin">
                <wp:align>center</wp:align>
              </wp:positionV>
              <wp:extent cx="5962650" cy="189865"/>
              <wp:effectExtent l="0" t="0" r="0" b="0"/>
              <wp:wrapNone/>
              <wp:docPr id="5" name="Rectangle 5"/>
              <wp:cNvGraphicFramePr/>
              <a:graphic xmlns:a="http://schemas.openxmlformats.org/drawingml/2006/main">
                <a:graphicData uri="http://schemas.microsoft.com/office/word/2010/wordprocessingShape">
                  <wps:wsp>
                    <wps:cNvSpPr/>
                    <wps:spPr>
                      <a:xfrm>
                        <a:off x="2374200" y="3694593"/>
                        <a:ext cx="5943600" cy="170815"/>
                      </a:xfrm>
                      <a:prstGeom prst="rect">
                        <a:avLst/>
                      </a:prstGeom>
                      <a:noFill/>
                      <a:ln>
                        <a:noFill/>
                      </a:ln>
                    </wps:spPr>
                    <wps:txbx>
                      <w:txbxContent>
                        <w:p w14:paraId="0AFEB96E" w14:textId="77777777" w:rsidR="005E4CCE" w:rsidRDefault="005E4CCE">
                          <w:pPr>
                            <w:spacing w:after="0" w:line="240" w:lineRule="auto"/>
                            <w:textDirection w:val="btLr"/>
                          </w:pPr>
                          <w:r>
                            <w:rPr>
                              <w:b/>
                              <w:color w:val="0B5394"/>
                            </w:rPr>
                            <w:t xml:space="preserve">     </w:t>
                          </w:r>
                        </w:p>
                      </w:txbxContent>
                    </wps:txbx>
                    <wps:bodyPr spcFirstLastPara="1" wrap="square" lIns="91425" tIns="0" rIns="91425" bIns="0"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id="Rectangle 5" o:spid="_x0000_s1042" style="position:absolute;left:0;text-align:left;margin-left:0;margin-top:0;width:469.5pt;height:14.95pt;z-index:251658240;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" filled="f" stroked="f">
              <v:textbox inset="2.53958mm,0,2.53958mm,0">
                <w:txbxContent>
                  <w:p w:rsidR="005E4CCE" w:rsidRDefault="005E4CCE">
                    <w:pPr>
                      <w:spacing w:after="0" w:line="240" w:lineRule="auto"/>
                      <w:textDirection w:val="btLr"/>
                    </w:pPr>
                    <w:r>
                      <w:rPr>
                        <w:b/>
                        <w:color w:val="0B5394"/>
                      </w:rPr>
                      <w:t xml:space="preserve">     </w:t>
                    </w:r>
                  </w:p>
                </w:txbxContent>
              </v:textbox>
              <w10:wrap anchorx="margin" anchory="margin"/>
            </v:rect>
          </w:pict>
        </mc:Fallback>
      </mc:AlternateConten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41FD5" w14:textId="77777777" w:rsidR="005E4CCE" w:rsidRDefault="005E4CCE">
    <w:pPr>
      <w:tabs>
        <w:tab w:val="center" w:pos="4680"/>
        <w:tab w:val="right" w:pos="9360"/>
        <w:tab w:val="left" w:pos="3015"/>
      </w:tabs>
      <w:rPr>
        <w:rFonts w:ascii="Cambria" w:eastAsia="Cambria" w:hAnsi="Cambria" w:cs="Cambria"/>
        <w:color w:val="00000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3"/>
    </w:tblGrid>
    <w:tr w:rsidR="005E4CCE" w:rsidRPr="00456874" w14:paraId="1575D910" w14:textId="77777777" w:rsidTr="00456874">
      <w:trPr>
        <w:trHeight w:val="1408"/>
      </w:trPr>
      <w:tc>
        <w:tcPr>
          <w:tcW w:w="4643" w:type="dxa"/>
        </w:tcPr>
        <w:p w14:paraId="5024C478" w14:textId="77777777" w:rsidR="005E4CCE" w:rsidRPr="00456874" w:rsidRDefault="005E4CCE" w:rsidP="00456874">
          <w:pPr>
            <w:spacing w:before="120" w:after="80" w:line="192" w:lineRule="auto"/>
            <w:ind w:left="1134"/>
            <w:rPr>
              <w:rFonts w:ascii="Arial" w:eastAsia="Times New Roman" w:hAnsi="Arial" w:cs="Arial"/>
              <w:noProof/>
              <w:spacing w:val="-10"/>
              <w:kern w:val="28"/>
              <w:sz w:val="28"/>
              <w:szCs w:val="28"/>
              <w:lang w:eastAsia="x-none"/>
            </w:rPr>
          </w:pPr>
          <w:r w:rsidRPr="00456874">
            <w:rPr>
              <w:rFonts w:eastAsia="Times New Roman"/>
              <w:noProof/>
              <w:spacing w:val="-10"/>
              <w:kern w:val="28"/>
              <w:sz w:val="28"/>
              <w:szCs w:val="40"/>
            </w:rPr>
            <w:drawing>
              <wp:anchor distT="0" distB="0" distL="114300" distR="114300" simplePos="0" relativeHeight="251667456" behindDoc="0" locked="0" layoutInCell="1" allowOverlap="1" wp14:anchorId="24285591" wp14:editId="3A6761A9">
                <wp:simplePos x="0" y="0"/>
                <wp:positionH relativeFrom="column">
                  <wp:posOffset>-12065</wp:posOffset>
                </wp:positionH>
                <wp:positionV relativeFrom="paragraph">
                  <wp:posOffset>100330</wp:posOffset>
                </wp:positionV>
                <wp:extent cx="548640" cy="678815"/>
                <wp:effectExtent l="0" t="0" r="3810" b="698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678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6874">
            <w:rPr>
              <w:rFonts w:ascii="Arial" w:eastAsia="Times New Roman" w:hAnsi="Arial" w:cs="Arial"/>
              <w:noProof/>
              <w:spacing w:val="-10"/>
              <w:kern w:val="28"/>
              <w:sz w:val="28"/>
              <w:szCs w:val="40"/>
            </w:rPr>
            <mc:AlternateContent>
              <mc:Choice Requires="wps">
                <w:drawing>
                  <wp:anchor distT="0" distB="0" distL="114299" distR="114299" simplePos="0" relativeHeight="251668480" behindDoc="0" locked="0" layoutInCell="1" allowOverlap="1" wp14:anchorId="2B1A5CE6" wp14:editId="2D6AA87D">
                    <wp:simplePos x="0" y="0"/>
                    <wp:positionH relativeFrom="column">
                      <wp:posOffset>622299</wp:posOffset>
                    </wp:positionH>
                    <wp:positionV relativeFrom="paragraph">
                      <wp:posOffset>100330</wp:posOffset>
                    </wp:positionV>
                    <wp:extent cx="0" cy="694055"/>
                    <wp:effectExtent l="0" t="0" r="38100" b="2984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94055"/>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line w14:anchorId="5CCFB8C0" id="Straight Connector 51" o:spid="_x0000_s1026" style="position:absolute;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9pt,7.9pt" to="49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" strokecolor="#d5b03d" strokeweight="1.5pt">
                    <o:lock v:ext="edit" shapetype="f"/>
                  </v:line>
                </w:pict>
              </mc:Fallback>
            </mc:AlternateContent>
          </w:r>
          <w:r w:rsidRPr="00456874">
            <w:rPr>
              <w:rFonts w:ascii="Arial" w:eastAsia="Times New Roman" w:hAnsi="Arial" w:cs="Arial"/>
              <w:noProof/>
              <w:spacing w:val="-10"/>
              <w:kern w:val="28"/>
              <w:sz w:val="28"/>
              <w:szCs w:val="40"/>
              <w:lang w:eastAsia="x-none"/>
            </w:rPr>
            <w:t>C</w:t>
          </w:r>
          <w:r w:rsidRPr="00456874">
            <w:rPr>
              <w:rFonts w:ascii="Arial" w:eastAsia="Times New Roman" w:hAnsi="Arial" w:cs="Arial"/>
              <w:noProof/>
              <w:spacing w:val="-10"/>
              <w:kern w:val="28"/>
              <w:sz w:val="28"/>
              <w:szCs w:val="28"/>
              <w:lang w:eastAsia="x-none"/>
            </w:rPr>
            <w:t>rna Gora</w:t>
          </w:r>
        </w:p>
        <w:p w14:paraId="2D921B31" w14:textId="77777777" w:rsidR="005E4CCE" w:rsidRPr="00456874" w:rsidRDefault="005E4CCE" w:rsidP="00456874">
          <w:pPr>
            <w:spacing w:before="120" w:after="80"/>
            <w:ind w:left="1134"/>
            <w:rPr>
              <w:rFonts w:ascii="Arial" w:eastAsia="Times New Roman" w:hAnsi="Arial" w:cs="Arial"/>
              <w:noProof/>
              <w:spacing w:val="-10"/>
              <w:kern w:val="28"/>
              <w:sz w:val="28"/>
              <w:szCs w:val="28"/>
              <w:lang w:eastAsia="x-none"/>
            </w:rPr>
          </w:pPr>
          <w:r w:rsidRPr="00456874">
            <w:rPr>
              <w:rFonts w:ascii="Arial" w:eastAsia="Times New Roman" w:hAnsi="Arial" w:cs="Arial"/>
              <w:noProof/>
              <w:spacing w:val="-10"/>
              <w:kern w:val="28"/>
              <w:sz w:val="28"/>
              <w:szCs w:val="28"/>
              <w:lang w:eastAsia="x-none"/>
            </w:rPr>
            <w:t xml:space="preserve">Ministarstvo javne uprave, </w:t>
          </w:r>
        </w:p>
        <w:p w14:paraId="5929FA58" w14:textId="77777777" w:rsidR="005E4CCE" w:rsidRPr="00456874" w:rsidRDefault="005E4CCE" w:rsidP="00456874">
          <w:pPr>
            <w:spacing w:before="120" w:after="120"/>
            <w:jc w:val="both"/>
            <w:rPr>
              <w:rFonts w:ascii="Arial" w:eastAsia="Times New Roman" w:hAnsi="Arial" w:cs="Arial"/>
              <w:noProof/>
              <w:spacing w:val="-10"/>
              <w:kern w:val="28"/>
              <w:sz w:val="28"/>
              <w:szCs w:val="28"/>
              <w:lang w:eastAsia="x-none"/>
            </w:rPr>
          </w:pPr>
          <w:r w:rsidRPr="00456874">
            <w:rPr>
              <w:rFonts w:ascii="Arial" w:eastAsia="Times New Roman" w:hAnsi="Arial" w:cs="Arial"/>
              <w:noProof/>
              <w:spacing w:val="-10"/>
              <w:kern w:val="28"/>
              <w:sz w:val="28"/>
              <w:szCs w:val="28"/>
              <w:lang w:eastAsia="x-none"/>
            </w:rPr>
            <w:t xml:space="preserve">                 digitalnog društva i medija</w:t>
          </w:r>
        </w:p>
        <w:p w14:paraId="3A75F01D" w14:textId="77777777" w:rsidR="005E4CCE" w:rsidRPr="00456874" w:rsidRDefault="005E4CCE" w:rsidP="00456874">
          <w:pPr>
            <w:tabs>
              <w:tab w:val="center" w:pos="4536"/>
              <w:tab w:val="right" w:pos="9072"/>
            </w:tabs>
            <w:jc w:val="both"/>
            <w:rPr>
              <w:sz w:val="24"/>
              <w:lang w:val="x-none" w:eastAsia="x-none"/>
            </w:rPr>
          </w:pPr>
        </w:p>
      </w:tc>
      <w:tc>
        <w:tcPr>
          <w:tcW w:w="4643" w:type="dxa"/>
        </w:tcPr>
        <w:p w14:paraId="598962D3" w14:textId="77777777" w:rsidR="005E4CCE" w:rsidRPr="00456874" w:rsidRDefault="005E4CCE" w:rsidP="00456874">
          <w:pPr>
            <w:jc w:val="right"/>
            <w:rPr>
              <w:rFonts w:ascii="Arial" w:hAnsi="Arial" w:cs="Arial"/>
            </w:rPr>
          </w:pPr>
          <w:r w:rsidRPr="00456874">
            <w:rPr>
              <w:rFonts w:ascii="Arial" w:hAnsi="Arial" w:cs="Arial"/>
            </w:rPr>
            <w:t>Adresa: Rimski trg br. 45</w:t>
          </w:r>
        </w:p>
        <w:p w14:paraId="06A10DC6" w14:textId="77777777" w:rsidR="005E4CCE" w:rsidRPr="00456874" w:rsidRDefault="005E4CCE" w:rsidP="00456874">
          <w:pPr>
            <w:jc w:val="right"/>
            <w:rPr>
              <w:rFonts w:ascii="Arial" w:hAnsi="Arial" w:cs="Arial"/>
            </w:rPr>
          </w:pPr>
          <w:r w:rsidRPr="00456874">
            <w:rPr>
              <w:rFonts w:ascii="Arial" w:hAnsi="Arial" w:cs="Arial"/>
            </w:rPr>
            <w:t xml:space="preserve"> 81000 Podgorica, Crna Gora</w:t>
          </w:r>
        </w:p>
        <w:p w14:paraId="6B9A2597" w14:textId="77777777" w:rsidR="005E4CCE" w:rsidRPr="00456874" w:rsidRDefault="005E4CCE" w:rsidP="00456874">
          <w:pPr>
            <w:jc w:val="right"/>
            <w:rPr>
              <w:rFonts w:ascii="Arial" w:hAnsi="Arial" w:cs="Arial"/>
            </w:rPr>
          </w:pPr>
          <w:r w:rsidRPr="00456874">
            <w:rPr>
              <w:rFonts w:ascii="Arial" w:hAnsi="Arial" w:cs="Arial"/>
            </w:rPr>
            <w:t xml:space="preserve">   tel:+382 20 482 131</w:t>
          </w:r>
        </w:p>
        <w:p w14:paraId="13A108B2" w14:textId="77777777" w:rsidR="005E4CCE" w:rsidRPr="00456874" w:rsidRDefault="005E4CCE" w:rsidP="00456874">
          <w:pPr>
            <w:jc w:val="right"/>
            <w:rPr>
              <w:rFonts w:ascii="Arial" w:hAnsi="Arial" w:cs="Arial"/>
            </w:rPr>
          </w:pPr>
          <w:r w:rsidRPr="00456874">
            <w:rPr>
              <w:rFonts w:ascii="Arial" w:hAnsi="Arial" w:cs="Arial"/>
            </w:rPr>
            <w:t xml:space="preserve">               fax:+382 20 241 790</w:t>
          </w:r>
        </w:p>
        <w:p w14:paraId="23D74B70" w14:textId="77777777" w:rsidR="005E4CCE" w:rsidRPr="00456874" w:rsidRDefault="005E4CCE" w:rsidP="00456874">
          <w:pPr>
            <w:tabs>
              <w:tab w:val="center" w:pos="4536"/>
              <w:tab w:val="right" w:pos="9072"/>
            </w:tabs>
            <w:jc w:val="right"/>
            <w:rPr>
              <w:sz w:val="24"/>
              <w:lang w:val="x-none" w:eastAsia="x-none"/>
            </w:rPr>
          </w:pPr>
          <w:r w:rsidRPr="00456874">
            <w:rPr>
              <w:rFonts w:ascii="Arial" w:hAnsi="Arial" w:cs="Arial"/>
              <w:color w:val="0070C0"/>
              <w:lang w:val="x-none" w:eastAsia="x-none"/>
            </w:rPr>
            <w:t xml:space="preserve">        www.mju.gov.me</w:t>
          </w:r>
        </w:p>
      </w:tc>
    </w:tr>
  </w:tbl>
  <w:p w14:paraId="6514F854" w14:textId="77777777" w:rsidR="005E4CCE" w:rsidRPr="00456874" w:rsidRDefault="005E4CCE" w:rsidP="00456874">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1B454" w14:textId="77777777" w:rsidR="005E4CCE" w:rsidRDefault="005E4CCE">
    <w:pPr>
      <w:tabs>
        <w:tab w:val="center" w:pos="4680"/>
        <w:tab w:val="right" w:pos="9360"/>
        <w:tab w:val="left" w:pos="3015"/>
      </w:tabs>
      <w:rPr>
        <w:rFonts w:ascii="Cambria" w:eastAsia="Cambria" w:hAnsi="Cambria" w:cs="Cambria"/>
        <w:color w:val="000000"/>
      </w:rPr>
    </w:pPr>
  </w:p>
  <w:p w14:paraId="42AFAE4B" w14:textId="77777777" w:rsidR="005E4CCE" w:rsidRDefault="005E4CCE">
    <w:pPr>
      <w:pBdr>
        <w:top w:val="nil"/>
        <w:left w:val="nil"/>
        <w:bottom w:val="nil"/>
        <w:right w:val="nil"/>
        <w:between w:val="nil"/>
      </w:pBdr>
      <w:tabs>
        <w:tab w:val="center" w:pos="4680"/>
        <w:tab w:val="right" w:pos="9360"/>
      </w:tabs>
      <w:spacing w:after="0" w:line="240" w:lineRule="auto"/>
      <w:rPr>
        <w:color w:val="0B5394"/>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5EA8A" w14:textId="77777777" w:rsidR="005E4CCE" w:rsidRDefault="005E4CCE">
    <w:pPr>
      <w:pBdr>
        <w:top w:val="nil"/>
        <w:left w:val="nil"/>
        <w:bottom w:val="nil"/>
        <w:right w:val="nil"/>
        <w:between w:val="nil"/>
      </w:pBdr>
      <w:tabs>
        <w:tab w:val="center" w:pos="4680"/>
        <w:tab w:val="right" w:pos="9360"/>
      </w:tabs>
      <w:spacing w:after="0" w:line="240" w:lineRule="auto"/>
      <w:jc w:val="right"/>
      <w:rPr>
        <w:rFonts w:ascii="Georgia" w:eastAsia="Georgia" w:hAnsi="Georgia" w:cs="Georgia"/>
        <w:b/>
        <w:color w:val="7030A0"/>
      </w:rPr>
    </w:pPr>
    <w:r>
      <w:rPr>
        <w:rFonts w:ascii="Georgia" w:eastAsia="Georgia" w:hAnsi="Georgia" w:cs="Georgia"/>
        <w:b/>
        <w:noProof/>
        <w:color w:val="7030A0"/>
      </w:rPr>
      <mc:AlternateContent>
        <mc:Choice Requires="wps">
          <w:drawing>
            <wp:anchor distT="0" distB="0" distL="114300" distR="114300" simplePos="0" relativeHeight="251664384" behindDoc="0" locked="0" layoutInCell="1" hidden="0" allowOverlap="1" wp14:anchorId="6FCEA171" wp14:editId="65146AAD">
              <wp:simplePos x="0" y="0"/>
              <wp:positionH relativeFrom="margin">
                <wp:align>left</wp:align>
              </wp:positionH>
              <wp:positionV relativeFrom="topMargin">
                <wp:align>center</wp:align>
              </wp:positionV>
              <wp:extent cx="5962650" cy="189865"/>
              <wp:effectExtent l="0" t="0" r="0" b="0"/>
              <wp:wrapNone/>
              <wp:docPr id="37" name="Rectangle 37"/>
              <wp:cNvGraphicFramePr/>
              <a:graphic xmlns:a="http://schemas.openxmlformats.org/drawingml/2006/main">
                <a:graphicData uri="http://schemas.microsoft.com/office/word/2010/wordprocessingShape">
                  <wps:wsp>
                    <wps:cNvSpPr/>
                    <wps:spPr>
                      <a:xfrm>
                        <a:off x="2374200" y="3694593"/>
                        <a:ext cx="5943600" cy="170815"/>
                      </a:xfrm>
                      <a:prstGeom prst="rect">
                        <a:avLst/>
                      </a:prstGeom>
                      <a:noFill/>
                      <a:ln>
                        <a:noFill/>
                      </a:ln>
                    </wps:spPr>
                    <wps:txbx>
                      <w:txbxContent>
                        <w:p w14:paraId="7FA800FB" w14:textId="77777777" w:rsidR="005E4CCE" w:rsidRDefault="005E4CCE">
                          <w:pPr>
                            <w:spacing w:after="0" w:line="240" w:lineRule="auto"/>
                            <w:textDirection w:val="btLr"/>
                          </w:pPr>
                          <w:r>
                            <w:rPr>
                              <w:b/>
                              <w:color w:val="0B5394"/>
                            </w:rPr>
                            <w:t xml:space="preserve">     </w:t>
                          </w:r>
                        </w:p>
                      </w:txbxContent>
                    </wps:txbx>
                    <wps:bodyPr spcFirstLastPara="1" wrap="square" lIns="91425" tIns="0" rIns="91425" bIns="0"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273F6474" id="Rectangle 37" o:spid="_x0000_s1043" style="position:absolute;left:0;text-align:left;margin-left:0;margin-top:0;width:469.5pt;height:14.95pt;z-index:251664384;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" filled="f" stroked="f">
              <v:textbox inset="2.53958mm,0,2.53958mm,0">
                <w:txbxContent>
                  <w:p w:rsidR="005E4CCE" w:rsidRDefault="005E4CCE">
                    <w:pPr>
                      <w:spacing w:after="0" w:line="240" w:lineRule="auto"/>
                      <w:textDirection w:val="btLr"/>
                    </w:pPr>
                    <w:r>
                      <w:rPr>
                        <w:b/>
                        <w:color w:val="0B5394"/>
                      </w:rPr>
                      <w:t xml:space="preserve">     </w:t>
                    </w:r>
                  </w:p>
                </w:txbxContent>
              </v:textbox>
              <w10:wrap anchorx="margin" anchory="margin"/>
            </v:rect>
          </w:pict>
        </mc:Fallback>
      </mc:AlternateContent>
    </w:r>
    <w:r>
      <w:rPr>
        <w:rFonts w:ascii="Georgia" w:eastAsia="Georgia" w:hAnsi="Georgia" w:cs="Georgia"/>
        <w:b/>
        <w:noProof/>
        <w:color w:val="7030A0"/>
      </w:rPr>
      <mc:AlternateContent>
        <mc:Choice Requires="wps">
          <w:drawing>
            <wp:anchor distT="0" distB="0" distL="114300" distR="114300" simplePos="0" relativeHeight="251665408" behindDoc="0" locked="0" layoutInCell="1" hidden="0" allowOverlap="1" wp14:anchorId="5B4D6E26" wp14:editId="448798F2">
              <wp:simplePos x="0" y="0"/>
              <wp:positionH relativeFrom="page">
                <wp:align>left</wp:align>
              </wp:positionH>
              <wp:positionV relativeFrom="topMargin">
                <wp:align>center</wp:align>
              </wp:positionV>
              <wp:extent cx="933450" cy="189865"/>
              <wp:effectExtent l="0" t="0" r="0" b="0"/>
              <wp:wrapNone/>
              <wp:docPr id="38" name="Rectangle 38"/>
              <wp:cNvGraphicFramePr/>
              <a:graphic xmlns:a="http://schemas.openxmlformats.org/drawingml/2006/main">
                <a:graphicData uri="http://schemas.microsoft.com/office/word/2010/wordprocessingShape">
                  <wps:wsp>
                    <wps:cNvSpPr/>
                    <wps:spPr>
                      <a:xfrm>
                        <a:off x="4888800" y="3694593"/>
                        <a:ext cx="914400" cy="170815"/>
                      </a:xfrm>
                      <a:prstGeom prst="rect">
                        <a:avLst/>
                      </a:prstGeom>
                      <a:solidFill>
                        <a:srgbClr val="00B0F0"/>
                      </a:solidFill>
                      <a:ln>
                        <a:noFill/>
                      </a:ln>
                    </wps:spPr>
                    <wps:txbx>
                      <w:txbxContent>
                        <w:p w14:paraId="3F9594AA" w14:textId="77777777" w:rsidR="005E4CCE" w:rsidRDefault="005E4CCE">
                          <w:pPr>
                            <w:spacing w:after="0" w:line="240" w:lineRule="auto"/>
                            <w:jc w:val="right"/>
                            <w:textDirection w:val="btLr"/>
                          </w:pPr>
                          <w:r w:rsidRPr="00D329F1">
                            <w:rPr>
                              <w:color w:val="000000"/>
                            </w:rPr>
                            <w:fldChar w:fldCharType="begin"/>
                          </w:r>
                          <w:r w:rsidRPr="00D329F1">
                            <w:rPr>
                              <w:color w:val="000000"/>
                            </w:rPr>
                            <w:instrText xml:space="preserve"> PAGE   \* MERGEFORMAT </w:instrText>
                          </w:r>
                          <w:r w:rsidRPr="00D329F1">
                            <w:rPr>
                              <w:color w:val="000000"/>
                            </w:rPr>
                            <w:fldChar w:fldCharType="separate"/>
                          </w:r>
                          <w:r w:rsidR="000100CD">
                            <w:rPr>
                              <w:noProof/>
                              <w:color w:val="000000"/>
                            </w:rPr>
                            <w:t>117</w:t>
                          </w:r>
                          <w:r w:rsidRPr="00D329F1">
                            <w:rPr>
                              <w:noProof/>
                              <w:color w:val="000000"/>
                            </w:rPr>
                            <w:fldChar w:fldCharType="end"/>
                          </w:r>
                          <w:r>
                            <w:rPr>
                              <w:color w:val="000000"/>
                            </w:rPr>
                            <w:t xml:space="preserve"> MERGEFORMAT 1MERGEFORMAT </w:t>
                          </w:r>
                          <w:r>
                            <w:rPr>
                              <w:color w:val="FFFFFF"/>
                            </w:rPr>
                            <w:t>1</w:t>
                          </w:r>
                        </w:p>
                      </w:txbxContent>
                    </wps:txbx>
                    <wps:bodyPr spcFirstLastPara="1" wrap="square" lIns="91425" tIns="0" rIns="91425" bIns="0" anchor="ctr" anchorCtr="0">
                      <a:noAutofit/>
                    </wps:bodyPr>
                  </wps:wsp>
                </a:graphicData>
              </a:graphic>
            </wp:anchor>
          </w:drawing>
        </mc:Choice>
        <mc:Fallback>
          <w:pict>
            <v:rect w14:anchorId="5B4D6E26" id="Rectangle 38" o:spid="_x0000_s1031" style="position:absolute;left:0;text-align:left;margin-left:0;margin-top:0;width:73.5pt;height:14.95pt;z-index:251665408;visibility:visible;mso-wrap-style:square;mso-wrap-distance-left:9pt;mso-wrap-distance-top:0;mso-wrap-distance-right:9pt;mso-wrap-distance-bottom:0;mso-position-horizontal:left;mso-position-horizontal-relative:page;mso-position-vertical:center;mso-position-vertical-relative:top-margin-area;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" fillcolor="#00b0f0" stroked="f">
              <v:textbox inset="91425emu,0,91425emu,0">
                <w:txbxContent>
                  <w:p w14:paraId="3F9594AA" w14:textId="77777777" w:rsidR="005E4CCE" w:rsidRDefault="005E4CCE">
                    <w:pPr>
                      <w:spacing w:after="0" w:line="240" w:lineRule="auto"/>
                      <w:jc w:val="right"/>
                      <w:textDirection w:val="btLr"/>
                    </w:pPr>
                    <w:r w:rsidRPr="00D329F1">
                      <w:rPr>
                        <w:color w:val="000000"/>
                      </w:rPr>
                      <w:fldChar w:fldCharType="begin"/>
                    </w:r>
                    <w:r w:rsidRPr="00D329F1">
                      <w:rPr>
                        <w:color w:val="000000"/>
                      </w:rPr>
                      <w:instrText xml:space="preserve"> PAGE   \* MERGEFORMAT </w:instrText>
                    </w:r>
                    <w:r w:rsidRPr="00D329F1">
                      <w:rPr>
                        <w:color w:val="000000"/>
                      </w:rPr>
                      <w:fldChar w:fldCharType="separate"/>
                    </w:r>
                    <w:r w:rsidR="000100CD">
                      <w:rPr>
                        <w:noProof/>
                        <w:color w:val="000000"/>
                      </w:rPr>
                      <w:t>117</w:t>
                    </w:r>
                    <w:r w:rsidRPr="00D329F1">
                      <w:rPr>
                        <w:noProof/>
                        <w:color w:val="000000"/>
                      </w:rPr>
                      <w:fldChar w:fldCharType="end"/>
                    </w:r>
                    <w:r>
                      <w:rPr>
                        <w:color w:val="000000"/>
                      </w:rPr>
                      <w:t xml:space="preserve"> MERGEFORMAT 1MERGEFORMAT </w:t>
                    </w:r>
                    <w:r>
                      <w:rPr>
                        <w:color w:val="FFFFFF"/>
                      </w:rPr>
                      <w:t>1</w:t>
                    </w:r>
                  </w:p>
                </w:txbxContent>
              </v:textbox>
              <w10:wrap anchorx="page" anchory="margin"/>
            </v:rect>
          </w:pict>
        </mc:Fallback>
      </mc:AlternateConten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7262F" w14:textId="77777777" w:rsidR="005E4CCE" w:rsidRDefault="005E4CCE">
    <w:pPr>
      <w:tabs>
        <w:tab w:val="center" w:pos="4680"/>
        <w:tab w:val="right" w:pos="9360"/>
        <w:tab w:val="left" w:pos="3015"/>
      </w:tabs>
      <w:rPr>
        <w:rFonts w:ascii="Cambria" w:eastAsia="Cambria" w:hAnsi="Cambria" w:cs="Cambria"/>
        <w:color w:val="000000"/>
      </w:rPr>
    </w:pPr>
  </w:p>
  <w:p w14:paraId="2520A3B4" w14:textId="77777777" w:rsidR="005E4CCE" w:rsidRDefault="005E4CCE">
    <w:pPr>
      <w:pBdr>
        <w:top w:val="nil"/>
        <w:left w:val="nil"/>
        <w:bottom w:val="nil"/>
        <w:right w:val="nil"/>
        <w:between w:val="nil"/>
      </w:pBdr>
      <w:tabs>
        <w:tab w:val="center" w:pos="4680"/>
        <w:tab w:val="right" w:pos="9360"/>
      </w:tabs>
      <w:spacing w:after="0" w:line="240" w:lineRule="auto"/>
      <w:rPr>
        <w:b/>
        <w:color w:val="0B5394"/>
      </w:rPr>
    </w:pPr>
    <w:r>
      <w:rPr>
        <w:b/>
        <w:color w:val="0B5394"/>
      </w:rPr>
      <w:t>STRATEGIJA DIGITALNE TRANSFORMACIJE CRNE GORE 2022-2026</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7D0CC" w14:textId="77777777" w:rsidR="005E4CCE" w:rsidRDefault="005E4CCE">
    <w:pPr>
      <w:pBdr>
        <w:top w:val="nil"/>
        <w:left w:val="nil"/>
        <w:bottom w:val="nil"/>
        <w:right w:val="nil"/>
        <w:between w:val="nil"/>
      </w:pBdr>
      <w:tabs>
        <w:tab w:val="center" w:pos="4680"/>
        <w:tab w:val="right" w:pos="9360"/>
      </w:tabs>
      <w:spacing w:after="0" w:line="240" w:lineRule="auto"/>
      <w:rPr>
        <w:b/>
        <w:color w:val="0B5394"/>
      </w:rPr>
    </w:pPr>
    <w:r>
      <w:rPr>
        <w:b/>
        <w:color w:val="0B5394"/>
      </w:rPr>
      <w:t xml:space="preserve">PRILOG 1 </w:t>
    </w:r>
  </w:p>
  <w:p w14:paraId="6CF1F128" w14:textId="77777777" w:rsidR="005E4CCE" w:rsidRPr="005E4CCE" w:rsidRDefault="005E4CCE">
    <w:pPr>
      <w:pBdr>
        <w:top w:val="nil"/>
        <w:left w:val="nil"/>
        <w:bottom w:val="nil"/>
        <w:right w:val="nil"/>
        <w:between w:val="nil"/>
      </w:pBdr>
      <w:tabs>
        <w:tab w:val="center" w:pos="4680"/>
        <w:tab w:val="right" w:pos="9360"/>
      </w:tabs>
      <w:spacing w:after="0" w:line="240" w:lineRule="auto"/>
      <w:rPr>
        <w:b/>
        <w:color w:val="0B5394"/>
        <w:lang w:val="sr-Latn-ME"/>
      </w:rPr>
    </w:pPr>
    <w:r>
      <w:rPr>
        <w:b/>
        <w:color w:val="0B5394"/>
      </w:rPr>
      <w:t>PASO</w:t>
    </w:r>
    <w:r>
      <w:rPr>
        <w:b/>
        <w:color w:val="0B5394"/>
        <w:lang w:val="sr-Latn-ME"/>
      </w:rPr>
      <w:t>Š INDIKATORI</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3573BB" w14:textId="77777777" w:rsidR="005E4CCE" w:rsidRDefault="00B66795">
    <w:pPr>
      <w:pBdr>
        <w:top w:val="nil"/>
        <w:left w:val="nil"/>
        <w:bottom w:val="nil"/>
        <w:right w:val="nil"/>
        <w:between w:val="nil"/>
      </w:pBdr>
      <w:tabs>
        <w:tab w:val="center" w:pos="4680"/>
        <w:tab w:val="right" w:pos="9360"/>
      </w:tabs>
      <w:spacing w:after="0" w:line="240" w:lineRule="auto"/>
      <w:rPr>
        <w:b/>
        <w:color w:val="0B5394"/>
      </w:rPr>
    </w:pPr>
    <w:r>
      <w:rPr>
        <w:b/>
        <w:color w:val="0B5394"/>
      </w:rPr>
      <w:t>ANEX 2</w:t>
    </w:r>
    <w:r w:rsidR="005E4CCE">
      <w:rPr>
        <w:b/>
        <w:color w:val="0B5394"/>
      </w:rPr>
      <w:t xml:space="preserve"> </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FEAB79" w14:textId="77777777" w:rsidR="00B66795" w:rsidRDefault="00B66795">
    <w:pPr>
      <w:pBdr>
        <w:top w:val="nil"/>
        <w:left w:val="nil"/>
        <w:bottom w:val="nil"/>
        <w:right w:val="nil"/>
        <w:between w:val="nil"/>
      </w:pBdr>
      <w:tabs>
        <w:tab w:val="center" w:pos="4680"/>
        <w:tab w:val="right" w:pos="9360"/>
      </w:tabs>
      <w:spacing w:after="0" w:line="240" w:lineRule="auto"/>
      <w:rPr>
        <w:b/>
        <w:color w:val="0B5394"/>
      </w:rPr>
    </w:pPr>
    <w:r>
      <w:rPr>
        <w:b/>
        <w:color w:val="0B5394"/>
      </w:rPr>
      <w:t xml:space="preserve">ANEX 3 </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B0538" w14:textId="77777777" w:rsidR="004C791B" w:rsidRDefault="004C791B">
    <w:pPr>
      <w:pBdr>
        <w:top w:val="nil"/>
        <w:left w:val="nil"/>
        <w:bottom w:val="nil"/>
        <w:right w:val="nil"/>
        <w:between w:val="nil"/>
      </w:pBdr>
      <w:tabs>
        <w:tab w:val="center" w:pos="4680"/>
        <w:tab w:val="right" w:pos="9360"/>
      </w:tabs>
      <w:spacing w:after="0" w:line="240" w:lineRule="auto"/>
      <w:jc w:val="right"/>
      <w:rPr>
        <w:rFonts w:ascii="Georgia" w:eastAsia="Georgia" w:hAnsi="Georgia" w:cs="Georgia"/>
        <w:b/>
        <w:color w:val="7030A0"/>
      </w:rPr>
    </w:pPr>
    <w:r>
      <w:rPr>
        <w:rFonts w:ascii="Georgia" w:eastAsia="Georgia" w:hAnsi="Georgia" w:cs="Georgia"/>
        <w:b/>
        <w:noProof/>
        <w:color w:val="7030A0"/>
      </w:rPr>
      <mc:AlternateContent>
        <mc:Choice Requires="wps">
          <w:drawing>
            <wp:anchor distT="0" distB="0" distL="114300" distR="114300" simplePos="0" relativeHeight="251670528" behindDoc="0" locked="0" layoutInCell="1" hidden="0" allowOverlap="1" wp14:anchorId="22D01AE3" wp14:editId="24A42D2A">
              <wp:simplePos x="0" y="0"/>
              <wp:positionH relativeFrom="margin">
                <wp:align>left</wp:align>
              </wp:positionH>
              <wp:positionV relativeFrom="topMargin">
                <wp:align>center</wp:align>
              </wp:positionV>
              <wp:extent cx="5962650" cy="189865"/>
              <wp:effectExtent l="0" t="0" r="0" b="0"/>
              <wp:wrapNone/>
              <wp:docPr id="192" name="Rectangle 192"/>
              <wp:cNvGraphicFramePr/>
              <a:graphic xmlns:a="http://schemas.openxmlformats.org/drawingml/2006/main">
                <a:graphicData uri="http://schemas.microsoft.com/office/word/2010/wordprocessingShape">
                  <wps:wsp>
                    <wps:cNvSpPr/>
                    <wps:spPr>
                      <a:xfrm>
                        <a:off x="2374200" y="3694593"/>
                        <a:ext cx="5943600" cy="170815"/>
                      </a:xfrm>
                      <a:prstGeom prst="rect">
                        <a:avLst/>
                      </a:prstGeom>
                      <a:noFill/>
                      <a:ln>
                        <a:noFill/>
                      </a:ln>
                    </wps:spPr>
                    <wps:txbx>
                      <w:txbxContent>
                        <w:p w14:paraId="6F4AD7EC" w14:textId="77777777" w:rsidR="004C791B" w:rsidRDefault="004C791B">
                          <w:pPr>
                            <w:spacing w:after="0" w:line="240" w:lineRule="auto"/>
                            <w:textDirection w:val="btLr"/>
                          </w:pPr>
                          <w:r>
                            <w:rPr>
                              <w:b/>
                              <w:color w:val="0B5394"/>
                            </w:rPr>
                            <w:t xml:space="preserve">     </w:t>
                          </w:r>
                        </w:p>
                      </w:txbxContent>
                    </wps:txbx>
                    <wps:bodyPr spcFirstLastPara="1" wrap="square" lIns="91425" tIns="0" rIns="91425" bIns="0"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rect w14:anchorId="086F9C06" id="Rectangle 192" o:spid="_x0000_s1045" style="position:absolute;left:0;text-align:left;margin-left:0;margin-top:0;width:469.5pt;height:14.95pt;z-index:251670528;visibility:visible;mso-wrap-style:square;mso-wrap-distance-left:9pt;mso-wrap-distance-top:0;mso-wrap-distance-right:9pt;mso-wrap-distance-bottom:0;mso-position-horizontal:left;mso-position-horizontal-relative:margin;mso-position-vertical:center;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" filled="f" stroked="f">
              <v:textbox inset="2.53958mm,0,2.53958mm,0">
                <w:txbxContent>
                  <w:p w:rsidR="004C791B" w:rsidRDefault="004C791B">
                    <w:pPr>
                      <w:spacing w:after="0" w:line="240" w:lineRule="auto"/>
                      <w:textDirection w:val="btLr"/>
                    </w:pPr>
                    <w:r>
                      <w:rPr>
                        <w:b/>
                        <w:color w:val="0B5394"/>
                      </w:rPr>
                      <w:t xml:space="preserve">     </w:t>
                    </w:r>
                  </w:p>
                </w:txbxContent>
              </v:textbox>
              <w10:wrap anchorx="margin" anchory="margin"/>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94668"/>
    <w:multiLevelType w:val="hybridMultilevel"/>
    <w:tmpl w:val="69901E6E"/>
    <w:lvl w:ilvl="0" w:tplc="3822B8EE">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008B0EC6"/>
    <w:multiLevelType w:val="multilevel"/>
    <w:tmpl w:val="D1CAC6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045C7CEB"/>
    <w:multiLevelType w:val="multilevel"/>
    <w:tmpl w:val="3D1A6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BD07E2"/>
    <w:multiLevelType w:val="multilevel"/>
    <w:tmpl w:val="257ED7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76F4BF7"/>
    <w:multiLevelType w:val="multilevel"/>
    <w:tmpl w:val="3506A574"/>
    <w:lvl w:ilvl="0">
      <w:start w:val="1"/>
      <w:numFmt w:val="bullet"/>
      <w:lvlText w:val="-"/>
      <w:lvlJc w:val="left"/>
      <w:pPr>
        <w:ind w:left="7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09012B68"/>
    <w:multiLevelType w:val="hybridMultilevel"/>
    <w:tmpl w:val="027A6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EC67FB5"/>
    <w:multiLevelType w:val="multilevel"/>
    <w:tmpl w:val="23363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EEA49AF"/>
    <w:multiLevelType w:val="multilevel"/>
    <w:tmpl w:val="16C6E8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106F153A"/>
    <w:multiLevelType w:val="multilevel"/>
    <w:tmpl w:val="1C14A4F8"/>
    <w:lvl w:ilvl="0">
      <w:numFmt w:val="bullet"/>
      <w:lvlText w:val="-"/>
      <w:lvlJc w:val="left"/>
      <w:pPr>
        <w:ind w:left="720" w:hanging="360"/>
      </w:pPr>
      <w:rPr>
        <w:rFonts w:ascii="Times New Roman" w:eastAsia="Calibri"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0A70FD1"/>
    <w:multiLevelType w:val="multilevel"/>
    <w:tmpl w:val="030C61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2E222B0"/>
    <w:multiLevelType w:val="multilevel"/>
    <w:tmpl w:val="E9620F22"/>
    <w:lvl w:ilvl="0">
      <w:start w:val="1"/>
      <w:numFmt w:val="bullet"/>
      <w:lvlText w:val="-"/>
      <w:lvlJc w:val="left"/>
      <w:pPr>
        <w:ind w:left="4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136B21CF"/>
    <w:multiLevelType w:val="multilevel"/>
    <w:tmpl w:val="5510D5C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15F76347"/>
    <w:multiLevelType w:val="multilevel"/>
    <w:tmpl w:val="DB7A6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1B814FB0"/>
    <w:multiLevelType w:val="multilevel"/>
    <w:tmpl w:val="AD2AC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BEA1826"/>
    <w:multiLevelType w:val="multilevel"/>
    <w:tmpl w:val="2FBE1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1C2A2AA2"/>
    <w:multiLevelType w:val="multilevel"/>
    <w:tmpl w:val="8988C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E6F5059"/>
    <w:multiLevelType w:val="multilevel"/>
    <w:tmpl w:val="7E226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202557E2"/>
    <w:multiLevelType w:val="multilevel"/>
    <w:tmpl w:val="6C184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05342AD"/>
    <w:multiLevelType w:val="multilevel"/>
    <w:tmpl w:val="69B49C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1A60DDE"/>
    <w:multiLevelType w:val="multilevel"/>
    <w:tmpl w:val="82AC9E6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49521CC"/>
    <w:multiLevelType w:val="multilevel"/>
    <w:tmpl w:val="90A22F2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65309B5"/>
    <w:multiLevelType w:val="multilevel"/>
    <w:tmpl w:val="4EF2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81A3312"/>
    <w:multiLevelType w:val="multilevel"/>
    <w:tmpl w:val="CD1C58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28905195"/>
    <w:multiLevelType w:val="multilevel"/>
    <w:tmpl w:val="21FE8EA0"/>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24">
    <w:nsid w:val="2A221D01"/>
    <w:multiLevelType w:val="multilevel"/>
    <w:tmpl w:val="CD8286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2C0C71D9"/>
    <w:multiLevelType w:val="multilevel"/>
    <w:tmpl w:val="D60C40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D054270"/>
    <w:multiLevelType w:val="multilevel"/>
    <w:tmpl w:val="18F265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nsid w:val="2D524E3D"/>
    <w:multiLevelType w:val="multilevel"/>
    <w:tmpl w:val="702CE2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30741624"/>
    <w:multiLevelType w:val="multilevel"/>
    <w:tmpl w:val="2F2AE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2371457"/>
    <w:multiLevelType w:val="multilevel"/>
    <w:tmpl w:val="EA6CC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3810AFB"/>
    <w:multiLevelType w:val="hybridMultilevel"/>
    <w:tmpl w:val="EEF491D6"/>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nsid w:val="339C1BF6"/>
    <w:multiLevelType w:val="multilevel"/>
    <w:tmpl w:val="CA50E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6B45A5F"/>
    <w:multiLevelType w:val="multilevel"/>
    <w:tmpl w:val="5FBE59A4"/>
    <w:lvl w:ilvl="0">
      <w:start w:val="1"/>
      <w:numFmt w:val="bullet"/>
      <w:lvlText w:val="-"/>
      <w:lvlJc w:val="left"/>
      <w:pPr>
        <w:ind w:left="720" w:hanging="360"/>
      </w:pPr>
      <w:rPr>
        <w:rFonts w:ascii="SymbolMT" w:eastAsia="SymbolMT" w:hAnsi="Calibri" w:cs="SymbolMT" w:hint="eastAsi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38DB64D4"/>
    <w:multiLevelType w:val="multilevel"/>
    <w:tmpl w:val="CF162B0A"/>
    <w:lvl w:ilvl="0">
      <w:start w:val="1"/>
      <w:numFmt w:val="bullet"/>
      <w:lvlText w:val="-"/>
      <w:lvlJc w:val="left"/>
      <w:pPr>
        <w:ind w:left="7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nsid w:val="392E5276"/>
    <w:multiLevelType w:val="multilevel"/>
    <w:tmpl w:val="98D0F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3B06064E"/>
    <w:multiLevelType w:val="multilevel"/>
    <w:tmpl w:val="37541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3B82376C"/>
    <w:multiLevelType w:val="multilevel"/>
    <w:tmpl w:val="EA2E9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1726F56"/>
    <w:multiLevelType w:val="multilevel"/>
    <w:tmpl w:val="000C3E4C"/>
    <w:lvl w:ilvl="0">
      <w:start w:val="1"/>
      <w:numFmt w:val="bullet"/>
      <w:lvlText w:val="●"/>
      <w:lvlJc w:val="left"/>
      <w:pPr>
        <w:ind w:left="72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nsid w:val="41A92630"/>
    <w:multiLevelType w:val="hybridMultilevel"/>
    <w:tmpl w:val="FFE6C51A"/>
    <w:lvl w:ilvl="0" w:tplc="2B3636CE">
      <w:numFmt w:val="bullet"/>
      <w:lvlText w:val="-"/>
      <w:lvlJc w:val="left"/>
      <w:pPr>
        <w:ind w:left="720" w:hanging="360"/>
      </w:pPr>
      <w:rPr>
        <w:rFonts w:ascii="Arial" w:eastAsia="Calibri"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9">
    <w:nsid w:val="4400798F"/>
    <w:multiLevelType w:val="multilevel"/>
    <w:tmpl w:val="631C9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6991EE8"/>
    <w:multiLevelType w:val="hybridMultilevel"/>
    <w:tmpl w:val="33B89EB4"/>
    <w:lvl w:ilvl="0" w:tplc="3822B8EE">
      <w:numFmt w:val="bullet"/>
      <w:lvlText w:val="-"/>
      <w:lvlJc w:val="left"/>
      <w:pPr>
        <w:ind w:left="630" w:hanging="360"/>
      </w:pPr>
      <w:rPr>
        <w:rFonts w:ascii="Arial" w:eastAsia="Times New Roman" w:hAnsi="Arial" w:cs="Aria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1">
    <w:nsid w:val="46AD180B"/>
    <w:multiLevelType w:val="multilevel"/>
    <w:tmpl w:val="236E8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46BA7EA2"/>
    <w:multiLevelType w:val="hybridMultilevel"/>
    <w:tmpl w:val="C424133E"/>
    <w:lvl w:ilvl="0" w:tplc="7D8CD36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F6AC34">
      <w:start w:val="1"/>
      <w:numFmt w:val="bullet"/>
      <w:lvlText w:val="o"/>
      <w:lvlJc w:val="left"/>
      <w:pPr>
        <w:ind w:left="1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9CA01A8">
      <w:start w:val="1"/>
      <w:numFmt w:val="bullet"/>
      <w:lvlText w:val="▪"/>
      <w:lvlJc w:val="left"/>
      <w:pPr>
        <w:ind w:left="22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D5A0598">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AEE430">
      <w:start w:val="1"/>
      <w:numFmt w:val="bullet"/>
      <w:lvlText w:val="o"/>
      <w:lvlJc w:val="left"/>
      <w:pPr>
        <w:ind w:left="3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93E813A">
      <w:start w:val="1"/>
      <w:numFmt w:val="bullet"/>
      <w:lvlText w:val="▪"/>
      <w:lvlJc w:val="left"/>
      <w:pPr>
        <w:ind w:left="44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D4EF3E">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9A53C2">
      <w:start w:val="1"/>
      <w:numFmt w:val="bullet"/>
      <w:lvlText w:val="o"/>
      <w:lvlJc w:val="left"/>
      <w:pPr>
        <w:ind w:left="58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8CB3DE">
      <w:start w:val="1"/>
      <w:numFmt w:val="bullet"/>
      <w:lvlText w:val="▪"/>
      <w:lvlJc w:val="left"/>
      <w:pPr>
        <w:ind w:left="65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nsid w:val="46E20FD3"/>
    <w:multiLevelType w:val="multilevel"/>
    <w:tmpl w:val="AED23A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nsid w:val="4D992DD1"/>
    <w:multiLevelType w:val="multilevel"/>
    <w:tmpl w:val="CD468F22"/>
    <w:lvl w:ilvl="0">
      <w:start w:val="1"/>
      <w:numFmt w:val="decimal"/>
      <w:lvlText w:val="%1."/>
      <w:lvlJc w:val="left"/>
      <w:pPr>
        <w:ind w:left="720" w:hanging="360"/>
      </w:pPr>
      <w:rPr>
        <w:rFonts w:ascii="Arial" w:eastAsia="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4F041BBF"/>
    <w:multiLevelType w:val="multilevel"/>
    <w:tmpl w:val="56FEDA3A"/>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6">
    <w:nsid w:val="522464CF"/>
    <w:multiLevelType w:val="multilevel"/>
    <w:tmpl w:val="30242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3330616"/>
    <w:multiLevelType w:val="multilevel"/>
    <w:tmpl w:val="667E7C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nsid w:val="53A0785F"/>
    <w:multiLevelType w:val="hybridMultilevel"/>
    <w:tmpl w:val="4CD4D508"/>
    <w:lvl w:ilvl="0" w:tplc="4A065BE2">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DD85686">
      <w:start w:val="1"/>
      <w:numFmt w:val="bullet"/>
      <w:lvlText w:val="o"/>
      <w:lvlJc w:val="left"/>
      <w:pPr>
        <w:ind w:left="1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E62FF2E">
      <w:start w:val="1"/>
      <w:numFmt w:val="bullet"/>
      <w:lvlText w:val="▪"/>
      <w:lvlJc w:val="left"/>
      <w:pPr>
        <w:ind w:left="2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AA725E">
      <w:start w:val="1"/>
      <w:numFmt w:val="bullet"/>
      <w:lvlText w:val="•"/>
      <w:lvlJc w:val="left"/>
      <w:pPr>
        <w:ind w:left="2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CCB950">
      <w:start w:val="1"/>
      <w:numFmt w:val="bullet"/>
      <w:lvlText w:val="o"/>
      <w:lvlJc w:val="left"/>
      <w:pPr>
        <w:ind w:left="3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6C082C8">
      <w:start w:val="1"/>
      <w:numFmt w:val="bullet"/>
      <w:lvlText w:val="▪"/>
      <w:lvlJc w:val="left"/>
      <w:pPr>
        <w:ind w:left="44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3CD7BE">
      <w:start w:val="1"/>
      <w:numFmt w:val="bullet"/>
      <w:lvlText w:val="•"/>
      <w:lvlJc w:val="left"/>
      <w:pPr>
        <w:ind w:left="51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EDBBA">
      <w:start w:val="1"/>
      <w:numFmt w:val="bullet"/>
      <w:lvlText w:val="o"/>
      <w:lvlJc w:val="left"/>
      <w:pPr>
        <w:ind w:left="58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94FAE4">
      <w:start w:val="1"/>
      <w:numFmt w:val="bullet"/>
      <w:lvlText w:val="▪"/>
      <w:lvlJc w:val="left"/>
      <w:pPr>
        <w:ind w:left="65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nsid w:val="546D1FCC"/>
    <w:multiLevelType w:val="multilevel"/>
    <w:tmpl w:val="2354D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56955504"/>
    <w:multiLevelType w:val="multilevel"/>
    <w:tmpl w:val="9C0297F8"/>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51">
    <w:nsid w:val="5A1174A2"/>
    <w:multiLevelType w:val="hybridMultilevel"/>
    <w:tmpl w:val="581E11BA"/>
    <w:lvl w:ilvl="0" w:tplc="6536516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1A6BCE">
      <w:start w:val="1"/>
      <w:numFmt w:val="bullet"/>
      <w:lvlText w:val="o"/>
      <w:lvlJc w:val="left"/>
      <w:pPr>
        <w:ind w:left="1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066E94">
      <w:start w:val="1"/>
      <w:numFmt w:val="bullet"/>
      <w:lvlText w:val="▪"/>
      <w:lvlJc w:val="left"/>
      <w:pPr>
        <w:ind w:left="2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ACE6464">
      <w:start w:val="1"/>
      <w:numFmt w:val="bullet"/>
      <w:lvlText w:val="•"/>
      <w:lvlJc w:val="left"/>
      <w:pPr>
        <w:ind w:left="2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61286D0">
      <w:start w:val="1"/>
      <w:numFmt w:val="bullet"/>
      <w:lvlText w:val="o"/>
      <w:lvlJc w:val="left"/>
      <w:pPr>
        <w:ind w:left="3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C8F798">
      <w:start w:val="1"/>
      <w:numFmt w:val="bullet"/>
      <w:lvlText w:val="▪"/>
      <w:lvlJc w:val="left"/>
      <w:pPr>
        <w:ind w:left="4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9404B2">
      <w:start w:val="1"/>
      <w:numFmt w:val="bullet"/>
      <w:lvlText w:val="•"/>
      <w:lvlJc w:val="left"/>
      <w:pPr>
        <w:ind w:left="5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4E8D56">
      <w:start w:val="1"/>
      <w:numFmt w:val="bullet"/>
      <w:lvlText w:val="o"/>
      <w:lvlJc w:val="left"/>
      <w:pPr>
        <w:ind w:left="5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300ABFC">
      <w:start w:val="1"/>
      <w:numFmt w:val="bullet"/>
      <w:lvlText w:val="▪"/>
      <w:lvlJc w:val="left"/>
      <w:pPr>
        <w:ind w:left="6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nsid w:val="5A6D4E8D"/>
    <w:multiLevelType w:val="hybridMultilevel"/>
    <w:tmpl w:val="84147FDA"/>
    <w:lvl w:ilvl="0" w:tplc="04090005">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53">
    <w:nsid w:val="5B6C7E8F"/>
    <w:multiLevelType w:val="multilevel"/>
    <w:tmpl w:val="2EDCF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D0A068A"/>
    <w:multiLevelType w:val="multilevel"/>
    <w:tmpl w:val="30441FA0"/>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nsid w:val="5F8E22B9"/>
    <w:multiLevelType w:val="multilevel"/>
    <w:tmpl w:val="ADE016D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nsid w:val="604F75C3"/>
    <w:multiLevelType w:val="multilevel"/>
    <w:tmpl w:val="25106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nsid w:val="61595C3D"/>
    <w:multiLevelType w:val="multilevel"/>
    <w:tmpl w:val="B8204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3E22837"/>
    <w:multiLevelType w:val="multilevel"/>
    <w:tmpl w:val="EE2A88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nsid w:val="63EE74D5"/>
    <w:multiLevelType w:val="multilevel"/>
    <w:tmpl w:val="E0DE2C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nsid w:val="66BA3840"/>
    <w:multiLevelType w:val="multilevel"/>
    <w:tmpl w:val="5896E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74D5172"/>
    <w:multiLevelType w:val="multilevel"/>
    <w:tmpl w:val="8DEC2E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9FA71B8"/>
    <w:multiLevelType w:val="multilevel"/>
    <w:tmpl w:val="CB946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A1165AD"/>
    <w:multiLevelType w:val="multilevel"/>
    <w:tmpl w:val="BBE24018"/>
    <w:lvl w:ilvl="0">
      <w:start w:val="1"/>
      <w:numFmt w:val="decimal"/>
      <w:lvlText w:val="%1."/>
      <w:lvlJc w:val="right"/>
      <w:pPr>
        <w:ind w:left="720" w:hanging="360"/>
      </w:pPr>
      <w:rPr>
        <w:rFonts w:ascii="Arial" w:eastAsia="Arial" w:hAnsi="Arial" w:cs="Arial"/>
        <w:b/>
        <w:sz w:val="22"/>
        <w:szCs w:val="22"/>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4">
    <w:nsid w:val="6C8A4828"/>
    <w:multiLevelType w:val="multilevel"/>
    <w:tmpl w:val="C1824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nsid w:val="6E405B8C"/>
    <w:multiLevelType w:val="multilevel"/>
    <w:tmpl w:val="C60EC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nsid w:val="6F48603E"/>
    <w:multiLevelType w:val="multilevel"/>
    <w:tmpl w:val="033C9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F5157EB"/>
    <w:multiLevelType w:val="multilevel"/>
    <w:tmpl w:val="5AA83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0425558"/>
    <w:multiLevelType w:val="multilevel"/>
    <w:tmpl w:val="CC0452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nsid w:val="72655EB0"/>
    <w:multiLevelType w:val="multilevel"/>
    <w:tmpl w:val="B2EEE84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nsid w:val="77001023"/>
    <w:multiLevelType w:val="multilevel"/>
    <w:tmpl w:val="A9C46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70133C4"/>
    <w:multiLevelType w:val="multilevel"/>
    <w:tmpl w:val="46186258"/>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2">
    <w:nsid w:val="794229F7"/>
    <w:multiLevelType w:val="hybridMultilevel"/>
    <w:tmpl w:val="3592A786"/>
    <w:lvl w:ilvl="0" w:tplc="702CC46A">
      <w:start w:val="1"/>
      <w:numFmt w:val="bullet"/>
      <w:lvlText w:val="-"/>
      <w:lvlJc w:val="left"/>
      <w:pPr>
        <w:ind w:left="720" w:hanging="360"/>
      </w:pPr>
      <w:rPr>
        <w:rFonts w:ascii="SymbolMT" w:eastAsia="SymbolMT" w:hAnsi="Calibri" w:cs="SymbolMT" w:hint="eastAsia"/>
      </w:rPr>
    </w:lvl>
    <w:lvl w:ilvl="1" w:tplc="2C1A0003">
      <w:start w:val="1"/>
      <w:numFmt w:val="bullet"/>
      <w:lvlText w:val="o"/>
      <w:lvlJc w:val="left"/>
      <w:pPr>
        <w:ind w:left="1440" w:hanging="360"/>
      </w:pPr>
      <w:rPr>
        <w:rFonts w:ascii="Courier New" w:hAnsi="Courier New" w:cs="Courier New" w:hint="default"/>
      </w:rPr>
    </w:lvl>
    <w:lvl w:ilvl="2" w:tplc="2C1A0005">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3">
    <w:nsid w:val="7CC151D8"/>
    <w:multiLevelType w:val="hybridMultilevel"/>
    <w:tmpl w:val="040C7AAA"/>
    <w:lvl w:ilvl="0" w:tplc="647433EE">
      <w:start w:val="1"/>
      <w:numFmt w:val="decimal"/>
      <w:lvlText w:val="%1."/>
      <w:lvlJc w:val="left"/>
      <w:pPr>
        <w:ind w:left="1188"/>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1" w:tplc="7CFAFDD0">
      <w:start w:val="1"/>
      <w:numFmt w:val="lowerLetter"/>
      <w:lvlText w:val="%2"/>
      <w:lvlJc w:val="left"/>
      <w:pPr>
        <w:ind w:left="373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2" w:tplc="A9662996">
      <w:start w:val="1"/>
      <w:numFmt w:val="lowerRoman"/>
      <w:lvlText w:val="%3"/>
      <w:lvlJc w:val="left"/>
      <w:pPr>
        <w:ind w:left="445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tplc="BC78BC70">
      <w:start w:val="1"/>
      <w:numFmt w:val="decimal"/>
      <w:lvlText w:val="%4"/>
      <w:lvlJc w:val="left"/>
      <w:pPr>
        <w:ind w:left="517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tplc="AC801606">
      <w:start w:val="1"/>
      <w:numFmt w:val="lowerLetter"/>
      <w:lvlText w:val="%5"/>
      <w:lvlJc w:val="left"/>
      <w:pPr>
        <w:ind w:left="589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tplc="54CA214A">
      <w:start w:val="1"/>
      <w:numFmt w:val="lowerRoman"/>
      <w:lvlText w:val="%6"/>
      <w:lvlJc w:val="left"/>
      <w:pPr>
        <w:ind w:left="661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tplc="96941C06">
      <w:start w:val="1"/>
      <w:numFmt w:val="decimal"/>
      <w:lvlText w:val="%7"/>
      <w:lvlJc w:val="left"/>
      <w:pPr>
        <w:ind w:left="733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tplc="70481BF4">
      <w:start w:val="1"/>
      <w:numFmt w:val="lowerLetter"/>
      <w:lvlText w:val="%8"/>
      <w:lvlJc w:val="left"/>
      <w:pPr>
        <w:ind w:left="805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tplc="CCE8784E">
      <w:start w:val="1"/>
      <w:numFmt w:val="lowerRoman"/>
      <w:lvlText w:val="%9"/>
      <w:lvlJc w:val="left"/>
      <w:pPr>
        <w:ind w:left="8779"/>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71"/>
  </w:num>
  <w:num w:numId="3">
    <w:abstractNumId w:val="9"/>
  </w:num>
  <w:num w:numId="4">
    <w:abstractNumId w:val="53"/>
  </w:num>
  <w:num w:numId="5">
    <w:abstractNumId w:val="6"/>
  </w:num>
  <w:num w:numId="6">
    <w:abstractNumId w:val="11"/>
  </w:num>
  <w:num w:numId="7">
    <w:abstractNumId w:val="46"/>
  </w:num>
  <w:num w:numId="8">
    <w:abstractNumId w:val="10"/>
  </w:num>
  <w:num w:numId="9">
    <w:abstractNumId w:val="70"/>
  </w:num>
  <w:num w:numId="10">
    <w:abstractNumId w:val="21"/>
  </w:num>
  <w:num w:numId="11">
    <w:abstractNumId w:val="22"/>
  </w:num>
  <w:num w:numId="12">
    <w:abstractNumId w:val="54"/>
  </w:num>
  <w:num w:numId="13">
    <w:abstractNumId w:val="37"/>
  </w:num>
  <w:num w:numId="14">
    <w:abstractNumId w:val="24"/>
  </w:num>
  <w:num w:numId="15">
    <w:abstractNumId w:val="61"/>
  </w:num>
  <w:num w:numId="16">
    <w:abstractNumId w:val="59"/>
  </w:num>
  <w:num w:numId="17">
    <w:abstractNumId w:val="16"/>
  </w:num>
  <w:num w:numId="18">
    <w:abstractNumId w:val="13"/>
  </w:num>
  <w:num w:numId="19">
    <w:abstractNumId w:val="63"/>
  </w:num>
  <w:num w:numId="20">
    <w:abstractNumId w:val="12"/>
  </w:num>
  <w:num w:numId="21">
    <w:abstractNumId w:val="23"/>
  </w:num>
  <w:num w:numId="22">
    <w:abstractNumId w:val="15"/>
  </w:num>
  <w:num w:numId="23">
    <w:abstractNumId w:val="68"/>
  </w:num>
  <w:num w:numId="24">
    <w:abstractNumId w:val="60"/>
  </w:num>
  <w:num w:numId="25">
    <w:abstractNumId w:val="62"/>
  </w:num>
  <w:num w:numId="26">
    <w:abstractNumId w:val="14"/>
  </w:num>
  <w:num w:numId="27">
    <w:abstractNumId w:val="2"/>
  </w:num>
  <w:num w:numId="28">
    <w:abstractNumId w:val="66"/>
  </w:num>
  <w:num w:numId="29">
    <w:abstractNumId w:val="45"/>
  </w:num>
  <w:num w:numId="30">
    <w:abstractNumId w:val="27"/>
  </w:num>
  <w:num w:numId="31">
    <w:abstractNumId w:val="57"/>
  </w:num>
  <w:num w:numId="32">
    <w:abstractNumId w:val="69"/>
  </w:num>
  <w:num w:numId="33">
    <w:abstractNumId w:val="47"/>
  </w:num>
  <w:num w:numId="34">
    <w:abstractNumId w:val="33"/>
  </w:num>
  <w:num w:numId="35">
    <w:abstractNumId w:val="39"/>
  </w:num>
  <w:num w:numId="36">
    <w:abstractNumId w:val="65"/>
  </w:num>
  <w:num w:numId="37">
    <w:abstractNumId w:val="26"/>
  </w:num>
  <w:num w:numId="38">
    <w:abstractNumId w:val="64"/>
  </w:num>
  <w:num w:numId="39">
    <w:abstractNumId w:val="55"/>
  </w:num>
  <w:num w:numId="40">
    <w:abstractNumId w:val="31"/>
  </w:num>
  <w:num w:numId="41">
    <w:abstractNumId w:val="41"/>
  </w:num>
  <w:num w:numId="42">
    <w:abstractNumId w:val="4"/>
  </w:num>
  <w:num w:numId="43">
    <w:abstractNumId w:val="58"/>
  </w:num>
  <w:num w:numId="44">
    <w:abstractNumId w:val="19"/>
  </w:num>
  <w:num w:numId="45">
    <w:abstractNumId w:val="25"/>
  </w:num>
  <w:num w:numId="46">
    <w:abstractNumId w:val="7"/>
  </w:num>
  <w:num w:numId="47">
    <w:abstractNumId w:val="28"/>
  </w:num>
  <w:num w:numId="48">
    <w:abstractNumId w:val="3"/>
  </w:num>
  <w:num w:numId="49">
    <w:abstractNumId w:val="50"/>
  </w:num>
  <w:num w:numId="50">
    <w:abstractNumId w:val="43"/>
  </w:num>
  <w:num w:numId="51">
    <w:abstractNumId w:val="29"/>
  </w:num>
  <w:num w:numId="52">
    <w:abstractNumId w:val="44"/>
  </w:num>
  <w:num w:numId="53">
    <w:abstractNumId w:val="49"/>
  </w:num>
  <w:num w:numId="54">
    <w:abstractNumId w:val="36"/>
  </w:num>
  <w:num w:numId="55">
    <w:abstractNumId w:val="35"/>
  </w:num>
  <w:num w:numId="56">
    <w:abstractNumId w:val="18"/>
  </w:num>
  <w:num w:numId="57">
    <w:abstractNumId w:val="67"/>
  </w:num>
  <w:num w:numId="58">
    <w:abstractNumId w:val="17"/>
  </w:num>
  <w:num w:numId="59">
    <w:abstractNumId w:val="20"/>
  </w:num>
  <w:num w:numId="60">
    <w:abstractNumId w:val="34"/>
  </w:num>
  <w:num w:numId="61">
    <w:abstractNumId w:val="56"/>
  </w:num>
  <w:num w:numId="62">
    <w:abstractNumId w:val="38"/>
  </w:num>
  <w:num w:numId="63">
    <w:abstractNumId w:val="5"/>
  </w:num>
  <w:num w:numId="64">
    <w:abstractNumId w:val="73"/>
  </w:num>
  <w:num w:numId="65">
    <w:abstractNumId w:val="48"/>
  </w:num>
  <w:num w:numId="66">
    <w:abstractNumId w:val="51"/>
  </w:num>
  <w:num w:numId="67">
    <w:abstractNumId w:val="42"/>
  </w:num>
  <w:num w:numId="68">
    <w:abstractNumId w:val="40"/>
  </w:num>
  <w:num w:numId="69">
    <w:abstractNumId w:val="0"/>
  </w:num>
  <w:num w:numId="70">
    <w:abstractNumId w:val="32"/>
  </w:num>
  <w:num w:numId="71">
    <w:abstractNumId w:val="72"/>
  </w:num>
  <w:num w:numId="72">
    <w:abstractNumId w:val="8"/>
  </w:num>
  <w:num w:numId="73">
    <w:abstractNumId w:val="30"/>
  </w:num>
  <w:num w:numId="74">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072"/>
    <w:rsid w:val="000100CD"/>
    <w:rsid w:val="000B7975"/>
    <w:rsid w:val="001B5461"/>
    <w:rsid w:val="001D3770"/>
    <w:rsid w:val="00362F20"/>
    <w:rsid w:val="00372643"/>
    <w:rsid w:val="00395A0B"/>
    <w:rsid w:val="0042366A"/>
    <w:rsid w:val="00456874"/>
    <w:rsid w:val="004750C4"/>
    <w:rsid w:val="004B38F2"/>
    <w:rsid w:val="004C791B"/>
    <w:rsid w:val="005038F6"/>
    <w:rsid w:val="00525755"/>
    <w:rsid w:val="00541CB9"/>
    <w:rsid w:val="005B3072"/>
    <w:rsid w:val="005E4CCE"/>
    <w:rsid w:val="00696DD2"/>
    <w:rsid w:val="007F073A"/>
    <w:rsid w:val="008A78FF"/>
    <w:rsid w:val="00910B75"/>
    <w:rsid w:val="00927311"/>
    <w:rsid w:val="00A46913"/>
    <w:rsid w:val="00A54540"/>
    <w:rsid w:val="00AE7DE0"/>
    <w:rsid w:val="00B464EC"/>
    <w:rsid w:val="00B66795"/>
    <w:rsid w:val="00BD62C0"/>
    <w:rsid w:val="00C85844"/>
    <w:rsid w:val="00CC14B3"/>
    <w:rsid w:val="00D329F1"/>
    <w:rsid w:val="00F227C2"/>
    <w:rsid w:val="00F348F7"/>
    <w:rsid w:val="00FF4E4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C47DA"/>
  <w15:docId w15:val="{8EA21B9B-7FE4-4A95-884B-B3DBCF7E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40" w:line="240" w:lineRule="auto"/>
      <w:outlineLvl w:val="0"/>
    </w:pPr>
    <w:rPr>
      <w:color w:val="1F3864"/>
      <w:sz w:val="36"/>
      <w:szCs w:val="36"/>
    </w:rPr>
  </w:style>
  <w:style w:type="paragraph" w:styleId="Heading2">
    <w:name w:val="heading 2"/>
    <w:basedOn w:val="Normal"/>
    <w:next w:val="Normal"/>
    <w:uiPriority w:val="9"/>
    <w:unhideWhenUsed/>
    <w:qFormat/>
    <w:pPr>
      <w:keepNext/>
      <w:keepLines/>
      <w:spacing w:before="40" w:after="0" w:line="240" w:lineRule="auto"/>
      <w:outlineLvl w:val="1"/>
    </w:pPr>
    <w:rPr>
      <w:color w:val="2F5496"/>
      <w:sz w:val="32"/>
      <w:szCs w:val="32"/>
    </w:rPr>
  </w:style>
  <w:style w:type="paragraph" w:styleId="Heading3">
    <w:name w:val="heading 3"/>
    <w:basedOn w:val="Normal"/>
    <w:next w:val="Normal"/>
    <w:uiPriority w:val="9"/>
    <w:unhideWhenUsed/>
    <w:qFormat/>
    <w:pPr>
      <w:keepNext/>
      <w:keepLines/>
      <w:spacing w:before="40" w:after="0" w:line="240" w:lineRule="auto"/>
      <w:outlineLvl w:val="2"/>
    </w:pPr>
    <w:rPr>
      <w:color w:val="2F5496"/>
      <w:sz w:val="28"/>
      <w:szCs w:val="28"/>
    </w:rPr>
  </w:style>
  <w:style w:type="paragraph" w:styleId="Heading4">
    <w:name w:val="heading 4"/>
    <w:basedOn w:val="Normal"/>
    <w:next w:val="Normal"/>
    <w:uiPriority w:val="9"/>
    <w:semiHidden/>
    <w:unhideWhenUsed/>
    <w:qFormat/>
    <w:pPr>
      <w:keepNext/>
      <w:keepLines/>
      <w:spacing w:before="40" w:after="0"/>
      <w:outlineLvl w:val="3"/>
    </w:pPr>
    <w:rPr>
      <w:color w:val="2F5496"/>
      <w:sz w:val="24"/>
      <w:szCs w:val="24"/>
    </w:rPr>
  </w:style>
  <w:style w:type="paragraph" w:styleId="Heading5">
    <w:name w:val="heading 5"/>
    <w:basedOn w:val="Normal"/>
    <w:next w:val="Normal"/>
    <w:uiPriority w:val="9"/>
    <w:semiHidden/>
    <w:unhideWhenUsed/>
    <w:qFormat/>
    <w:pPr>
      <w:keepNext/>
      <w:keepLines/>
      <w:spacing w:before="40" w:after="0"/>
      <w:outlineLvl w:val="4"/>
    </w:pPr>
    <w:rPr>
      <w:smallCaps/>
      <w:color w:val="2F5496"/>
    </w:rPr>
  </w:style>
  <w:style w:type="paragraph" w:styleId="Heading6">
    <w:name w:val="heading 6"/>
    <w:basedOn w:val="Normal"/>
    <w:next w:val="Normal"/>
    <w:uiPriority w:val="9"/>
    <w:semiHidden/>
    <w:unhideWhenUsed/>
    <w:qFormat/>
    <w:pPr>
      <w:keepNext/>
      <w:keepLines/>
      <w:spacing w:before="40" w:after="0"/>
      <w:outlineLvl w:val="5"/>
    </w:pPr>
    <w:rPr>
      <w:i/>
      <w:smallCap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04" w:lineRule="auto"/>
    </w:pPr>
    <w:rPr>
      <w:smallCaps/>
      <w:color w:val="44546A"/>
      <w:sz w:val="72"/>
      <w:szCs w:val="72"/>
    </w:rPr>
  </w:style>
  <w:style w:type="paragraph" w:styleId="Subtitle">
    <w:name w:val="Subtitle"/>
    <w:basedOn w:val="Normal"/>
    <w:next w:val="Normal"/>
    <w:uiPriority w:val="11"/>
    <w:qFormat/>
    <w:pPr>
      <w:spacing w:after="240" w:line="240" w:lineRule="auto"/>
    </w:pPr>
    <w:rPr>
      <w:color w:val="4472C4"/>
      <w:sz w:val="28"/>
      <w:szCs w:val="28"/>
    </w:rPr>
  </w:style>
  <w:style w:type="table" w:customStyle="1" w:styleId="a">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0">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2">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3">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4">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bottom w:val="single" w:sz="4" w:space="0" w:color="5B9BD5"/>
        </w:tcBorders>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6">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7">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8">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9">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a">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b">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c">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d">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e">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0">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1">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2">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3">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4">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5">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6">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7">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8">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9">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a">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b">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c">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d">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e">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0">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f1">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2">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3">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f4">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5">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6">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7">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f8">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9">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a">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b">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table" w:customStyle="1" w:styleId="affc">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d">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e">
    <w:basedOn w:val="TableNormal"/>
    <w:pPr>
      <w:spacing w:after="0" w:line="240" w:lineRule="auto"/>
    </w:pPr>
    <w:rPr>
      <w:color w:val="2E75B5"/>
    </w:rPr>
    <w:tblPr>
      <w:tblStyleRowBandSize w:val="1"/>
      <w:tblStyleColBandSize w:val="1"/>
      <w:tblInd w:w="0" w:type="dxa"/>
      <w:tblCellMar>
        <w:top w:w="100" w:type="dxa"/>
        <w:left w:w="100" w:type="dxa"/>
        <w:bottom w:w="100" w:type="dxa"/>
        <w:right w:w="100" w:type="dxa"/>
      </w:tblCellMar>
    </w:tblPr>
    <w:tcPr>
      <w:shd w:val="clear" w:color="auto" w:fill="D9E2F3"/>
    </w:tcPr>
  </w:style>
  <w:style w:type="paragraph" w:styleId="Header">
    <w:name w:val="header"/>
    <w:basedOn w:val="Normal"/>
    <w:link w:val="HeaderChar"/>
    <w:uiPriority w:val="99"/>
    <w:unhideWhenUsed/>
    <w:rsid w:val="00D32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29F1"/>
  </w:style>
  <w:style w:type="paragraph" w:styleId="Footer">
    <w:name w:val="footer"/>
    <w:basedOn w:val="Normal"/>
    <w:link w:val="FooterChar"/>
    <w:uiPriority w:val="99"/>
    <w:unhideWhenUsed/>
    <w:rsid w:val="00D32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29F1"/>
  </w:style>
  <w:style w:type="paragraph" w:styleId="NormalWeb">
    <w:name w:val="Normal (Web)"/>
    <w:basedOn w:val="Normal"/>
    <w:uiPriority w:val="99"/>
    <w:semiHidden/>
    <w:unhideWhenUsed/>
    <w:rsid w:val="00FF4E4E"/>
    <w:pPr>
      <w:spacing w:before="120" w:after="120" w:line="264" w:lineRule="auto"/>
      <w:jc w:val="both"/>
    </w:pPr>
    <w:rPr>
      <w:rFonts w:ascii="Times New Roman" w:hAnsi="Times New Roman" w:cs="Times New Roman"/>
      <w:sz w:val="24"/>
      <w:szCs w:val="24"/>
    </w:rPr>
  </w:style>
  <w:style w:type="paragraph" w:styleId="ListParagraph">
    <w:name w:val="List Paragraph"/>
    <w:basedOn w:val="Normal"/>
    <w:link w:val="ListParagraphChar"/>
    <w:uiPriority w:val="34"/>
    <w:qFormat/>
    <w:rsid w:val="00FF4E4E"/>
    <w:pPr>
      <w:spacing w:after="200" w:line="276" w:lineRule="auto"/>
      <w:ind w:left="720"/>
      <w:contextualSpacing/>
    </w:pPr>
    <w:rPr>
      <w:rFonts w:cs="Times New Roman"/>
    </w:rPr>
  </w:style>
  <w:style w:type="paragraph" w:styleId="Caption">
    <w:name w:val="caption"/>
    <w:basedOn w:val="Normal"/>
    <w:next w:val="Normal"/>
    <w:uiPriority w:val="35"/>
    <w:unhideWhenUsed/>
    <w:qFormat/>
    <w:rsid w:val="00FF4E4E"/>
    <w:pPr>
      <w:spacing w:before="120" w:after="120" w:line="264" w:lineRule="auto"/>
      <w:jc w:val="both"/>
    </w:pPr>
    <w:rPr>
      <w:rFonts w:cs="Times New Roman"/>
      <w:b/>
      <w:bCs/>
      <w:sz w:val="20"/>
      <w:szCs w:val="20"/>
    </w:rPr>
  </w:style>
  <w:style w:type="character" w:customStyle="1" w:styleId="ListParagraphChar">
    <w:name w:val="List Paragraph Char"/>
    <w:link w:val="ListParagraph"/>
    <w:uiPriority w:val="34"/>
    <w:locked/>
    <w:rsid w:val="00FF4E4E"/>
    <w:rPr>
      <w:rFonts w:cs="Times New Roman"/>
    </w:rPr>
  </w:style>
  <w:style w:type="character" w:customStyle="1" w:styleId="TitleChar">
    <w:name w:val="Title Char"/>
    <w:link w:val="Title"/>
    <w:uiPriority w:val="10"/>
    <w:rsid w:val="000B7975"/>
    <w:rPr>
      <w:smallCaps/>
      <w:color w:val="44546A"/>
      <w:sz w:val="72"/>
      <w:szCs w:val="72"/>
    </w:rPr>
  </w:style>
  <w:style w:type="table" w:styleId="TableGrid">
    <w:name w:val="Table Grid"/>
    <w:basedOn w:val="TableNormal"/>
    <w:uiPriority w:val="59"/>
    <w:rsid w:val="00456874"/>
    <w:pPr>
      <w:spacing w:after="0" w:line="240" w:lineRule="auto"/>
    </w:pPr>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C85844"/>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table" w:styleId="LightGrid-Accent5">
    <w:name w:val="Light Grid Accent 5"/>
    <w:basedOn w:val="TableNormal"/>
    <w:uiPriority w:val="62"/>
    <w:rsid w:val="00AE7DE0"/>
    <w:pPr>
      <w:spacing w:after="0" w:line="240" w:lineRule="auto"/>
    </w:pPr>
    <w:rPr>
      <w:rFonts w:asciiTheme="minorHAnsi" w:eastAsiaTheme="minorHAnsi"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list0020paragraph">
    <w:name w:val="list_0020paragraph"/>
    <w:basedOn w:val="Normal"/>
    <w:rsid w:val="00AE7D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AE7DE0"/>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image" Target="media/image5.png"/><Relationship Id="rId16" Type="http://schemas.openxmlformats.org/officeDocument/2006/relationships/image" Target="media/image6.jpg"/><Relationship Id="rId17" Type="http://schemas.openxmlformats.org/officeDocument/2006/relationships/hyperlink" Target="http://amm.co.me/en/" TargetMode="External"/><Relationship Id="rId18" Type="http://schemas.openxmlformats.org/officeDocument/2006/relationships/hyperlink" Target="http://www.mek.gov.me/ResourceManager/FileDownload.aspx?rid=359967&amp;rType=2&amp;file=17%20maj%20NACRT%20IP%202023_17%20MAJ%202019%20FINAL%20NACRT%20JAVNA%20RASPRAVA.pdf" TargetMode="External"/><Relationship Id="rId19" Type="http://schemas.openxmlformats.org/officeDocument/2006/relationships/hyperlink" Target="http://www.gov.me/ResourceManager/FileDownload.aspx?rId=325628&amp;rType=2"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hyperlink" Target="mailto:nrakocevic@pkcg.me" TargetMode="External"/><Relationship Id="rId51" Type="http://schemas.openxmlformats.org/officeDocument/2006/relationships/header" Target="header6.xml"/><Relationship Id="rId52" Type="http://schemas.openxmlformats.org/officeDocument/2006/relationships/footer" Target="footer4.xml"/><Relationship Id="rId53" Type="http://schemas.openxmlformats.org/officeDocument/2006/relationships/image" Target="media/image14.png"/><Relationship Id="rId54" Type="http://schemas.openxmlformats.org/officeDocument/2006/relationships/header" Target="header7.xml"/><Relationship Id="rId55" Type="http://schemas.openxmlformats.org/officeDocument/2006/relationships/header" Target="header8.xml"/><Relationship Id="rId56" Type="http://schemas.openxmlformats.org/officeDocument/2006/relationships/footer" Target="footer5.xml"/><Relationship Id="rId57" Type="http://schemas.openxmlformats.org/officeDocument/2006/relationships/image" Target="media/image15.emf"/><Relationship Id="rId58" Type="http://schemas.openxmlformats.org/officeDocument/2006/relationships/image" Target="media/image16.png"/><Relationship Id="rId59" Type="http://schemas.openxmlformats.org/officeDocument/2006/relationships/header" Target="header9.xml"/><Relationship Id="rId40" Type="http://schemas.openxmlformats.org/officeDocument/2006/relationships/hyperlink" Target="mailto:daliborka.spaic@mju.gov.me" TargetMode="External"/><Relationship Id="rId41" Type="http://schemas.openxmlformats.org/officeDocument/2006/relationships/hyperlink" Target="mailto:marija.jankovic@mju.gov.me" TargetMode="External"/><Relationship Id="rId42" Type="http://schemas.openxmlformats.org/officeDocument/2006/relationships/hyperlink" Target="mailto:daliborka.spaic@mju.gov.me" TargetMode="External"/><Relationship Id="rId43" Type="http://schemas.openxmlformats.org/officeDocument/2006/relationships/hyperlink" Target="mailto:vanja.lazarevic@mju.gov.me" TargetMode="External"/><Relationship Id="rId44" Type="http://schemas.openxmlformats.org/officeDocument/2006/relationships/hyperlink" Target="mailto:contact@monstat.org" TargetMode="External"/><Relationship Id="rId45" Type="http://schemas.openxmlformats.org/officeDocument/2006/relationships/hyperlink" Target="mailto:ekip@ekip.me" TargetMode="External"/><Relationship Id="rId46" Type="http://schemas.openxmlformats.org/officeDocument/2006/relationships/hyperlink" Target="mailto:contact@monstat.org" TargetMode="External"/><Relationship Id="rId47" Type="http://schemas.openxmlformats.org/officeDocument/2006/relationships/hyperlink" Target="mailto:contact@monstat.org" TargetMode="External"/><Relationship Id="rId48" Type="http://schemas.openxmlformats.org/officeDocument/2006/relationships/hyperlink" Target="mailto:jelena.knezevic@mju.gov.me" TargetMode="External"/><Relationship Id="rId49" Type="http://schemas.openxmlformats.org/officeDocument/2006/relationships/hyperlink" Target="mailto:nrakocevic@pkcg.m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hyperlink" Target="http://www.gov.me/ResourceManager/FileDownload.aspx?rId=325628&amp;rType=2" TargetMode="External"/><Relationship Id="rId36" Type="http://schemas.openxmlformats.org/officeDocument/2006/relationships/image" Target="media/image13.png"/><Relationship Id="rId37" Type="http://schemas.openxmlformats.org/officeDocument/2006/relationships/header" Target="header4.xml"/><Relationship Id="rId38" Type="http://schemas.openxmlformats.org/officeDocument/2006/relationships/footer" Target="footer3.xml"/><Relationship Id="rId39" Type="http://schemas.openxmlformats.org/officeDocument/2006/relationships/header" Target="header5.xml"/><Relationship Id="rId20" Type="http://schemas.openxmlformats.org/officeDocument/2006/relationships/hyperlink" Target="http://www.gov.me/ResourceManager/FileDownload.aspx?rId=325628&amp;rType=2" TargetMode="External"/><Relationship Id="rId21" Type="http://schemas.openxmlformats.org/officeDocument/2006/relationships/hyperlink" Target="http://www.mju.gov.me/ResourceManager/FileDownload.aspx?rid=305197&amp;rType=2&amp;file=Strategija%20sajber%20bezbjednosti%20Crne%20Gore%202018-2021.pdf" TargetMode="External"/><Relationship Id="rId22" Type="http://schemas.openxmlformats.org/officeDocument/2006/relationships/image" Target="media/image7.png"/><Relationship Id="rId23" Type="http://schemas.openxmlformats.org/officeDocument/2006/relationships/hyperlink" Target="about:blank" TargetMode="External"/><Relationship Id="rId24" Type="http://schemas.openxmlformats.org/officeDocument/2006/relationships/hyperlink" Target="about:blank" TargetMode="External"/><Relationship Id="rId25" Type="http://schemas.openxmlformats.org/officeDocument/2006/relationships/hyperlink" Target="http://www.dnevnik.edu.me" TargetMode="External"/><Relationship Id="rId26" Type="http://schemas.openxmlformats.org/officeDocument/2006/relationships/hyperlink" Target="http://www.ucidoma.me" TargetMode="External"/><Relationship Id="rId27" Type="http://schemas.openxmlformats.org/officeDocument/2006/relationships/hyperlink" Target="https://foodhub.udg.edu.me/en/" TargetMode="External"/><Relationship Id="rId28" Type="http://schemas.openxmlformats.org/officeDocument/2006/relationships/hyperlink" Target="https://foodhub.udg.edu.me/en/" TargetMode="External"/><Relationship Id="rId29" Type="http://schemas.openxmlformats.org/officeDocument/2006/relationships/hyperlink" Target="http://www.gov.me/ResourceManager/FileDownload.aspx?rId=325628&amp;rType=2" TargetMode="External"/><Relationship Id="rId60" Type="http://schemas.openxmlformats.org/officeDocument/2006/relationships/footer" Target="footer6.xml"/><Relationship Id="rId61" Type="http://schemas.openxmlformats.org/officeDocument/2006/relationships/header" Target="header10.xml"/><Relationship Id="rId62" Type="http://schemas.openxmlformats.org/officeDocument/2006/relationships/footer" Target="footer7.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 Type="http://schemas.openxmlformats.org/officeDocument/2006/relationships/hyperlink" Target="https://www.itu.int/dms_pub/itu-d/opb/phcb/D-PHCB-CAP_BLD.03-2019-PDF-E.pdf" TargetMode="External"/><Relationship Id="rId12" Type="http://schemas.openxmlformats.org/officeDocument/2006/relationships/hyperlink" Target="https://www.gov.me/dokumenta/649059ca-2519-43ff-9df7-6ec32b44148b" TargetMode="External"/><Relationship Id="rId13" Type="http://schemas.openxmlformats.org/officeDocument/2006/relationships/hyperlink" Target="https://wapi.gov.me/download/d727eb95-678f-4d44-96dc-116a65d1ad99?version=1.0" TargetMode="External"/><Relationship Id="rId14" Type="http://schemas.openxmlformats.org/officeDocument/2006/relationships/hyperlink" Target="http://www.sluzbenilist.me/pregled-dokumenta-2/?id=%7b5580F3CE-BB54-46F0-9CFC-46ED5D5A7B58%7d" TargetMode="External"/><Relationship Id="rId15" Type="http://schemas.openxmlformats.org/officeDocument/2006/relationships/hyperlink" Target="https://publicadministration.un.org/egovkb/en-us/Data/Country-Information/id/114-Montenegro" TargetMode="External"/><Relationship Id="rId16" Type="http://schemas.openxmlformats.org/officeDocument/2006/relationships/hyperlink" Target="http://hdr.undp.org/en/content/national-human-development-report-2020-montenegro" TargetMode="External"/><Relationship Id="rId1" Type="http://schemas.openxmlformats.org/officeDocument/2006/relationships/hyperlink" Target="https://ec.europa.eu/info/strategy/priorities-2019-2024/europe-fit-digital-age/europes-digital-decade-digital-targets-2030_en" TargetMode="External"/><Relationship Id="rId2" Type="http://schemas.openxmlformats.org/officeDocument/2006/relationships/hyperlink" Target="https://ec.europa.eu/info/strategy/priorities-2019-2024/europe-fit-digital-age/european-data-strategy_en" TargetMode="External"/><Relationship Id="rId3" Type="http://schemas.openxmlformats.org/officeDocument/2006/relationships/hyperlink" Target="https://ec.europa.eu/social/main.jsp?catId=1223" TargetMode="External"/><Relationship Id="rId4" Type="http://schemas.openxmlformats.org/officeDocument/2006/relationships/hyperlink" Target="https://ec.europa.eu/education/education-in-the-eu/digital-education-action-plan_en" TargetMode="External"/><Relationship Id="rId5" Type="http://schemas.openxmlformats.org/officeDocument/2006/relationships/hyperlink" Target="https://www.monstat.org/userfiles/file/ICT/2019/Upotreba%20IKT%20u%20domacinstvima%202019_Final.pdf" TargetMode="External"/><Relationship Id="rId6" Type="http://schemas.openxmlformats.org/officeDocument/2006/relationships/hyperlink" Target="https://www.gov.me/dokumenta/fa24a8c6-2241-4d6f-9297-328636b157e5" TargetMode="External"/><Relationship Id="rId7" Type="http://schemas.openxmlformats.org/officeDocument/2006/relationships/hyperlink" Target="https://www.euprava.me/ResourceManager/FileDownload.aspx?rId=85&amp;rType=2" TargetMode="External"/><Relationship Id="rId8" Type="http://schemas.openxmlformats.org/officeDocument/2006/relationships/hyperlink" Target="https://buducnostzasve.me/" TargetMode="External"/><Relationship Id="rId9" Type="http://schemas.openxmlformats.org/officeDocument/2006/relationships/hyperlink" Target="https://files.cargocollective.com/c953148/NHDR-2020-CG.pdf" TargetMode="External"/><Relationship Id="rId10" Type="http://schemas.openxmlformats.org/officeDocument/2006/relationships/hyperlink" Target="https://joinup.ec.europa.eu/sites/default/files/inline-files/OSS%20Country%20Intelligence%20Report_MO.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8CF872-0711-934E-8025-B28FFE5B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124</Pages>
  <Words>64936</Words>
  <Characters>370138</Characters>
  <Application>Microsoft Macintosh Word</Application>
  <DocSecurity>0</DocSecurity>
  <Lines>3084</Lines>
  <Paragraphs>868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Milica Vucinic</dc:creator>
  <cp:lastModifiedBy>Vujica Lazovic</cp:lastModifiedBy>
  <cp:revision>2</cp:revision>
  <dcterms:created xsi:type="dcterms:W3CDTF">2023-07-17T13:42:00Z</dcterms:created>
  <dcterms:modified xsi:type="dcterms:W3CDTF">2023-07-17T13:42:00Z</dcterms:modified>
</cp:coreProperties>
</file>