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Vuk </w:t>
      </w:r>
      <w:proofErr w:type="spellStart"/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Kankaraš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D528F2" w:rsidRPr="00D528F2">
        <w:rPr>
          <w:rFonts w:ascii="Arial" w:hAnsi="Arial" w:cs="Arial"/>
          <w:b/>
        </w:rPr>
        <w:t xml:space="preserve"> </w:t>
      </w:r>
      <w:r w:rsidR="00D528F2" w:rsidRPr="00D528F2">
        <w:rPr>
          <w:rFonts w:ascii="Arial" w:hAnsi="Arial" w:cs="Arial"/>
          <w:sz w:val="25"/>
          <w:szCs w:val="25"/>
        </w:rPr>
        <w:t>Analiza implementacije modela zakonske regulative u oblasti investicionih internet platformi na primjeru Crne Gore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43FF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743FFB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D528F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Vujošević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2023-03-27T06:55:00Z</dcterms:created>
  <dcterms:modified xsi:type="dcterms:W3CDTF">2023-03-27T06:55:00Z</dcterms:modified>
</cp:coreProperties>
</file>