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Teodora </w:t>
      </w:r>
      <w:proofErr w:type="spellStart"/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Vidović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F3C04" w:rsidRPr="00FF3C04">
        <w:rPr>
          <w:rFonts w:ascii="Arial" w:hAnsi="Arial" w:cs="Arial"/>
          <w:sz w:val="25"/>
          <w:szCs w:val="25"/>
        </w:rPr>
        <w:t xml:space="preserve"> </w:t>
      </w:r>
      <w:r w:rsidR="00FF3C04" w:rsidRPr="00FF3C04">
        <w:rPr>
          <w:rFonts w:ascii="Arial" w:hAnsi="Arial" w:cs="Arial"/>
          <w:sz w:val="25"/>
          <w:szCs w:val="25"/>
        </w:rPr>
        <w:t>Upravljanje javnim dugom kao faktor ostvarenja makroekonomske stabilnosti u zemljama Zapadnog Balkana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902C5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Konatar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Damir </w:t>
      </w:r>
      <w:proofErr w:type="spellStart"/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Šehović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2024-01-09T13:37:00Z</dcterms:created>
  <dcterms:modified xsi:type="dcterms:W3CDTF">2024-01-09T13:37:00Z</dcterms:modified>
</cp:coreProperties>
</file>