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B7C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6B7CBF">
        <w:rPr>
          <w:rFonts w:ascii="Arial" w:eastAsia="Times New Roman" w:hAnsi="Arial" w:cs="Arial"/>
          <w:color w:val="434A52"/>
          <w:sz w:val="25"/>
          <w:szCs w:val="25"/>
          <w:lang w:val="en-US"/>
        </w:rPr>
        <w:t>Banićević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D6CC5" w:rsidRPr="006B7CBF">
        <w:rPr>
          <w:rFonts w:ascii="Arial" w:hAnsi="Arial" w:cs="Arial"/>
          <w:b/>
          <w:sz w:val="25"/>
          <w:szCs w:val="25"/>
        </w:rPr>
        <w:t xml:space="preserve"> </w:t>
      </w:r>
      <w:r w:rsidR="006B7CBF" w:rsidRPr="006B7CBF">
        <w:rPr>
          <w:rFonts w:ascii="Arial" w:hAnsi="Arial" w:cs="Arial"/>
          <w:b/>
          <w:sz w:val="25"/>
          <w:szCs w:val="25"/>
        </w:rPr>
        <w:t>Uloga lidera u procesu reinženjeringa poslovnih procesa u savremenim uslovima poslovanja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B7C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6B7C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B7CB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Lojpur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B7CBF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B7CBF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F43C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B7CBF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2024-02-07T09:53:00Z</dcterms:created>
  <dcterms:modified xsi:type="dcterms:W3CDTF">2024-02-07T09:53:00Z</dcterms:modified>
</cp:coreProperties>
</file>