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Dejan </w:t>
      </w:r>
      <w:proofErr w:type="spellStart"/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Martinović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7723AC" w:rsidRPr="007723AC">
        <w:rPr>
          <w:rFonts w:ascii="Arial" w:hAnsi="Arial" w:cs="Arial"/>
          <w:b/>
          <w:sz w:val="25"/>
          <w:szCs w:val="25"/>
        </w:rPr>
        <w:t xml:space="preserve"> </w:t>
      </w:r>
      <w:r w:rsidR="007723AC" w:rsidRPr="007723AC">
        <w:rPr>
          <w:rFonts w:ascii="Arial" w:hAnsi="Arial" w:cs="Arial"/>
          <w:b/>
          <w:sz w:val="25"/>
          <w:szCs w:val="25"/>
        </w:rPr>
        <w:t>Potencijali rasta proizvodnje električne energije iz obnovljivih izvora energije u Crnoj Gori na primjeru energetskog bilansa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Muhadinović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28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723AC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23AC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2024-05-16T08:32:00Z</dcterms:created>
  <dcterms:modified xsi:type="dcterms:W3CDTF">2024-05-16T08:32:00Z</dcterms:modified>
</cp:coreProperties>
</file>