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Boričić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1528F" w:rsidRPr="0011528F">
        <w:rPr>
          <w:rFonts w:ascii="Arial" w:hAnsi="Arial" w:cs="Arial"/>
          <w:b/>
          <w:sz w:val="25"/>
          <w:szCs w:val="25"/>
        </w:rPr>
        <w:t xml:space="preserve"> </w:t>
      </w:r>
      <w:r w:rsidR="0011528F" w:rsidRPr="0011528F">
        <w:rPr>
          <w:rFonts w:ascii="Arial" w:hAnsi="Arial" w:cs="Arial"/>
          <w:b/>
          <w:sz w:val="25"/>
          <w:szCs w:val="25"/>
        </w:rPr>
        <w:t>Analiza mjere uticaja identifikovanih faktora na nivo društveno odgovornog poslovanja u revizorskim društvima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15672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Doc.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1528F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2024-06-12T11:54:00Z</dcterms:created>
  <dcterms:modified xsi:type="dcterms:W3CDTF">2024-06-12T11:54:00Z</dcterms:modified>
</cp:coreProperties>
</file>