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Lazar </w:t>
      </w:r>
      <w:proofErr w:type="spellStart"/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Gogić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72E94" w:rsidRPr="00072E94">
        <w:rPr>
          <w:rFonts w:ascii="Arial" w:hAnsi="Arial" w:cs="Arial"/>
          <w:b/>
        </w:rPr>
        <w:t xml:space="preserve"> </w:t>
      </w:r>
      <w:r w:rsidR="00072E94" w:rsidRPr="00072E94">
        <w:rPr>
          <w:rFonts w:ascii="Arial" w:hAnsi="Arial" w:cs="Arial"/>
          <w:b/>
          <w:sz w:val="25"/>
          <w:szCs w:val="25"/>
        </w:rPr>
        <w:t>Uticaj necarinskih barijera na spoljnotrgovinski režim Crne Gore u procesu pristupanja Evropskoj uniji</w:t>
      </w:r>
      <w:bookmarkStart w:id="0" w:name="_GoBack"/>
      <w:bookmarkEnd w:id="0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1142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Predrag</w:t>
      </w:r>
      <w:proofErr w:type="spellEnd"/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Bjelić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072E9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072E94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23AC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2024-07-08T08:14:00Z</dcterms:created>
  <dcterms:modified xsi:type="dcterms:W3CDTF">2024-07-08T08:14:00Z</dcterms:modified>
</cp:coreProperties>
</file>