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Ilija </w:t>
      </w:r>
      <w:proofErr w:type="spellStart"/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>Vučković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D4F73" w:rsidRPr="005D4F73">
        <w:rPr>
          <w:rFonts w:ascii="Arial" w:hAnsi="Arial" w:cs="Arial"/>
          <w:b/>
          <w:sz w:val="25"/>
          <w:szCs w:val="25"/>
        </w:rPr>
        <w:t xml:space="preserve"> </w:t>
      </w:r>
      <w:r w:rsidR="005D4F73" w:rsidRPr="005D4F73">
        <w:rPr>
          <w:rFonts w:ascii="Arial" w:hAnsi="Arial" w:cs="Arial"/>
          <w:b/>
          <w:sz w:val="25"/>
          <w:szCs w:val="25"/>
        </w:rPr>
        <w:t>Upravljanje izloženošću velikih kreditnih plasmana na primjeru crnogorske banke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D4F73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5D4F73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072E94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4F73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23AC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2024-09-05T08:52:00Z</dcterms:created>
  <dcterms:modified xsi:type="dcterms:W3CDTF">2024-09-05T08:52:00Z</dcterms:modified>
</cp:coreProperties>
</file>