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Filip Vujošević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6D0663" w:rsidRPr="006D0663">
        <w:rPr>
          <w:rFonts w:ascii="Arial" w:hAnsi="Arial" w:cs="Arial"/>
          <w:b/>
          <w:sz w:val="25"/>
          <w:szCs w:val="25"/>
        </w:rPr>
        <w:t xml:space="preserve"> </w:t>
      </w:r>
      <w:r w:rsidR="006D0663" w:rsidRPr="006D0663">
        <w:rPr>
          <w:rFonts w:ascii="Arial" w:hAnsi="Arial" w:cs="Arial"/>
          <w:b/>
          <w:sz w:val="25"/>
          <w:szCs w:val="25"/>
        </w:rPr>
        <w:t>Uspostavljanje Fiskalnog savjeta u Crnoj Gori u cilju jačanja fiskalne stabilnosti i odgovornosti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6D066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Damir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Šehović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401B4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D0663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85C9D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0663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2024-11-27T12:30:00Z</dcterms:created>
  <dcterms:modified xsi:type="dcterms:W3CDTF">2024-11-27T12:30:00Z</dcterms:modified>
</cp:coreProperties>
</file>