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Anes Murić</w:t>
      </w:r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5F2C53" w:rsidRPr="005F2C53">
        <w:rPr>
          <w:rFonts w:ascii="Arial" w:hAnsi="Arial" w:cs="Arial"/>
          <w:b/>
          <w:sz w:val="25"/>
          <w:szCs w:val="25"/>
        </w:rPr>
        <w:t xml:space="preserve"> </w:t>
      </w:r>
      <w:r w:rsidR="005F2C53" w:rsidRPr="005F2C53">
        <w:rPr>
          <w:rFonts w:ascii="Arial" w:hAnsi="Arial" w:cs="Arial"/>
          <w:b/>
          <w:sz w:val="25"/>
          <w:szCs w:val="25"/>
        </w:rPr>
        <w:t>Primjena mašinskog učenja za modeliranje analize sentimenta u hotelskim recenzijama: rješenje problema nebalansiranosti klasa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5F2C53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Vujošević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401B49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Ljiljana</w:t>
      </w:r>
      <w:proofErr w:type="spellEnd"/>
      <w:r w:rsid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Kašćelan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5F2C53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13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6D0663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5F2C53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4F6FEF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85C9D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2C53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0663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2024-12-10T10:45:00Z</dcterms:created>
  <dcterms:modified xsi:type="dcterms:W3CDTF">2024-12-10T10:45:00Z</dcterms:modified>
</cp:coreProperties>
</file>