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Marta </w:t>
      </w:r>
      <w:proofErr w:type="spellStart"/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Radenović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A53FCC" w:rsidRPr="00A53FCC">
        <w:rPr>
          <w:rFonts w:ascii="Arial" w:hAnsi="Arial" w:cs="Arial"/>
          <w:b/>
          <w:sz w:val="25"/>
          <w:szCs w:val="25"/>
        </w:rPr>
        <w:t xml:space="preserve"> </w:t>
      </w:r>
      <w:r w:rsidR="00A53FCC" w:rsidRPr="00A53FCC">
        <w:rPr>
          <w:rFonts w:ascii="Arial" w:hAnsi="Arial" w:cs="Arial"/>
          <w:b/>
          <w:sz w:val="25"/>
          <w:szCs w:val="25"/>
        </w:rPr>
        <w:t>Geopolitika investicija u infrastrukturu-kineska versus evropskoj diplomatiji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Danijela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Jaćimović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A53FCC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2025-03-07T08:54:00Z</dcterms:created>
  <dcterms:modified xsi:type="dcterms:W3CDTF">2025-03-07T08:54:00Z</dcterms:modified>
</cp:coreProperties>
</file>