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Slađana</w:t>
      </w:r>
      <w:proofErr w:type="spellEnd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Jakšić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A31BE" w:rsidRPr="00FA31BE">
        <w:rPr>
          <w:rFonts w:ascii="Arial" w:hAnsi="Arial" w:cs="Arial"/>
          <w:b/>
          <w:sz w:val="25"/>
          <w:szCs w:val="25"/>
        </w:rPr>
        <w:t xml:space="preserve"> </w:t>
      </w:r>
      <w:r w:rsidR="00FA31BE" w:rsidRPr="00FA31BE">
        <w:rPr>
          <w:rFonts w:ascii="Arial" w:hAnsi="Arial" w:cs="Arial"/>
          <w:b/>
          <w:sz w:val="25"/>
          <w:szCs w:val="25"/>
        </w:rPr>
        <w:t>Analiza efekata digitalne transformacije poslovanja ostvarenih primenom TETRA Sistema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Vujica</w:t>
      </w:r>
      <w:proofErr w:type="spellEnd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Lazović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53FC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Vujošević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2025-04-18T08:11:00Z</dcterms:created>
  <dcterms:modified xsi:type="dcterms:W3CDTF">2025-04-18T08:11:00Z</dcterms:modified>
</cp:coreProperties>
</file>