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jc w:val="center"/>
        <w:tblLook w:val="01E0" w:firstRow="1" w:lastRow="1" w:firstColumn="1" w:lastColumn="1" w:noHBand="0" w:noVBand="0"/>
      </w:tblPr>
      <w:tblGrid>
        <w:gridCol w:w="3138"/>
        <w:gridCol w:w="1932"/>
        <w:gridCol w:w="1376"/>
        <w:gridCol w:w="1999"/>
        <w:gridCol w:w="1491"/>
      </w:tblGrid>
      <w:tr w:rsidR="00B2779D" w:rsidRPr="00843379" w:rsidTr="00AF6500">
        <w:trPr>
          <w:trHeight w:val="255"/>
          <w:jc w:val="center"/>
        </w:trPr>
        <w:tc>
          <w:tcPr>
            <w:tcW w:w="3138" w:type="dxa"/>
            <w:shd w:val="clear" w:color="auto" w:fill="652D89"/>
            <w:noWrap/>
          </w:tcPr>
          <w:p w:rsidR="00B2779D" w:rsidRPr="00843379" w:rsidRDefault="00B2779D" w:rsidP="00AF6500">
            <w:pPr>
              <w:pStyle w:val="TableTitleSerif"/>
              <w:rPr>
                <w:b w:val="0"/>
                <w:noProof/>
                <w:lang w:val="hr-HR" w:eastAsia="en-US"/>
              </w:rPr>
            </w:pPr>
            <w:bookmarkStart w:id="0" w:name="_GoBack"/>
            <w:bookmarkEnd w:id="0"/>
            <w:r w:rsidRPr="00843379">
              <w:rPr>
                <w:b w:val="0"/>
                <w:noProof/>
                <w:lang w:val="hr-HR" w:eastAsia="en-US"/>
              </w:rPr>
              <w:t xml:space="preserve">Obračun marginalnih troškova </w:t>
            </w:r>
          </w:p>
        </w:tc>
        <w:tc>
          <w:tcPr>
            <w:tcW w:w="1932" w:type="dxa"/>
            <w:shd w:val="clear" w:color="auto" w:fill="652D89"/>
          </w:tcPr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lang w:val="hr-HR" w:eastAsia="en-US"/>
              </w:rPr>
            </w:pPr>
          </w:p>
        </w:tc>
        <w:tc>
          <w:tcPr>
            <w:tcW w:w="1376" w:type="dxa"/>
            <w:shd w:val="clear" w:color="auto" w:fill="652D89"/>
          </w:tcPr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Period 1</w:t>
            </w:r>
          </w:p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£</w:t>
            </w:r>
          </w:p>
        </w:tc>
        <w:tc>
          <w:tcPr>
            <w:tcW w:w="1999" w:type="dxa"/>
            <w:shd w:val="clear" w:color="auto" w:fill="652D89"/>
          </w:tcPr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lang w:val="hr-HR" w:eastAsia="en-US"/>
              </w:rPr>
            </w:pPr>
          </w:p>
        </w:tc>
        <w:tc>
          <w:tcPr>
            <w:tcW w:w="1491" w:type="dxa"/>
            <w:shd w:val="clear" w:color="auto" w:fill="652D89"/>
          </w:tcPr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Period 2</w:t>
            </w:r>
          </w:p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£</w:t>
            </w:r>
          </w:p>
        </w:tc>
      </w:tr>
      <w:tr w:rsidR="00B2779D" w:rsidRPr="00843379" w:rsidTr="00AF6500">
        <w:trPr>
          <w:trHeight w:val="255"/>
          <w:jc w:val="center"/>
        </w:trPr>
        <w:tc>
          <w:tcPr>
            <w:tcW w:w="3138" w:type="dxa"/>
            <w:noWrap/>
          </w:tcPr>
          <w:p w:rsidR="00B2779D" w:rsidRPr="00843379" w:rsidRDefault="00B2779D" w:rsidP="00AF6500">
            <w:pPr>
              <w:pStyle w:val="TableTextSerif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 xml:space="preserve">Prodaja </w:t>
            </w:r>
          </w:p>
        </w:tc>
        <w:tc>
          <w:tcPr>
            <w:tcW w:w="1932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(8 000 x £8)</w:t>
            </w:r>
          </w:p>
        </w:tc>
        <w:tc>
          <w:tcPr>
            <w:tcW w:w="1376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64 000</w:t>
            </w:r>
          </w:p>
        </w:tc>
        <w:tc>
          <w:tcPr>
            <w:tcW w:w="1999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(12 000 x £8)</w:t>
            </w:r>
          </w:p>
        </w:tc>
        <w:tc>
          <w:tcPr>
            <w:tcW w:w="1491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96 000</w:t>
            </w:r>
          </w:p>
        </w:tc>
      </w:tr>
      <w:tr w:rsidR="00B2779D" w:rsidRPr="00843379" w:rsidTr="00AF6500">
        <w:trPr>
          <w:trHeight w:val="255"/>
          <w:jc w:val="center"/>
        </w:trPr>
        <w:tc>
          <w:tcPr>
            <w:tcW w:w="313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>Varijabili troškovi prodaje:</w:t>
            </w:r>
          </w:p>
        </w:tc>
        <w:tc>
          <w:tcPr>
            <w:tcW w:w="1932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376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999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91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</w:tr>
      <w:tr w:rsidR="00B2779D" w:rsidRPr="00843379" w:rsidTr="00AF6500">
        <w:trPr>
          <w:trHeight w:val="255"/>
          <w:jc w:val="center"/>
        </w:trPr>
        <w:tc>
          <w:tcPr>
            <w:tcW w:w="3138" w:type="dxa"/>
            <w:noWrap/>
          </w:tcPr>
          <w:p w:rsidR="00B2779D" w:rsidRPr="00843379" w:rsidRDefault="00B2779D" w:rsidP="00AF6500">
            <w:pPr>
              <w:pStyle w:val="TableTextSerif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Početno stanje zaliha</w:t>
            </w:r>
          </w:p>
        </w:tc>
        <w:tc>
          <w:tcPr>
            <w:tcW w:w="1932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376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-</w:t>
            </w:r>
          </w:p>
        </w:tc>
        <w:tc>
          <w:tcPr>
            <w:tcW w:w="1999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(2 000 x £4)</w:t>
            </w:r>
          </w:p>
        </w:tc>
        <w:tc>
          <w:tcPr>
            <w:tcW w:w="1491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(8 000)</w:t>
            </w:r>
          </w:p>
        </w:tc>
      </w:tr>
      <w:tr w:rsidR="00B2779D" w:rsidRPr="00843379" w:rsidTr="00AF6500">
        <w:trPr>
          <w:trHeight w:val="255"/>
          <w:jc w:val="center"/>
        </w:trPr>
        <w:tc>
          <w:tcPr>
            <w:tcW w:w="313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Proizvodnja</w:t>
            </w:r>
          </w:p>
        </w:tc>
        <w:tc>
          <w:tcPr>
            <w:tcW w:w="1932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(10 000 x £4)</w:t>
            </w:r>
          </w:p>
        </w:tc>
        <w:tc>
          <w:tcPr>
            <w:tcW w:w="1376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(40 000)</w:t>
            </w:r>
          </w:p>
        </w:tc>
        <w:tc>
          <w:tcPr>
            <w:tcW w:w="1999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(10 000 x £4)</w:t>
            </w:r>
          </w:p>
        </w:tc>
        <w:tc>
          <w:tcPr>
            <w:tcW w:w="1491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(40 000)</w:t>
            </w:r>
          </w:p>
        </w:tc>
      </w:tr>
      <w:tr w:rsidR="00B2779D" w:rsidRPr="00843379" w:rsidTr="00AF6500">
        <w:trPr>
          <w:trHeight w:val="255"/>
          <w:jc w:val="center"/>
        </w:trPr>
        <w:tc>
          <w:tcPr>
            <w:tcW w:w="3138" w:type="dxa"/>
            <w:noWrap/>
          </w:tcPr>
          <w:p w:rsidR="00B2779D" w:rsidRPr="00843379" w:rsidRDefault="00B2779D" w:rsidP="00AF6500">
            <w:pPr>
              <w:pStyle w:val="TableTextSerif"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Krajnje</w:t>
            </w:r>
            <w:r w:rsidRPr="00843379">
              <w:rPr>
                <w:noProof/>
                <w:lang w:val="hr-HR"/>
              </w:rPr>
              <w:t xml:space="preserve"> stanj</w:t>
            </w:r>
            <w:r>
              <w:rPr>
                <w:noProof/>
                <w:lang w:val="hr-HR"/>
              </w:rPr>
              <w:t>e</w:t>
            </w:r>
            <w:r w:rsidRPr="00843379">
              <w:rPr>
                <w:noProof/>
                <w:lang w:val="hr-HR"/>
              </w:rPr>
              <w:t xml:space="preserve"> zaliha </w:t>
            </w:r>
          </w:p>
        </w:tc>
        <w:tc>
          <w:tcPr>
            <w:tcW w:w="1932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(2 000 x £4)</w:t>
            </w:r>
          </w:p>
        </w:tc>
        <w:tc>
          <w:tcPr>
            <w:tcW w:w="1376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8 000</w:t>
            </w:r>
          </w:p>
        </w:tc>
        <w:tc>
          <w:tcPr>
            <w:tcW w:w="1999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91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-</w:t>
            </w:r>
          </w:p>
        </w:tc>
      </w:tr>
      <w:tr w:rsidR="00B2779D" w:rsidRPr="00843379" w:rsidTr="00AF6500">
        <w:trPr>
          <w:trHeight w:val="255"/>
          <w:jc w:val="center"/>
        </w:trPr>
        <w:tc>
          <w:tcPr>
            <w:tcW w:w="313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Ukupni varijabilni troškovi prodaje</w:t>
            </w:r>
          </w:p>
        </w:tc>
        <w:tc>
          <w:tcPr>
            <w:tcW w:w="1932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376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(32 000)</w:t>
            </w:r>
          </w:p>
        </w:tc>
        <w:tc>
          <w:tcPr>
            <w:tcW w:w="1999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91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(48 000)</w:t>
            </w:r>
          </w:p>
        </w:tc>
      </w:tr>
      <w:tr w:rsidR="00B2779D" w:rsidRPr="00843379" w:rsidTr="00AF6500">
        <w:trPr>
          <w:trHeight w:val="255"/>
          <w:jc w:val="center"/>
        </w:trPr>
        <w:tc>
          <w:tcPr>
            <w:tcW w:w="3138" w:type="dxa"/>
            <w:noWrap/>
          </w:tcPr>
          <w:p w:rsidR="00B2779D" w:rsidRPr="00843379" w:rsidRDefault="00B2779D" w:rsidP="00AF6500">
            <w:pPr>
              <w:pStyle w:val="TableTextSerif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 xml:space="preserve">Doprinos </w:t>
            </w:r>
          </w:p>
        </w:tc>
        <w:tc>
          <w:tcPr>
            <w:tcW w:w="1932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</w:p>
        </w:tc>
        <w:tc>
          <w:tcPr>
            <w:tcW w:w="1376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>32 000</w:t>
            </w:r>
          </w:p>
        </w:tc>
        <w:tc>
          <w:tcPr>
            <w:tcW w:w="1999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</w:p>
        </w:tc>
        <w:tc>
          <w:tcPr>
            <w:tcW w:w="1491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>48 000</w:t>
            </w:r>
          </w:p>
        </w:tc>
      </w:tr>
      <w:tr w:rsidR="00B2779D" w:rsidRPr="00843379" w:rsidTr="00AF6500">
        <w:trPr>
          <w:trHeight w:val="255"/>
          <w:jc w:val="center"/>
        </w:trPr>
        <w:tc>
          <w:tcPr>
            <w:tcW w:w="313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Fiksni troškovi*</w:t>
            </w:r>
          </w:p>
        </w:tc>
        <w:tc>
          <w:tcPr>
            <w:tcW w:w="1932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376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(20 000)</w:t>
            </w:r>
          </w:p>
        </w:tc>
        <w:tc>
          <w:tcPr>
            <w:tcW w:w="1999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91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(20 000)</w:t>
            </w:r>
          </w:p>
        </w:tc>
      </w:tr>
      <w:tr w:rsidR="00B2779D" w:rsidRPr="00843379" w:rsidTr="00AF6500">
        <w:trPr>
          <w:trHeight w:val="270"/>
          <w:jc w:val="center"/>
        </w:trPr>
        <w:tc>
          <w:tcPr>
            <w:tcW w:w="3138" w:type="dxa"/>
            <w:noWrap/>
          </w:tcPr>
          <w:p w:rsidR="00B2779D" w:rsidRPr="00843379" w:rsidRDefault="00B2779D" w:rsidP="00AF6500">
            <w:pPr>
              <w:pStyle w:val="TableTextSerif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Dobit</w:t>
            </w:r>
            <w:r w:rsidRPr="00843379">
              <w:rPr>
                <w:b/>
                <w:noProof/>
                <w:lang w:val="hr-HR"/>
              </w:rPr>
              <w:t>/(gubitak)</w:t>
            </w:r>
          </w:p>
        </w:tc>
        <w:tc>
          <w:tcPr>
            <w:tcW w:w="1932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</w:p>
        </w:tc>
        <w:tc>
          <w:tcPr>
            <w:tcW w:w="1376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>12 000</w:t>
            </w:r>
          </w:p>
        </w:tc>
        <w:tc>
          <w:tcPr>
            <w:tcW w:w="1999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</w:p>
        </w:tc>
        <w:tc>
          <w:tcPr>
            <w:tcW w:w="1491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>28 000</w:t>
            </w:r>
          </w:p>
        </w:tc>
      </w:tr>
    </w:tbl>
    <w:p w:rsidR="00B2779D" w:rsidRPr="00843379" w:rsidRDefault="00B2779D" w:rsidP="00B2779D">
      <w:pPr>
        <w:pStyle w:val="BodyText"/>
        <w:spacing w:before="120"/>
        <w:rPr>
          <w:noProof/>
          <w:lang w:val="hr-HR"/>
        </w:rPr>
      </w:pPr>
      <w:r>
        <w:rPr>
          <w:noProof/>
          <w:lang w:val="hr-HR"/>
        </w:rPr>
        <w:t>Stopa apsorpcije opštih troškova</w:t>
      </w:r>
      <w:r w:rsidRPr="00843379">
        <w:rPr>
          <w:noProof/>
          <w:lang w:val="hr-HR"/>
        </w:rPr>
        <w:t xml:space="preserve"> je £2/jedinica. Budžetirana proizvodnja je 10 000 jedinica. Shodno tome, budžetirani opšti fiksni troškovi moraju biti £20 000.</w:t>
      </w:r>
    </w:p>
    <w:tbl>
      <w:tblPr>
        <w:tblW w:w="8982" w:type="dxa"/>
        <w:tblLook w:val="01E0" w:firstRow="1" w:lastRow="1" w:firstColumn="1" w:lastColumn="1" w:noHBand="0" w:noVBand="0"/>
      </w:tblPr>
      <w:tblGrid>
        <w:gridCol w:w="2207"/>
        <w:gridCol w:w="1904"/>
        <w:gridCol w:w="1428"/>
        <w:gridCol w:w="2015"/>
        <w:gridCol w:w="1428"/>
      </w:tblGrid>
      <w:tr w:rsidR="00B2779D" w:rsidRPr="00843379" w:rsidTr="00AF6500">
        <w:trPr>
          <w:trHeight w:val="255"/>
        </w:trPr>
        <w:tc>
          <w:tcPr>
            <w:tcW w:w="2207" w:type="dxa"/>
            <w:shd w:val="clear" w:color="auto" w:fill="652D89"/>
            <w:noWrap/>
          </w:tcPr>
          <w:p w:rsidR="00B2779D" w:rsidRPr="00843379" w:rsidRDefault="00B2779D" w:rsidP="00AF6500">
            <w:pPr>
              <w:pStyle w:val="TableTitleSerif"/>
              <w:rPr>
                <w:b w:val="0"/>
                <w:noProof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Obračun apsorpcije troškova</w:t>
            </w:r>
          </w:p>
        </w:tc>
        <w:tc>
          <w:tcPr>
            <w:tcW w:w="1904" w:type="dxa"/>
            <w:shd w:val="clear" w:color="auto" w:fill="652D89"/>
          </w:tcPr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sz w:val="28"/>
                <w:szCs w:val="28"/>
                <w:lang w:val="hr-HR" w:eastAsia="en-US"/>
              </w:rPr>
            </w:pPr>
          </w:p>
        </w:tc>
        <w:tc>
          <w:tcPr>
            <w:tcW w:w="1428" w:type="dxa"/>
            <w:shd w:val="clear" w:color="auto" w:fill="652D89"/>
          </w:tcPr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Period 1</w:t>
            </w:r>
          </w:p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sz w:val="28"/>
                <w:szCs w:val="28"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£</w:t>
            </w:r>
          </w:p>
        </w:tc>
        <w:tc>
          <w:tcPr>
            <w:tcW w:w="2015" w:type="dxa"/>
            <w:shd w:val="clear" w:color="auto" w:fill="652D89"/>
          </w:tcPr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sz w:val="28"/>
                <w:szCs w:val="28"/>
                <w:lang w:val="hr-HR" w:eastAsia="en-US"/>
              </w:rPr>
            </w:pPr>
          </w:p>
        </w:tc>
        <w:tc>
          <w:tcPr>
            <w:tcW w:w="1428" w:type="dxa"/>
            <w:shd w:val="clear" w:color="auto" w:fill="652D89"/>
          </w:tcPr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Period 2</w:t>
            </w:r>
          </w:p>
          <w:p w:rsidR="00B2779D" w:rsidRPr="00843379" w:rsidRDefault="00B2779D" w:rsidP="00AF6500">
            <w:pPr>
              <w:pStyle w:val="TableTitleSerif"/>
              <w:jc w:val="center"/>
              <w:rPr>
                <w:b w:val="0"/>
                <w:noProof/>
                <w:sz w:val="28"/>
                <w:szCs w:val="28"/>
                <w:lang w:val="hr-HR" w:eastAsia="en-US"/>
              </w:rPr>
            </w:pPr>
            <w:r w:rsidRPr="00843379">
              <w:rPr>
                <w:b w:val="0"/>
                <w:noProof/>
                <w:lang w:val="hr-HR" w:eastAsia="en-US"/>
              </w:rPr>
              <w:t>£</w:t>
            </w:r>
          </w:p>
        </w:tc>
      </w:tr>
      <w:tr w:rsidR="00B2779D" w:rsidRPr="00843379" w:rsidTr="00AF6500">
        <w:trPr>
          <w:trHeight w:val="255"/>
        </w:trPr>
        <w:tc>
          <w:tcPr>
            <w:tcW w:w="2207" w:type="dxa"/>
            <w:noWrap/>
          </w:tcPr>
          <w:p w:rsidR="00B2779D" w:rsidRPr="00843379" w:rsidRDefault="00B2779D" w:rsidP="00AF6500">
            <w:pPr>
              <w:pStyle w:val="TableTextSerif"/>
              <w:keepNext w:val="0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 xml:space="preserve">Prodaja </w:t>
            </w:r>
          </w:p>
        </w:tc>
        <w:tc>
          <w:tcPr>
            <w:tcW w:w="1904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(8 000 × £8)</w:t>
            </w:r>
          </w:p>
        </w:tc>
        <w:tc>
          <w:tcPr>
            <w:tcW w:w="1428" w:type="dxa"/>
            <w:noWrap/>
          </w:tcPr>
          <w:p w:rsidR="00B2779D" w:rsidRPr="00843379" w:rsidRDefault="00B2779D" w:rsidP="00AF6500">
            <w:pPr>
              <w:pStyle w:val="TableTextSerif"/>
              <w:ind w:right="108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64 000</w:t>
            </w:r>
          </w:p>
        </w:tc>
        <w:tc>
          <w:tcPr>
            <w:tcW w:w="2015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(12 000 × £8)</w:t>
            </w:r>
          </w:p>
        </w:tc>
        <w:tc>
          <w:tcPr>
            <w:tcW w:w="1428" w:type="dxa"/>
            <w:noWrap/>
          </w:tcPr>
          <w:p w:rsidR="00B2779D" w:rsidRPr="00843379" w:rsidRDefault="00B2779D" w:rsidP="00AF6500">
            <w:pPr>
              <w:pStyle w:val="TableTextSerif"/>
              <w:ind w:right="108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96 000</w:t>
            </w:r>
          </w:p>
        </w:tc>
      </w:tr>
      <w:tr w:rsidR="00B2779D" w:rsidRPr="00843379" w:rsidTr="00AF6500">
        <w:trPr>
          <w:trHeight w:val="255"/>
        </w:trPr>
        <w:tc>
          <w:tcPr>
            <w:tcW w:w="2207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keepNext w:val="0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>Troškovi prodaje:</w:t>
            </w:r>
          </w:p>
        </w:tc>
        <w:tc>
          <w:tcPr>
            <w:tcW w:w="1904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2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2015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2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</w:tr>
      <w:tr w:rsidR="00B2779D" w:rsidRPr="00843379" w:rsidTr="00AF6500">
        <w:trPr>
          <w:trHeight w:val="255"/>
        </w:trPr>
        <w:tc>
          <w:tcPr>
            <w:tcW w:w="2207" w:type="dxa"/>
            <w:noWrap/>
          </w:tcPr>
          <w:p w:rsidR="00B2779D" w:rsidRPr="00843379" w:rsidRDefault="00B2779D" w:rsidP="00AF6500">
            <w:pPr>
              <w:pStyle w:val="TableTextSerif"/>
              <w:keepNext w:val="0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 xml:space="preserve">Početno stanje zaliha </w:t>
            </w:r>
          </w:p>
        </w:tc>
        <w:tc>
          <w:tcPr>
            <w:tcW w:w="1904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28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–</w:t>
            </w:r>
          </w:p>
        </w:tc>
        <w:tc>
          <w:tcPr>
            <w:tcW w:w="2015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(2 000 × £6)</w:t>
            </w:r>
          </w:p>
        </w:tc>
        <w:tc>
          <w:tcPr>
            <w:tcW w:w="1428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(12 000)</w:t>
            </w:r>
          </w:p>
        </w:tc>
      </w:tr>
      <w:tr w:rsidR="00B2779D" w:rsidRPr="00843379" w:rsidTr="00AF6500">
        <w:trPr>
          <w:trHeight w:val="255"/>
        </w:trPr>
        <w:tc>
          <w:tcPr>
            <w:tcW w:w="2207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keepNext w:val="0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Proizvodnja</w:t>
            </w:r>
          </w:p>
        </w:tc>
        <w:tc>
          <w:tcPr>
            <w:tcW w:w="1904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ind w:left="-222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(10 000 × £6)</w:t>
            </w:r>
          </w:p>
        </w:tc>
        <w:tc>
          <w:tcPr>
            <w:tcW w:w="142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(60 000)</w:t>
            </w:r>
          </w:p>
        </w:tc>
        <w:tc>
          <w:tcPr>
            <w:tcW w:w="2015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(10 000 × £6)</w:t>
            </w:r>
          </w:p>
        </w:tc>
        <w:tc>
          <w:tcPr>
            <w:tcW w:w="142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(60 000)</w:t>
            </w:r>
          </w:p>
        </w:tc>
      </w:tr>
      <w:tr w:rsidR="00B2779D" w:rsidRPr="00843379" w:rsidTr="00AF6500">
        <w:trPr>
          <w:trHeight w:val="255"/>
        </w:trPr>
        <w:tc>
          <w:tcPr>
            <w:tcW w:w="2207" w:type="dxa"/>
            <w:noWrap/>
          </w:tcPr>
          <w:p w:rsidR="00B2779D" w:rsidRPr="00843379" w:rsidRDefault="00B2779D" w:rsidP="00AF6500">
            <w:pPr>
              <w:pStyle w:val="TableTextSerif"/>
              <w:keepNext w:val="0"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 xml:space="preserve">Krajnje </w:t>
            </w:r>
            <w:r w:rsidRPr="00843379">
              <w:rPr>
                <w:noProof/>
                <w:lang w:val="hr-HR"/>
              </w:rPr>
              <w:t>stanj</w:t>
            </w:r>
            <w:r>
              <w:rPr>
                <w:noProof/>
                <w:lang w:val="hr-HR"/>
              </w:rPr>
              <w:t>e</w:t>
            </w:r>
            <w:r w:rsidRPr="00843379">
              <w:rPr>
                <w:noProof/>
                <w:lang w:val="hr-HR"/>
              </w:rPr>
              <w:t xml:space="preserve"> zaliha</w:t>
            </w:r>
          </w:p>
        </w:tc>
        <w:tc>
          <w:tcPr>
            <w:tcW w:w="1904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(2 000 × £6)</w:t>
            </w:r>
          </w:p>
        </w:tc>
        <w:tc>
          <w:tcPr>
            <w:tcW w:w="1428" w:type="dxa"/>
            <w:noWrap/>
          </w:tcPr>
          <w:p w:rsidR="00B2779D" w:rsidRPr="00843379" w:rsidRDefault="00B2779D" w:rsidP="00AF6500">
            <w:pPr>
              <w:pStyle w:val="TableTextSerif"/>
              <w:ind w:right="108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12 000</w:t>
            </w:r>
          </w:p>
        </w:tc>
        <w:tc>
          <w:tcPr>
            <w:tcW w:w="2015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28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–</w:t>
            </w:r>
          </w:p>
        </w:tc>
      </w:tr>
      <w:tr w:rsidR="00B2779D" w:rsidRPr="00843379" w:rsidTr="00AF6500">
        <w:trPr>
          <w:trHeight w:val="255"/>
        </w:trPr>
        <w:tc>
          <w:tcPr>
            <w:tcW w:w="2207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keepNext w:val="0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 xml:space="preserve">Ukupni troškovi prodaje </w:t>
            </w:r>
          </w:p>
        </w:tc>
        <w:tc>
          <w:tcPr>
            <w:tcW w:w="1904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2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(48 000)</w:t>
            </w:r>
          </w:p>
        </w:tc>
        <w:tc>
          <w:tcPr>
            <w:tcW w:w="2015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</w:p>
        </w:tc>
        <w:tc>
          <w:tcPr>
            <w:tcW w:w="1428" w:type="dxa"/>
            <w:shd w:val="clear" w:color="auto" w:fill="D9D9D9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noProof/>
                <w:lang w:val="hr-HR"/>
              </w:rPr>
            </w:pPr>
            <w:r w:rsidRPr="00843379">
              <w:rPr>
                <w:noProof/>
                <w:lang w:val="hr-HR"/>
              </w:rPr>
              <w:t>(72 000)</w:t>
            </w:r>
          </w:p>
        </w:tc>
      </w:tr>
      <w:tr w:rsidR="00B2779D" w:rsidRPr="00843379" w:rsidTr="00AF6500">
        <w:trPr>
          <w:trHeight w:val="270"/>
        </w:trPr>
        <w:tc>
          <w:tcPr>
            <w:tcW w:w="2207" w:type="dxa"/>
            <w:noWrap/>
          </w:tcPr>
          <w:p w:rsidR="00B2779D" w:rsidRPr="00843379" w:rsidRDefault="00B2779D" w:rsidP="00AF6500">
            <w:pPr>
              <w:pStyle w:val="TableTextSerif"/>
              <w:keepNext w:val="0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Dobit</w:t>
            </w:r>
            <w:r w:rsidRPr="00843379">
              <w:rPr>
                <w:b/>
                <w:noProof/>
                <w:lang w:val="hr-HR"/>
              </w:rPr>
              <w:t xml:space="preserve"> / (gubitak)</w:t>
            </w:r>
          </w:p>
        </w:tc>
        <w:tc>
          <w:tcPr>
            <w:tcW w:w="1904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</w:p>
        </w:tc>
        <w:tc>
          <w:tcPr>
            <w:tcW w:w="1428" w:type="dxa"/>
            <w:noWrap/>
          </w:tcPr>
          <w:p w:rsidR="00B2779D" w:rsidRPr="00843379" w:rsidRDefault="00B2779D" w:rsidP="00AF6500">
            <w:pPr>
              <w:pStyle w:val="TableTextSerif"/>
              <w:ind w:right="108"/>
              <w:jc w:val="right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>16</w:t>
            </w:r>
            <w:r w:rsidRPr="00843379">
              <w:rPr>
                <w:noProof/>
                <w:lang w:val="hr-HR"/>
              </w:rPr>
              <w:t> </w:t>
            </w:r>
            <w:r w:rsidRPr="00843379">
              <w:rPr>
                <w:b/>
                <w:noProof/>
                <w:lang w:val="hr-HR"/>
              </w:rPr>
              <w:t>000</w:t>
            </w:r>
          </w:p>
        </w:tc>
        <w:tc>
          <w:tcPr>
            <w:tcW w:w="2015" w:type="dxa"/>
            <w:noWrap/>
          </w:tcPr>
          <w:p w:rsidR="00B2779D" w:rsidRPr="00843379" w:rsidRDefault="00B2779D" w:rsidP="00AF6500">
            <w:pPr>
              <w:pStyle w:val="TableTextSerif"/>
              <w:jc w:val="right"/>
              <w:rPr>
                <w:b/>
                <w:noProof/>
                <w:lang w:val="hr-HR"/>
              </w:rPr>
            </w:pPr>
          </w:p>
        </w:tc>
        <w:tc>
          <w:tcPr>
            <w:tcW w:w="1428" w:type="dxa"/>
            <w:noWrap/>
          </w:tcPr>
          <w:p w:rsidR="00B2779D" w:rsidRPr="00843379" w:rsidRDefault="00B2779D" w:rsidP="00AF6500">
            <w:pPr>
              <w:pStyle w:val="TableTextSerif"/>
              <w:ind w:right="108"/>
              <w:jc w:val="right"/>
              <w:rPr>
                <w:b/>
                <w:noProof/>
                <w:lang w:val="hr-HR"/>
              </w:rPr>
            </w:pPr>
            <w:r w:rsidRPr="00843379">
              <w:rPr>
                <w:b/>
                <w:noProof/>
                <w:lang w:val="hr-HR"/>
              </w:rPr>
              <w:t>24 000</w:t>
            </w:r>
          </w:p>
        </w:tc>
      </w:tr>
    </w:tbl>
    <w:p w:rsidR="003D119D" w:rsidRDefault="003D119D"/>
    <w:sectPr w:rsidR="003D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9D"/>
    <w:rsid w:val="000F7945"/>
    <w:rsid w:val="003D119D"/>
    <w:rsid w:val="00B2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779D"/>
    <w:pPr>
      <w:spacing w:after="12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Serif">
    <w:name w:val="Table Title (Serif)"/>
    <w:basedOn w:val="Normal"/>
    <w:next w:val="TableTextSerif"/>
    <w:link w:val="TableTitleSerifChar"/>
    <w:rsid w:val="00B2779D"/>
    <w:pPr>
      <w:keepNext/>
      <w:keepLines/>
      <w:tabs>
        <w:tab w:val="left" w:pos="284"/>
      </w:tabs>
      <w:spacing w:before="80" w:after="80" w:line="280" w:lineRule="exact"/>
    </w:pPr>
    <w:rPr>
      <w:rFonts w:ascii="Verdana" w:eastAsia="Times New Roman" w:hAnsi="Verdana"/>
      <w:b/>
      <w:color w:val="FFFFFF"/>
      <w:sz w:val="24"/>
      <w:szCs w:val="24"/>
      <w:lang w:val="x-none" w:eastAsia="x-none"/>
    </w:rPr>
  </w:style>
  <w:style w:type="paragraph" w:customStyle="1" w:styleId="TableTextSerif">
    <w:name w:val="Table Text (Serif)"/>
    <w:basedOn w:val="Normal"/>
    <w:rsid w:val="00B2779D"/>
    <w:pPr>
      <w:keepNext/>
      <w:keepLines/>
      <w:spacing w:before="80" w:after="40" w:line="240" w:lineRule="auto"/>
    </w:pPr>
    <w:rPr>
      <w:rFonts w:ascii="Verdana" w:hAnsi="Verdana"/>
      <w:sz w:val="24"/>
      <w:szCs w:val="24"/>
    </w:rPr>
  </w:style>
  <w:style w:type="character" w:customStyle="1" w:styleId="TableTitleSerifChar">
    <w:name w:val="Table Title (Serif) Char"/>
    <w:link w:val="TableTitleSerif"/>
    <w:rsid w:val="00B2779D"/>
    <w:rPr>
      <w:rFonts w:ascii="Verdana" w:eastAsia="Times New Roman" w:hAnsi="Verdana" w:cs="Times New Roman"/>
      <w:b/>
      <w:color w:val="FFFFFF"/>
      <w:sz w:val="24"/>
      <w:szCs w:val="24"/>
      <w:lang w:val="x-none" w:eastAsia="x-none"/>
    </w:rPr>
  </w:style>
  <w:style w:type="paragraph" w:customStyle="1" w:styleId="BodyText">
    <w:name w:val="BodyText"/>
    <w:basedOn w:val="Normal"/>
    <w:rsid w:val="00B2779D"/>
    <w:rPr>
      <w:rFonts w:ascii="Verdana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779D"/>
    <w:pPr>
      <w:spacing w:after="12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Serif">
    <w:name w:val="Table Title (Serif)"/>
    <w:basedOn w:val="Normal"/>
    <w:next w:val="TableTextSerif"/>
    <w:link w:val="TableTitleSerifChar"/>
    <w:rsid w:val="00B2779D"/>
    <w:pPr>
      <w:keepNext/>
      <w:keepLines/>
      <w:tabs>
        <w:tab w:val="left" w:pos="284"/>
      </w:tabs>
      <w:spacing w:before="80" w:after="80" w:line="280" w:lineRule="exact"/>
    </w:pPr>
    <w:rPr>
      <w:rFonts w:ascii="Verdana" w:eastAsia="Times New Roman" w:hAnsi="Verdana"/>
      <w:b/>
      <w:color w:val="FFFFFF"/>
      <w:sz w:val="24"/>
      <w:szCs w:val="24"/>
      <w:lang w:val="x-none" w:eastAsia="x-none"/>
    </w:rPr>
  </w:style>
  <w:style w:type="paragraph" w:customStyle="1" w:styleId="TableTextSerif">
    <w:name w:val="Table Text (Serif)"/>
    <w:basedOn w:val="Normal"/>
    <w:rsid w:val="00B2779D"/>
    <w:pPr>
      <w:keepNext/>
      <w:keepLines/>
      <w:spacing w:before="80" w:after="40" w:line="240" w:lineRule="auto"/>
    </w:pPr>
    <w:rPr>
      <w:rFonts w:ascii="Verdana" w:hAnsi="Verdana"/>
      <w:sz w:val="24"/>
      <w:szCs w:val="24"/>
    </w:rPr>
  </w:style>
  <w:style w:type="character" w:customStyle="1" w:styleId="TableTitleSerifChar">
    <w:name w:val="Table Title (Serif) Char"/>
    <w:link w:val="TableTitleSerif"/>
    <w:rsid w:val="00B2779D"/>
    <w:rPr>
      <w:rFonts w:ascii="Verdana" w:eastAsia="Times New Roman" w:hAnsi="Verdana" w:cs="Times New Roman"/>
      <w:b/>
      <w:color w:val="FFFFFF"/>
      <w:sz w:val="24"/>
      <w:szCs w:val="24"/>
      <w:lang w:val="x-none" w:eastAsia="x-none"/>
    </w:rPr>
  </w:style>
  <w:style w:type="paragraph" w:customStyle="1" w:styleId="BodyText">
    <w:name w:val="BodyText"/>
    <w:basedOn w:val="Normal"/>
    <w:rsid w:val="00B2779D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2020-04-14T07:30:00Z</dcterms:created>
  <dcterms:modified xsi:type="dcterms:W3CDTF">2020-04-14T07:30:00Z</dcterms:modified>
</cp:coreProperties>
</file>