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6C" w:rsidRPr="00D4154E" w:rsidRDefault="00E20E1C" w:rsidP="00E20E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 za seminarski rad</w:t>
      </w:r>
    </w:p>
    <w:p w:rsidR="00FB326C" w:rsidRPr="00D4154E" w:rsidRDefault="00FB326C" w:rsidP="00FB326C">
      <w:p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Predmet: Etnicitet i etnički odnosi</w:t>
      </w:r>
    </w:p>
    <w:p w:rsidR="00FB326C" w:rsidRDefault="00FB326C" w:rsidP="00FB326C">
      <w:p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E1C" w:rsidRDefault="00E20E1C" w:rsidP="00FB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 Seminarski rad se radi samostalno. Pored teme je naznačen i planirani dan odbrane. Rad je potrebno poslati 24h prije odbrane na mail saradnika u nastavi.</w:t>
      </w:r>
    </w:p>
    <w:p w:rsidR="00E20E1C" w:rsidRPr="00D4154E" w:rsidRDefault="00E20E1C" w:rsidP="00FB326C">
      <w:pPr>
        <w:rPr>
          <w:rFonts w:ascii="Times New Roman" w:hAnsi="Times New Roman" w:cs="Times New Roman"/>
          <w:sz w:val="24"/>
          <w:szCs w:val="24"/>
        </w:rPr>
      </w:pP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Marksizam i etnicitet</w:t>
      </w:r>
      <w:r w:rsidR="00007EA1">
        <w:rPr>
          <w:rFonts w:ascii="Times New Roman" w:hAnsi="Times New Roman" w:cs="Times New Roman"/>
          <w:sz w:val="24"/>
          <w:szCs w:val="24"/>
        </w:rPr>
        <w:t xml:space="preserve">  (10</w:t>
      </w:r>
      <w:r w:rsidR="00E20E1C">
        <w:rPr>
          <w:rFonts w:ascii="Times New Roman" w:hAnsi="Times New Roman" w:cs="Times New Roman"/>
          <w:sz w:val="24"/>
          <w:szCs w:val="24"/>
        </w:rPr>
        <w:t>. III)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Veberova teorija etniciteta</w:t>
      </w:r>
      <w:r w:rsidR="00007EA1">
        <w:rPr>
          <w:rFonts w:ascii="Times New Roman" w:hAnsi="Times New Roman" w:cs="Times New Roman"/>
          <w:sz w:val="24"/>
          <w:szCs w:val="24"/>
        </w:rPr>
        <w:t xml:space="preserve"> (10</w:t>
      </w:r>
      <w:r w:rsidR="00E20E1C">
        <w:rPr>
          <w:rFonts w:ascii="Times New Roman" w:hAnsi="Times New Roman" w:cs="Times New Roman"/>
          <w:sz w:val="24"/>
          <w:szCs w:val="24"/>
        </w:rPr>
        <w:t>. III)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Neomarksistička teorija i etnicitet i etnički odnosi</w:t>
      </w:r>
      <w:r w:rsidR="00007EA1">
        <w:rPr>
          <w:rFonts w:ascii="Times New Roman" w:hAnsi="Times New Roman" w:cs="Times New Roman"/>
          <w:sz w:val="24"/>
          <w:szCs w:val="24"/>
        </w:rPr>
        <w:t xml:space="preserve"> (10</w:t>
      </w:r>
      <w:r w:rsidR="00E20E1C">
        <w:rPr>
          <w:rFonts w:ascii="Times New Roman" w:hAnsi="Times New Roman" w:cs="Times New Roman"/>
          <w:sz w:val="24"/>
          <w:szCs w:val="24"/>
        </w:rPr>
        <w:t>. III)</w:t>
      </w:r>
    </w:p>
    <w:p w:rsidR="00677D87" w:rsidRPr="00D4154E" w:rsidRDefault="00677D87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Primordijalne teorije etniciteta</w:t>
      </w:r>
      <w:r w:rsidR="00007EA1">
        <w:rPr>
          <w:rFonts w:ascii="Times New Roman" w:hAnsi="Times New Roman" w:cs="Times New Roman"/>
          <w:sz w:val="24"/>
          <w:szCs w:val="24"/>
        </w:rPr>
        <w:t xml:space="preserve"> (10</w:t>
      </w:r>
      <w:r w:rsidR="00E20E1C">
        <w:rPr>
          <w:rFonts w:ascii="Times New Roman" w:hAnsi="Times New Roman" w:cs="Times New Roman"/>
          <w:sz w:val="24"/>
          <w:szCs w:val="24"/>
        </w:rPr>
        <w:t>. III)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Politike regulisanja etničkih sukoba</w:t>
      </w:r>
      <w:r w:rsidR="00E20E1C">
        <w:rPr>
          <w:rFonts w:ascii="Times New Roman" w:hAnsi="Times New Roman" w:cs="Times New Roman"/>
          <w:sz w:val="24"/>
          <w:szCs w:val="24"/>
        </w:rPr>
        <w:t xml:space="preserve"> (</w:t>
      </w:r>
      <w:r w:rsidR="00007EA1">
        <w:rPr>
          <w:rFonts w:ascii="Times New Roman" w:hAnsi="Times New Roman" w:cs="Times New Roman"/>
          <w:sz w:val="24"/>
          <w:szCs w:val="24"/>
        </w:rPr>
        <w:t>17. III</w:t>
      </w:r>
      <w:r w:rsidR="00E20E1C">
        <w:rPr>
          <w:rFonts w:ascii="Times New Roman" w:hAnsi="Times New Roman" w:cs="Times New Roman"/>
          <w:sz w:val="24"/>
          <w:szCs w:val="24"/>
        </w:rPr>
        <w:t>)</w:t>
      </w:r>
    </w:p>
    <w:p w:rsidR="00FB326C" w:rsidRPr="00007EA1" w:rsidRDefault="00FB326C" w:rsidP="00007E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Politike eliminisanja etničkih razlika</w:t>
      </w:r>
      <w:r w:rsidR="00007EA1">
        <w:rPr>
          <w:rFonts w:ascii="Times New Roman" w:hAnsi="Times New Roman" w:cs="Times New Roman"/>
          <w:sz w:val="24"/>
          <w:szCs w:val="24"/>
        </w:rPr>
        <w:t xml:space="preserve"> </w:t>
      </w:r>
      <w:r w:rsidR="00007EA1">
        <w:rPr>
          <w:rFonts w:ascii="Times New Roman" w:hAnsi="Times New Roman" w:cs="Times New Roman"/>
          <w:sz w:val="24"/>
          <w:szCs w:val="24"/>
        </w:rPr>
        <w:t>(17. III)</w:t>
      </w:r>
    </w:p>
    <w:p w:rsidR="00FB326C" w:rsidRPr="00007EA1" w:rsidRDefault="00FB326C" w:rsidP="00007E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Politike upravljanja etničkim razlikama</w:t>
      </w:r>
      <w:r w:rsidR="00E20E1C">
        <w:rPr>
          <w:rFonts w:ascii="Times New Roman" w:hAnsi="Times New Roman" w:cs="Times New Roman"/>
          <w:sz w:val="24"/>
          <w:szCs w:val="24"/>
        </w:rPr>
        <w:t xml:space="preserve"> </w:t>
      </w:r>
      <w:r w:rsidR="00007EA1">
        <w:rPr>
          <w:rFonts w:ascii="Times New Roman" w:hAnsi="Times New Roman" w:cs="Times New Roman"/>
          <w:sz w:val="24"/>
          <w:szCs w:val="24"/>
        </w:rPr>
        <w:t>(17. III)</w:t>
      </w:r>
    </w:p>
    <w:p w:rsidR="00FB326C" w:rsidRPr="00007EA1" w:rsidRDefault="00FB326C" w:rsidP="00007E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 xml:space="preserve">Prava manjina u pozitivnom međunarodnom pravu </w:t>
      </w:r>
      <w:r w:rsidR="00E20E1C">
        <w:rPr>
          <w:rFonts w:ascii="Times New Roman" w:hAnsi="Times New Roman" w:cs="Times New Roman"/>
          <w:sz w:val="24"/>
          <w:szCs w:val="24"/>
        </w:rPr>
        <w:t xml:space="preserve"> </w:t>
      </w:r>
      <w:r w:rsidR="00007EA1">
        <w:rPr>
          <w:rFonts w:ascii="Times New Roman" w:hAnsi="Times New Roman" w:cs="Times New Roman"/>
          <w:sz w:val="24"/>
          <w:szCs w:val="24"/>
        </w:rPr>
        <w:t>(17. III)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 xml:space="preserve"> Regulisanje etničkih odnosa – slučaj Južnog Tirola</w:t>
      </w:r>
      <w:r w:rsidR="00007EA1">
        <w:rPr>
          <w:rFonts w:ascii="Times New Roman" w:hAnsi="Times New Roman" w:cs="Times New Roman"/>
          <w:sz w:val="24"/>
          <w:szCs w:val="24"/>
        </w:rPr>
        <w:t xml:space="preserve">  (24</w:t>
      </w:r>
      <w:r w:rsidR="00E20E1C">
        <w:rPr>
          <w:rFonts w:ascii="Times New Roman" w:hAnsi="Times New Roman" w:cs="Times New Roman"/>
          <w:sz w:val="24"/>
          <w:szCs w:val="24"/>
        </w:rPr>
        <w:t>. III)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Španiji za vrijeme vladavine Franciska Franka</w:t>
      </w:r>
      <w:r w:rsidR="00E20E1C">
        <w:rPr>
          <w:rFonts w:ascii="Times New Roman" w:hAnsi="Times New Roman" w:cs="Times New Roman"/>
          <w:sz w:val="24"/>
          <w:szCs w:val="24"/>
        </w:rPr>
        <w:t>(</w:t>
      </w:r>
      <w:r w:rsidR="00007EA1">
        <w:rPr>
          <w:rFonts w:ascii="Times New Roman" w:hAnsi="Times New Roman" w:cs="Times New Roman"/>
          <w:sz w:val="24"/>
          <w:szCs w:val="24"/>
        </w:rPr>
        <w:t>24</w:t>
      </w:r>
      <w:r w:rsidR="00E20E1C">
        <w:rPr>
          <w:rFonts w:ascii="Times New Roman" w:hAnsi="Times New Roman" w:cs="Times New Roman"/>
          <w:sz w:val="24"/>
          <w:szCs w:val="24"/>
        </w:rPr>
        <w:t>. III)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Španiji nakon vladavine Franciska Franka</w:t>
      </w:r>
      <w:r w:rsidR="00E20E1C">
        <w:rPr>
          <w:rFonts w:ascii="Times New Roman" w:hAnsi="Times New Roman" w:cs="Times New Roman"/>
          <w:sz w:val="24"/>
          <w:szCs w:val="24"/>
        </w:rPr>
        <w:t>(</w:t>
      </w:r>
      <w:r w:rsidR="00007EA1">
        <w:rPr>
          <w:rFonts w:ascii="Times New Roman" w:hAnsi="Times New Roman" w:cs="Times New Roman"/>
          <w:sz w:val="24"/>
          <w:szCs w:val="24"/>
        </w:rPr>
        <w:t>24</w:t>
      </w:r>
      <w:r w:rsidR="00E20E1C">
        <w:rPr>
          <w:rFonts w:ascii="Times New Roman" w:hAnsi="Times New Roman" w:cs="Times New Roman"/>
          <w:sz w:val="24"/>
          <w:szCs w:val="24"/>
        </w:rPr>
        <w:t>. III)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Velikoj Britaniji: slučaj Velsa</w:t>
      </w:r>
      <w:r w:rsidR="00E20E1C">
        <w:rPr>
          <w:rFonts w:ascii="Times New Roman" w:hAnsi="Times New Roman" w:cs="Times New Roman"/>
          <w:sz w:val="24"/>
          <w:szCs w:val="24"/>
        </w:rPr>
        <w:t>(</w:t>
      </w:r>
      <w:r w:rsidR="00007EA1">
        <w:rPr>
          <w:rFonts w:ascii="Times New Roman" w:hAnsi="Times New Roman" w:cs="Times New Roman"/>
          <w:sz w:val="24"/>
          <w:szCs w:val="24"/>
        </w:rPr>
        <w:t>24</w:t>
      </w:r>
      <w:r w:rsidR="00E20E1C">
        <w:rPr>
          <w:rFonts w:ascii="Times New Roman" w:hAnsi="Times New Roman" w:cs="Times New Roman"/>
          <w:sz w:val="24"/>
          <w:szCs w:val="24"/>
        </w:rPr>
        <w:t>. III)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Velikoj Britaniji: slučaj Sjeverne Irske</w:t>
      </w:r>
      <w:r w:rsidR="00E20E1C">
        <w:rPr>
          <w:rFonts w:ascii="Times New Roman" w:hAnsi="Times New Roman" w:cs="Times New Roman"/>
          <w:sz w:val="24"/>
          <w:szCs w:val="24"/>
        </w:rPr>
        <w:t>(</w:t>
      </w:r>
      <w:r w:rsidR="00007EA1">
        <w:rPr>
          <w:rFonts w:ascii="Times New Roman" w:hAnsi="Times New Roman" w:cs="Times New Roman"/>
          <w:sz w:val="24"/>
          <w:szCs w:val="24"/>
        </w:rPr>
        <w:t>24</w:t>
      </w:r>
      <w:r w:rsidR="00E20E1C">
        <w:rPr>
          <w:rFonts w:ascii="Times New Roman" w:hAnsi="Times New Roman" w:cs="Times New Roman"/>
          <w:sz w:val="24"/>
          <w:szCs w:val="24"/>
        </w:rPr>
        <w:t>. III)</w:t>
      </w:r>
    </w:p>
    <w:p w:rsidR="00FB326C" w:rsidRPr="00D4154E" w:rsidRDefault="00FB326C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Velikoj Britaniji: slučaj Škotske</w:t>
      </w:r>
      <w:r w:rsidR="00E20E1C">
        <w:rPr>
          <w:rFonts w:ascii="Times New Roman" w:hAnsi="Times New Roman" w:cs="Times New Roman"/>
          <w:sz w:val="24"/>
          <w:szCs w:val="24"/>
        </w:rPr>
        <w:t>(</w:t>
      </w:r>
      <w:r w:rsidR="00007EA1">
        <w:rPr>
          <w:rFonts w:ascii="Times New Roman" w:hAnsi="Times New Roman" w:cs="Times New Roman"/>
          <w:sz w:val="24"/>
          <w:szCs w:val="24"/>
        </w:rPr>
        <w:t>31</w:t>
      </w:r>
      <w:r w:rsidR="00E20E1C">
        <w:rPr>
          <w:rFonts w:ascii="Times New Roman" w:hAnsi="Times New Roman" w:cs="Times New Roman"/>
          <w:sz w:val="24"/>
          <w:szCs w:val="24"/>
        </w:rPr>
        <w:t>. III)</w:t>
      </w:r>
    </w:p>
    <w:p w:rsidR="00F26329" w:rsidRPr="00D4154E" w:rsidRDefault="00F26329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Baski i njihov položaj u Španiji i Francuskoj: uporedna studija</w:t>
      </w:r>
      <w:r w:rsidR="00E20E1C">
        <w:rPr>
          <w:rFonts w:ascii="Times New Roman" w:hAnsi="Times New Roman" w:cs="Times New Roman"/>
          <w:sz w:val="24"/>
          <w:szCs w:val="24"/>
        </w:rPr>
        <w:t xml:space="preserve"> (</w:t>
      </w:r>
      <w:r w:rsidR="00007EA1">
        <w:rPr>
          <w:rFonts w:ascii="Times New Roman" w:hAnsi="Times New Roman" w:cs="Times New Roman"/>
          <w:sz w:val="24"/>
          <w:szCs w:val="24"/>
        </w:rPr>
        <w:t>31</w:t>
      </w:r>
      <w:r w:rsidR="00E20E1C">
        <w:rPr>
          <w:rFonts w:ascii="Times New Roman" w:hAnsi="Times New Roman" w:cs="Times New Roman"/>
          <w:sz w:val="24"/>
          <w:szCs w:val="24"/>
        </w:rPr>
        <w:t>. III)</w:t>
      </w:r>
    </w:p>
    <w:p w:rsidR="00FB326C" w:rsidRPr="00D4154E" w:rsidRDefault="00A153F6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Multikulturalizam u Kanadi i slučaj Kvebeka</w:t>
      </w:r>
      <w:r w:rsidR="00E20E1C">
        <w:rPr>
          <w:rFonts w:ascii="Times New Roman" w:hAnsi="Times New Roman" w:cs="Times New Roman"/>
          <w:sz w:val="24"/>
          <w:szCs w:val="24"/>
        </w:rPr>
        <w:t>(</w:t>
      </w:r>
      <w:r w:rsidR="00007EA1">
        <w:rPr>
          <w:rFonts w:ascii="Times New Roman" w:hAnsi="Times New Roman" w:cs="Times New Roman"/>
          <w:sz w:val="24"/>
          <w:szCs w:val="24"/>
        </w:rPr>
        <w:t>31</w:t>
      </w:r>
      <w:r w:rsidR="00E20E1C">
        <w:rPr>
          <w:rFonts w:ascii="Times New Roman" w:hAnsi="Times New Roman" w:cs="Times New Roman"/>
          <w:sz w:val="24"/>
          <w:szCs w:val="24"/>
        </w:rPr>
        <w:t>. III)</w:t>
      </w:r>
    </w:p>
    <w:p w:rsidR="00A153F6" w:rsidRPr="00D4154E" w:rsidRDefault="00A153F6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Slučaj Kipra u svijetlu odnosa grčke i turske zajednice na ostrvu</w:t>
      </w:r>
      <w:r w:rsidR="00E20E1C">
        <w:rPr>
          <w:rFonts w:ascii="Times New Roman" w:hAnsi="Times New Roman" w:cs="Times New Roman"/>
          <w:sz w:val="24"/>
          <w:szCs w:val="24"/>
        </w:rPr>
        <w:t>(</w:t>
      </w:r>
      <w:r w:rsidR="00007EA1">
        <w:rPr>
          <w:rFonts w:ascii="Times New Roman" w:hAnsi="Times New Roman" w:cs="Times New Roman"/>
          <w:sz w:val="24"/>
          <w:szCs w:val="24"/>
        </w:rPr>
        <w:t>31</w:t>
      </w:r>
      <w:r w:rsidR="00E20E1C">
        <w:rPr>
          <w:rFonts w:ascii="Times New Roman" w:hAnsi="Times New Roman" w:cs="Times New Roman"/>
          <w:sz w:val="24"/>
          <w:szCs w:val="24"/>
        </w:rPr>
        <w:t>. III)</w:t>
      </w:r>
    </w:p>
    <w:p w:rsidR="00A153F6" w:rsidRPr="00D4154E" w:rsidRDefault="00A153F6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Romi kao etnička zajednica</w:t>
      </w:r>
      <w:r w:rsidR="00007EA1">
        <w:rPr>
          <w:rFonts w:ascii="Times New Roman" w:hAnsi="Times New Roman" w:cs="Times New Roman"/>
          <w:sz w:val="24"/>
          <w:szCs w:val="24"/>
        </w:rPr>
        <w:t xml:space="preserve"> (07. IV</w:t>
      </w:r>
      <w:r w:rsidR="00E20E1C">
        <w:rPr>
          <w:rFonts w:ascii="Times New Roman" w:hAnsi="Times New Roman" w:cs="Times New Roman"/>
          <w:sz w:val="24"/>
          <w:szCs w:val="24"/>
        </w:rPr>
        <w:t>)</w:t>
      </w:r>
    </w:p>
    <w:p w:rsidR="00A153F6" w:rsidRPr="00D4154E" w:rsidRDefault="00A153F6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Uloga Evropske unije u regulisanju etničkih odnosa</w:t>
      </w:r>
      <w:r w:rsidR="00007EA1">
        <w:rPr>
          <w:rFonts w:ascii="Times New Roman" w:hAnsi="Times New Roman" w:cs="Times New Roman"/>
          <w:sz w:val="24"/>
          <w:szCs w:val="24"/>
        </w:rPr>
        <w:t xml:space="preserve"> (07. IV)</w:t>
      </w:r>
    </w:p>
    <w:p w:rsidR="00A153F6" w:rsidRPr="00D4154E" w:rsidRDefault="00A153F6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 xml:space="preserve">Etnički odnosi u Jugoistočnoj Evropi: slučaj Turaka u Bugarskoj </w:t>
      </w:r>
      <w:r w:rsidR="00007EA1">
        <w:rPr>
          <w:rFonts w:ascii="Times New Roman" w:hAnsi="Times New Roman" w:cs="Times New Roman"/>
          <w:sz w:val="24"/>
          <w:szCs w:val="24"/>
        </w:rPr>
        <w:t xml:space="preserve"> (07. IV)</w:t>
      </w:r>
    </w:p>
    <w:p w:rsidR="00A153F6" w:rsidRPr="00D4154E" w:rsidRDefault="00A153F6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Jugoistočnoj Evropi: slučaj Mađara u Rumuniji</w:t>
      </w:r>
      <w:r w:rsidR="00007EA1">
        <w:rPr>
          <w:rFonts w:ascii="Times New Roman" w:hAnsi="Times New Roman" w:cs="Times New Roman"/>
          <w:sz w:val="24"/>
          <w:szCs w:val="24"/>
        </w:rPr>
        <w:t xml:space="preserve"> (07. IV)</w:t>
      </w:r>
    </w:p>
    <w:p w:rsidR="00A153F6" w:rsidRPr="00D4154E" w:rsidRDefault="00A153F6" w:rsidP="00FB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Jugoistočnoj Evropi: slučaj Makedonije</w:t>
      </w:r>
      <w:r w:rsidR="00007EA1">
        <w:rPr>
          <w:rFonts w:ascii="Times New Roman" w:hAnsi="Times New Roman" w:cs="Times New Roman"/>
          <w:sz w:val="24"/>
          <w:szCs w:val="24"/>
        </w:rPr>
        <w:t xml:space="preserve"> (07. IV)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Jugoistočnoj Evropi: slučaj Bosne i Hercegovine nakon disolucije Jugoslavije</w:t>
      </w:r>
      <w:r w:rsidR="00007EA1">
        <w:rPr>
          <w:rFonts w:ascii="Times New Roman" w:hAnsi="Times New Roman" w:cs="Times New Roman"/>
          <w:sz w:val="24"/>
          <w:szCs w:val="24"/>
        </w:rPr>
        <w:t xml:space="preserve"> </w:t>
      </w:r>
      <w:r w:rsidR="00007EA1">
        <w:rPr>
          <w:rFonts w:ascii="Times New Roman" w:hAnsi="Times New Roman" w:cs="Times New Roman"/>
          <w:sz w:val="24"/>
          <w:szCs w:val="24"/>
        </w:rPr>
        <w:t>(14</w:t>
      </w:r>
      <w:r w:rsidR="00007EA1">
        <w:rPr>
          <w:rFonts w:ascii="Times New Roman" w:hAnsi="Times New Roman" w:cs="Times New Roman"/>
          <w:sz w:val="24"/>
          <w:szCs w:val="24"/>
        </w:rPr>
        <w:t>. IV)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Položaj nacionalnih manjina prema Ustavu Crne Gore od 2007. godine</w:t>
      </w:r>
      <w:r w:rsidR="00E20E1C">
        <w:rPr>
          <w:rFonts w:ascii="Times New Roman" w:hAnsi="Times New Roman" w:cs="Times New Roman"/>
          <w:sz w:val="24"/>
          <w:szCs w:val="24"/>
        </w:rPr>
        <w:t xml:space="preserve"> </w:t>
      </w:r>
      <w:r w:rsidR="00007EA1">
        <w:rPr>
          <w:rFonts w:ascii="Times New Roman" w:hAnsi="Times New Roman" w:cs="Times New Roman"/>
          <w:sz w:val="24"/>
          <w:szCs w:val="24"/>
        </w:rPr>
        <w:t>(14. IV)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Manjine u ustavnim i zakonskim okvirima Crne Gore, Srbije i Hrvatske</w:t>
      </w:r>
      <w:r w:rsidR="00E20E1C">
        <w:rPr>
          <w:rFonts w:ascii="Times New Roman" w:hAnsi="Times New Roman" w:cs="Times New Roman"/>
          <w:sz w:val="24"/>
          <w:szCs w:val="24"/>
        </w:rPr>
        <w:t xml:space="preserve"> </w:t>
      </w:r>
      <w:r w:rsidR="00007EA1">
        <w:rPr>
          <w:rFonts w:ascii="Times New Roman" w:hAnsi="Times New Roman" w:cs="Times New Roman"/>
          <w:sz w:val="24"/>
          <w:szCs w:val="24"/>
        </w:rPr>
        <w:t>(14. IV)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Rusiji: slučaj Čečenije</w:t>
      </w:r>
      <w:r w:rsidR="00E20E1C">
        <w:rPr>
          <w:rFonts w:ascii="Times New Roman" w:hAnsi="Times New Roman" w:cs="Times New Roman"/>
          <w:sz w:val="24"/>
          <w:szCs w:val="24"/>
        </w:rPr>
        <w:t xml:space="preserve"> </w:t>
      </w:r>
      <w:r w:rsidR="00007EA1">
        <w:rPr>
          <w:rFonts w:ascii="Times New Roman" w:hAnsi="Times New Roman" w:cs="Times New Roman"/>
          <w:sz w:val="24"/>
          <w:szCs w:val="24"/>
        </w:rPr>
        <w:t>(14. IV)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Etniučki odnosi u Rusiji: slučaj Dagestana</w:t>
      </w:r>
      <w:r w:rsidR="00007EA1">
        <w:rPr>
          <w:rFonts w:ascii="Times New Roman" w:hAnsi="Times New Roman" w:cs="Times New Roman"/>
          <w:sz w:val="24"/>
          <w:szCs w:val="24"/>
        </w:rPr>
        <w:t xml:space="preserve"> (21</w:t>
      </w:r>
      <w:r w:rsidR="00E20E1C">
        <w:rPr>
          <w:rFonts w:ascii="Times New Roman" w:hAnsi="Times New Roman" w:cs="Times New Roman"/>
          <w:sz w:val="24"/>
          <w:szCs w:val="24"/>
        </w:rPr>
        <w:t>. IV)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konflikt Jermenije i Azerbejdžana na primjeru Nagorno-Karabaha</w:t>
      </w:r>
      <w:r w:rsidR="00E20E1C">
        <w:rPr>
          <w:rFonts w:ascii="Times New Roman" w:hAnsi="Times New Roman" w:cs="Times New Roman"/>
          <w:sz w:val="24"/>
          <w:szCs w:val="24"/>
        </w:rPr>
        <w:t xml:space="preserve">  (</w:t>
      </w:r>
      <w:r w:rsidR="00007EA1">
        <w:rPr>
          <w:rFonts w:ascii="Times New Roman" w:hAnsi="Times New Roman" w:cs="Times New Roman"/>
          <w:sz w:val="24"/>
          <w:szCs w:val="24"/>
        </w:rPr>
        <w:t>21</w:t>
      </w:r>
      <w:r w:rsidR="00E20E1C">
        <w:rPr>
          <w:rFonts w:ascii="Times New Roman" w:hAnsi="Times New Roman" w:cs="Times New Roman"/>
          <w:sz w:val="24"/>
          <w:szCs w:val="24"/>
        </w:rPr>
        <w:t>. IV)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Letoniji</w:t>
      </w:r>
      <w:r w:rsidR="00E20E1C">
        <w:rPr>
          <w:rFonts w:ascii="Times New Roman" w:hAnsi="Times New Roman" w:cs="Times New Roman"/>
          <w:sz w:val="24"/>
          <w:szCs w:val="24"/>
        </w:rPr>
        <w:t>(</w:t>
      </w:r>
      <w:r w:rsidR="00007EA1">
        <w:rPr>
          <w:rFonts w:ascii="Times New Roman" w:hAnsi="Times New Roman" w:cs="Times New Roman"/>
          <w:sz w:val="24"/>
          <w:szCs w:val="24"/>
        </w:rPr>
        <w:t>21</w:t>
      </w:r>
      <w:r w:rsidR="00E20E1C">
        <w:rPr>
          <w:rFonts w:ascii="Times New Roman" w:hAnsi="Times New Roman" w:cs="Times New Roman"/>
          <w:sz w:val="24"/>
          <w:szCs w:val="24"/>
        </w:rPr>
        <w:t>. IV)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Somalija: izvor etničkih sukoba</w:t>
      </w:r>
      <w:r w:rsidR="00E20E1C">
        <w:rPr>
          <w:rFonts w:ascii="Times New Roman" w:hAnsi="Times New Roman" w:cs="Times New Roman"/>
          <w:sz w:val="24"/>
          <w:szCs w:val="24"/>
        </w:rPr>
        <w:t>(</w:t>
      </w:r>
      <w:r w:rsidR="00007EA1">
        <w:rPr>
          <w:rFonts w:ascii="Times New Roman" w:hAnsi="Times New Roman" w:cs="Times New Roman"/>
          <w:sz w:val="24"/>
          <w:szCs w:val="24"/>
        </w:rPr>
        <w:t>21</w:t>
      </w:r>
      <w:r w:rsidR="00E20E1C">
        <w:rPr>
          <w:rFonts w:ascii="Times New Roman" w:hAnsi="Times New Roman" w:cs="Times New Roman"/>
          <w:sz w:val="24"/>
          <w:szCs w:val="24"/>
        </w:rPr>
        <w:t>. IV)</w:t>
      </w:r>
    </w:p>
    <w:p w:rsidR="00A153F6" w:rsidRPr="00D4154E" w:rsidRDefault="00A153F6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konflikti u Etiopiji</w:t>
      </w:r>
      <w:r w:rsidR="00E20E1C">
        <w:rPr>
          <w:rFonts w:ascii="Times New Roman" w:hAnsi="Times New Roman" w:cs="Times New Roman"/>
          <w:sz w:val="24"/>
          <w:szCs w:val="24"/>
        </w:rPr>
        <w:t>(</w:t>
      </w:r>
      <w:r w:rsidR="00007EA1">
        <w:rPr>
          <w:rFonts w:ascii="Times New Roman" w:hAnsi="Times New Roman" w:cs="Times New Roman"/>
          <w:sz w:val="24"/>
          <w:szCs w:val="24"/>
        </w:rPr>
        <w:t>28</w:t>
      </w:r>
      <w:r w:rsidR="00E20E1C">
        <w:rPr>
          <w:rFonts w:ascii="Times New Roman" w:hAnsi="Times New Roman" w:cs="Times New Roman"/>
          <w:sz w:val="24"/>
          <w:szCs w:val="24"/>
        </w:rPr>
        <w:t>. IV)</w:t>
      </w:r>
    </w:p>
    <w:p w:rsidR="00A153F6" w:rsidRPr="00D4154E" w:rsidRDefault="00F26329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konflikti u Sudanu: prvi i drugi građanski rat</w:t>
      </w:r>
      <w:r w:rsidR="00E20E1C">
        <w:rPr>
          <w:rFonts w:ascii="Times New Roman" w:hAnsi="Times New Roman" w:cs="Times New Roman"/>
          <w:sz w:val="24"/>
          <w:szCs w:val="24"/>
        </w:rPr>
        <w:t xml:space="preserve"> (</w:t>
      </w:r>
      <w:r w:rsidR="00007EA1">
        <w:rPr>
          <w:rFonts w:ascii="Times New Roman" w:hAnsi="Times New Roman" w:cs="Times New Roman"/>
          <w:sz w:val="24"/>
          <w:szCs w:val="24"/>
        </w:rPr>
        <w:t>28</w:t>
      </w:r>
      <w:r w:rsidR="00E20E1C">
        <w:rPr>
          <w:rFonts w:ascii="Times New Roman" w:hAnsi="Times New Roman" w:cs="Times New Roman"/>
          <w:sz w:val="24"/>
          <w:szCs w:val="24"/>
        </w:rPr>
        <w:t>. IV)</w:t>
      </w:r>
    </w:p>
    <w:p w:rsidR="00F26329" w:rsidRPr="00D4154E" w:rsidRDefault="00F26329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 xml:space="preserve">Politika aparthejda u Južnoafričkoj republiki: geneza problema </w:t>
      </w:r>
      <w:r w:rsidR="00E20E1C">
        <w:rPr>
          <w:rFonts w:ascii="Times New Roman" w:hAnsi="Times New Roman" w:cs="Times New Roman"/>
          <w:sz w:val="24"/>
          <w:szCs w:val="24"/>
        </w:rPr>
        <w:t>(</w:t>
      </w:r>
      <w:r w:rsidR="00007EA1">
        <w:rPr>
          <w:rFonts w:ascii="Times New Roman" w:hAnsi="Times New Roman" w:cs="Times New Roman"/>
          <w:sz w:val="24"/>
          <w:szCs w:val="24"/>
        </w:rPr>
        <w:t>28</w:t>
      </w:r>
      <w:r w:rsidR="00E20E1C">
        <w:rPr>
          <w:rFonts w:ascii="Times New Roman" w:hAnsi="Times New Roman" w:cs="Times New Roman"/>
          <w:sz w:val="24"/>
          <w:szCs w:val="24"/>
        </w:rPr>
        <w:t>. IV)</w:t>
      </w:r>
    </w:p>
    <w:p w:rsidR="00F26329" w:rsidRPr="00D4154E" w:rsidRDefault="00F26329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lastRenderedPageBreak/>
        <w:t>Od etničkih razlika do genocida – slučaj Ruande</w:t>
      </w:r>
      <w:r w:rsidR="00E20E1C">
        <w:rPr>
          <w:rFonts w:ascii="Times New Roman" w:hAnsi="Times New Roman" w:cs="Times New Roman"/>
          <w:sz w:val="24"/>
          <w:szCs w:val="24"/>
        </w:rPr>
        <w:t xml:space="preserve"> (</w:t>
      </w:r>
      <w:r w:rsidR="00007EA1">
        <w:rPr>
          <w:rFonts w:ascii="Times New Roman" w:hAnsi="Times New Roman" w:cs="Times New Roman"/>
          <w:sz w:val="24"/>
          <w:szCs w:val="24"/>
        </w:rPr>
        <w:t xml:space="preserve">05. </w:t>
      </w:r>
      <w:r w:rsidR="00E20E1C">
        <w:rPr>
          <w:rFonts w:ascii="Times New Roman" w:hAnsi="Times New Roman" w:cs="Times New Roman"/>
          <w:sz w:val="24"/>
          <w:szCs w:val="24"/>
        </w:rPr>
        <w:t>V)</w:t>
      </w:r>
    </w:p>
    <w:p w:rsidR="00F26329" w:rsidRPr="00D4154E" w:rsidRDefault="00F26329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Politika multikuliralizma</w:t>
      </w:r>
      <w:r w:rsidR="00E20E1C">
        <w:rPr>
          <w:rFonts w:ascii="Times New Roman" w:hAnsi="Times New Roman" w:cs="Times New Roman"/>
          <w:sz w:val="24"/>
          <w:szCs w:val="24"/>
        </w:rPr>
        <w:t xml:space="preserve"> (</w:t>
      </w:r>
      <w:r w:rsidR="00007EA1">
        <w:rPr>
          <w:rFonts w:ascii="Times New Roman" w:hAnsi="Times New Roman" w:cs="Times New Roman"/>
          <w:sz w:val="24"/>
          <w:szCs w:val="24"/>
        </w:rPr>
        <w:t>12</w:t>
      </w:r>
      <w:r w:rsidR="00E20E1C">
        <w:rPr>
          <w:rFonts w:ascii="Times New Roman" w:hAnsi="Times New Roman" w:cs="Times New Roman"/>
          <w:sz w:val="24"/>
          <w:szCs w:val="24"/>
        </w:rPr>
        <w:t xml:space="preserve">. </w:t>
      </w:r>
      <w:r w:rsidR="00007EA1">
        <w:rPr>
          <w:rFonts w:ascii="Times New Roman" w:hAnsi="Times New Roman" w:cs="Times New Roman"/>
          <w:sz w:val="24"/>
          <w:szCs w:val="24"/>
        </w:rPr>
        <w:t>V</w:t>
      </w:r>
      <w:r w:rsidR="00E20E1C">
        <w:rPr>
          <w:rFonts w:ascii="Times New Roman" w:hAnsi="Times New Roman" w:cs="Times New Roman"/>
          <w:sz w:val="24"/>
          <w:szCs w:val="24"/>
        </w:rPr>
        <w:t>)</w:t>
      </w:r>
    </w:p>
    <w:p w:rsidR="00F26329" w:rsidRPr="00D4154E" w:rsidRDefault="00F26329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Kosovo i etnički odnosi nakon 1999. godine</w:t>
      </w:r>
      <w:r w:rsidR="00007EA1">
        <w:rPr>
          <w:rFonts w:ascii="Times New Roman" w:hAnsi="Times New Roman" w:cs="Times New Roman"/>
          <w:sz w:val="24"/>
          <w:szCs w:val="24"/>
        </w:rPr>
        <w:t xml:space="preserve"> (19</w:t>
      </w:r>
      <w:r w:rsidR="00E20E1C">
        <w:rPr>
          <w:rFonts w:ascii="Times New Roman" w:hAnsi="Times New Roman" w:cs="Times New Roman"/>
          <w:sz w:val="24"/>
          <w:szCs w:val="24"/>
        </w:rPr>
        <w:t>. V)</w:t>
      </w:r>
    </w:p>
    <w:p w:rsidR="00F26329" w:rsidRPr="00D4154E" w:rsidRDefault="00F26329" w:rsidP="00A153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54E">
        <w:rPr>
          <w:rFonts w:ascii="Times New Roman" w:hAnsi="Times New Roman" w:cs="Times New Roman"/>
          <w:sz w:val="24"/>
          <w:szCs w:val="24"/>
        </w:rPr>
        <w:t>Etnički odnosi u savremenoj Ukrajini: Rusi i Ukrajinci</w:t>
      </w:r>
      <w:r w:rsidR="00E20E1C">
        <w:rPr>
          <w:rFonts w:ascii="Times New Roman" w:hAnsi="Times New Roman" w:cs="Times New Roman"/>
          <w:sz w:val="24"/>
          <w:szCs w:val="24"/>
        </w:rPr>
        <w:t xml:space="preserve"> (</w:t>
      </w:r>
      <w:r w:rsidR="00007EA1">
        <w:rPr>
          <w:rFonts w:ascii="Times New Roman" w:hAnsi="Times New Roman" w:cs="Times New Roman"/>
          <w:sz w:val="24"/>
          <w:szCs w:val="24"/>
        </w:rPr>
        <w:t>26</w:t>
      </w:r>
      <w:r w:rsidR="00E20E1C">
        <w:rPr>
          <w:rFonts w:ascii="Times New Roman" w:hAnsi="Times New Roman" w:cs="Times New Roman"/>
          <w:sz w:val="24"/>
          <w:szCs w:val="24"/>
        </w:rPr>
        <w:t>. V)</w:t>
      </w:r>
    </w:p>
    <w:p w:rsidR="00FB326C" w:rsidRPr="00D4154E" w:rsidRDefault="00FB326C" w:rsidP="00FB32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154E" w:rsidRPr="00D4154E" w:rsidRDefault="00D4154E" w:rsidP="00FB326C">
      <w:pPr>
        <w:rPr>
          <w:rFonts w:ascii="Times New Roman" w:hAnsi="Times New Roman" w:cs="Times New Roman"/>
          <w:sz w:val="24"/>
          <w:szCs w:val="24"/>
        </w:rPr>
      </w:pPr>
    </w:p>
    <w:sectPr w:rsidR="00D4154E" w:rsidRPr="00D41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90D89"/>
    <w:multiLevelType w:val="hybridMultilevel"/>
    <w:tmpl w:val="C4325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A7"/>
    <w:rsid w:val="00007EA1"/>
    <w:rsid w:val="005015A7"/>
    <w:rsid w:val="00677D87"/>
    <w:rsid w:val="009C246E"/>
    <w:rsid w:val="00A153F6"/>
    <w:rsid w:val="00D4154E"/>
    <w:rsid w:val="00DA1A3F"/>
    <w:rsid w:val="00E20E1C"/>
    <w:rsid w:val="00F26329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FF283-8FA0-499B-BA68-7855B54E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2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1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8</cp:revision>
  <dcterms:created xsi:type="dcterms:W3CDTF">2019-12-11T09:09:00Z</dcterms:created>
  <dcterms:modified xsi:type="dcterms:W3CDTF">2020-02-28T10:26:00Z</dcterms:modified>
</cp:coreProperties>
</file>