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61" w:rsidRDefault="00421A61" w:rsidP="00421A61">
      <w:pPr>
        <w:rPr>
          <w:rFonts w:ascii="Arial" w:hAnsi="Arial"/>
          <w:b/>
          <w:i/>
          <w:color w:val="000000"/>
          <w:lang w:val="sr-Latn-CS"/>
        </w:rPr>
      </w:pPr>
    </w:p>
    <w:p w:rsidR="00421A61" w:rsidRDefault="00421A61" w:rsidP="00421A61">
      <w:pPr>
        <w:pStyle w:val="Heading1"/>
        <w:rPr>
          <w:sz w:val="20"/>
          <w:lang w:val="sr-Latn-RS"/>
        </w:rPr>
      </w:pPr>
      <w:r>
        <w:rPr>
          <w:lang w:val="sr-Latn-RS"/>
        </w:rPr>
        <w:t>INFORMACIJA ZA STUDENTE I PLAN RADA-Bijelo Polje 2020/2021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186"/>
        <w:gridCol w:w="778"/>
        <w:gridCol w:w="1714"/>
        <w:gridCol w:w="1542"/>
      </w:tblGrid>
      <w:tr w:rsidR="00421A61" w:rsidTr="00421A61">
        <w:trPr>
          <w:gridBefore w:val="2"/>
          <w:wBefore w:w="1600" w:type="dxa"/>
          <w:trHeight w:val="359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421A61" w:rsidRDefault="00421A61">
            <w:pPr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16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lang w:val="sr-Latn-CS"/>
              </w:rPr>
              <w:t>Naziv predmeta: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421A61" w:rsidRDefault="00421A61">
            <w:pPr>
              <w:pStyle w:val="Heading3"/>
              <w:rPr>
                <w:lang w:val="sl-SI"/>
              </w:rPr>
            </w:pPr>
            <w:r>
              <w:rPr>
                <w:lang w:val="sl-SI"/>
              </w:rPr>
              <w:t>GRAĐANSKO PROCESNO PRAVO</w:t>
            </w:r>
          </w:p>
        </w:tc>
      </w:tr>
      <w:tr w:rsidR="00421A61" w:rsidTr="00421A61">
        <w:trPr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ind w:left="-28" w:right="-30"/>
              <w:jc w:val="center"/>
              <w:rPr>
                <w:i/>
                <w:sz w:val="18"/>
                <w:vertAlign w:val="superscript"/>
                <w:lang w:val="sr-Latn-RS"/>
              </w:rPr>
            </w:pPr>
            <w:r>
              <w:rPr>
                <w:b/>
                <w:i/>
                <w:sz w:val="18"/>
                <w:lang w:val="sr-Latn-R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ind w:left="-130"/>
              <w:jc w:val="center"/>
              <w:rPr>
                <w:i/>
                <w:sz w:val="18"/>
                <w:lang w:val="sr-Latn-RS"/>
              </w:rPr>
            </w:pPr>
            <w:r>
              <w:rPr>
                <w:b/>
                <w:i/>
                <w:sz w:val="18"/>
                <w:lang w:val="sr-Latn-RS"/>
              </w:rPr>
              <w:t>Status predmeta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ind w:left="-130"/>
              <w:jc w:val="center"/>
              <w:rPr>
                <w:i/>
                <w:sz w:val="18"/>
                <w:lang w:val="sr-Latn-RS"/>
              </w:rPr>
            </w:pPr>
            <w:r>
              <w:rPr>
                <w:b/>
                <w:i/>
                <w:sz w:val="18"/>
                <w:lang w:val="sr-Latn-R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jc w:val="center"/>
              <w:rPr>
                <w:i/>
                <w:sz w:val="18"/>
                <w:lang w:val="sr-Latn-RS"/>
              </w:rPr>
            </w:pPr>
            <w:r>
              <w:rPr>
                <w:b/>
                <w:i/>
                <w:sz w:val="18"/>
                <w:lang w:val="sr-Latn-R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421A61" w:rsidRDefault="00421A61">
            <w:pPr>
              <w:pStyle w:val="BodyText3"/>
              <w:jc w:val="center"/>
              <w:rPr>
                <w:i/>
                <w:sz w:val="18"/>
                <w:lang w:val="sr-Latn-RS"/>
              </w:rPr>
            </w:pPr>
            <w:r>
              <w:rPr>
                <w:b/>
                <w:i/>
                <w:sz w:val="18"/>
                <w:lang w:val="sr-Latn-RS"/>
              </w:rPr>
              <w:t>Fond časova</w:t>
            </w:r>
          </w:p>
        </w:tc>
      </w:tr>
      <w:tr w:rsidR="00421A61" w:rsidTr="00421A61">
        <w:trPr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1" w:rsidRDefault="00421A61">
            <w:pPr>
              <w:pStyle w:val="Heading4"/>
              <w:jc w:val="center"/>
              <w:rPr>
                <w:i w:val="0"/>
                <w:color w:val="000000"/>
                <w:sz w:val="20"/>
                <w:lang w:val="sr-Latn-C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Obavezan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Heading2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ind w:left="12"/>
              <w:jc w:val="center"/>
              <w:rPr>
                <w:rFonts w:ascii="Arial" w:hAnsi="Arial"/>
                <w:b/>
                <w:lang w:val="sr-Latn-CS"/>
              </w:rPr>
            </w:pPr>
            <w:r>
              <w:rPr>
                <w:rFonts w:ascii="Arial" w:hAnsi="Arial"/>
                <w:b/>
                <w:lang w:val="sr-Latn-CS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421A61" w:rsidRDefault="00421A61">
            <w:pPr>
              <w:pStyle w:val="Heading3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>4 p + 1</w:t>
            </w:r>
          </w:p>
          <w:p w:rsidR="00421A61" w:rsidRDefault="00421A61">
            <w:pPr>
              <w:pStyle w:val="Heading3"/>
              <w:rPr>
                <w:i w:val="0"/>
                <w:color w:val="auto"/>
                <w:lang w:val="sr-Latn-RS"/>
              </w:rPr>
            </w:pPr>
          </w:p>
          <w:p w:rsidR="00421A61" w:rsidRDefault="00421A61">
            <w:pPr>
              <w:pStyle w:val="Heading3"/>
              <w:rPr>
                <w:i w:val="0"/>
                <w:color w:val="auto"/>
                <w:lang w:val="sr-Latn-RS"/>
              </w:rPr>
            </w:pPr>
          </w:p>
          <w:p w:rsidR="00421A61" w:rsidRDefault="00421A61">
            <w:pPr>
              <w:pStyle w:val="Heading3"/>
              <w:rPr>
                <w:i w:val="0"/>
                <w:color w:val="auto"/>
                <w:lang w:val="sr-Latn-RS"/>
              </w:rPr>
            </w:pPr>
          </w:p>
          <w:p w:rsidR="00421A61" w:rsidRDefault="00421A61">
            <w:pPr>
              <w:pStyle w:val="Heading3"/>
              <w:rPr>
                <w:i w:val="0"/>
                <w:color w:val="auto"/>
                <w:lang w:val="sr-Latn-RS"/>
              </w:rPr>
            </w:pPr>
            <w:r>
              <w:rPr>
                <w:i w:val="0"/>
                <w:color w:val="auto"/>
                <w:lang w:val="sr-Latn-RS"/>
              </w:rPr>
              <w:t xml:space="preserve"> </w:t>
            </w:r>
          </w:p>
        </w:tc>
      </w:tr>
    </w:tbl>
    <w:p w:rsidR="00421A61" w:rsidRDefault="00421A61" w:rsidP="00421A61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421A61" w:rsidTr="00421A61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rPr>
                <w:rFonts w:ascii="Arial" w:hAnsi="Arial"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Studijski programi za koje se organizuje:</w:t>
            </w:r>
          </w:p>
          <w:p w:rsidR="00421A61" w:rsidRDefault="00421A61">
            <w:r>
              <w:rPr>
                <w:rFonts w:ascii="Arial" w:hAnsi="Arial"/>
                <w:sz w:val="16"/>
              </w:rPr>
              <w:t>Akademski osnovni studijski program Pravnog fakulteta (studije traju 6 semestara, 180 ECTS kredita).</w:t>
            </w:r>
          </w:p>
        </w:tc>
      </w:tr>
      <w:tr w:rsidR="00421A61" w:rsidTr="00421A61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pStyle w:val="BodyText3"/>
            </w:pPr>
            <w:r>
              <w:rPr>
                <w:b/>
                <w:i/>
                <w:lang w:val="sr-Latn-RS"/>
              </w:rPr>
              <w:t>Uslovljenost drugim predmetima</w:t>
            </w:r>
            <w:r>
              <w:rPr>
                <w:b/>
                <w:i/>
                <w:sz w:val="24"/>
                <w:lang w:val="sr-Latn-RS"/>
              </w:rPr>
              <w:t>:</w:t>
            </w:r>
            <w:r>
              <w:rPr>
                <w:rFonts w:ascii="Times New Roman" w:hAnsi="Times New Roman"/>
                <w:lang w:val="sr-Latn-RS"/>
              </w:rPr>
              <w:t xml:space="preserve"> Nema uslova </w:t>
            </w:r>
            <w:r>
              <w:rPr>
                <w:rFonts w:ascii="Times New Roman" w:hAnsi="Times New Roman"/>
                <w:lang w:val="sl-SI"/>
              </w:rPr>
              <w:t>za prijavljivanje i slušanje predmeta</w:t>
            </w:r>
          </w:p>
        </w:tc>
      </w:tr>
      <w:tr w:rsidR="00421A61" w:rsidTr="00421A61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pStyle w:val="NormalWeb"/>
              <w:spacing w:before="0" w:after="0"/>
              <w:rPr>
                <w:color w:val="800000"/>
                <w:sz w:val="2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sz w:val="20"/>
                <w:lang w:val="sr-Latn-CS"/>
              </w:rPr>
              <w:t>:</w:t>
            </w:r>
            <w:r>
              <w:rPr>
                <w:rFonts w:ascii="Arial" w:hAnsi="Arial"/>
                <w:color w:val="auto"/>
                <w:sz w:val="20"/>
                <w:lang w:val="sr-Latn-CS"/>
              </w:rPr>
              <w:t>Upoznavanje sa pojmom, metodom, organizacionim i funkcionalnim procesnim pravom i njihovim institutima.</w:t>
            </w:r>
            <w:r>
              <w:rPr>
                <w:rFonts w:ascii="Arial" w:hAnsi="Arial"/>
                <w:color w:val="000000"/>
                <w:sz w:val="20"/>
                <w:lang w:val="sr-Latn-CS"/>
              </w:rPr>
              <w:t xml:space="preserve">  Povezivanje znanja iz ove oblasti sa znanjima stečenim iz ostalih oblasti materijalnog prava u cilju osposobljavanje za pratičan rad i primjenu stečenih znanja</w:t>
            </w: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 </w:t>
            </w:r>
          </w:p>
        </w:tc>
      </w:tr>
      <w:tr w:rsidR="00421A61" w:rsidTr="00421A61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61" w:rsidRDefault="00421A61">
            <w:pPr>
              <w:pStyle w:val="NormalWeb"/>
              <w:spacing w:before="0" w:after="0"/>
              <w:rPr>
                <w:rFonts w:ascii="Arial" w:hAnsi="Arial" w:hint="eastAsia"/>
                <w:b/>
                <w:color w:val="auto"/>
                <w:sz w:val="20"/>
                <w:lang w:val="sr-Latn-CS"/>
              </w:rPr>
            </w:pPr>
            <w:r>
              <w:rPr>
                <w:rFonts w:ascii="Arial" w:hAnsi="Arial"/>
                <w:b/>
                <w:color w:val="auto"/>
                <w:sz w:val="20"/>
                <w:lang w:val="sr-Latn-CS"/>
              </w:rPr>
              <w:t>Ime i prezime nastavnika: Prof. dr Biljana Đuričin</w:t>
            </w:r>
          </w:p>
          <w:p w:rsidR="00421A61" w:rsidRDefault="00421A61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sz w:val="16"/>
                <w:lang w:val="sl-SI"/>
              </w:rPr>
            </w:pPr>
          </w:p>
        </w:tc>
      </w:tr>
      <w:tr w:rsidR="00421A61" w:rsidTr="00421A61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pStyle w:val="BodyText3"/>
              <w:rPr>
                <w:color w:val="auto"/>
                <w:sz w:val="16"/>
                <w:lang w:val="sl-SI"/>
              </w:rPr>
            </w:pPr>
            <w:r>
              <w:rPr>
                <w:b/>
                <w:i/>
                <w:lang w:val="sr-Latn-RS"/>
              </w:rPr>
              <w:t>Metod nastave i savladanja gradiva:</w:t>
            </w:r>
            <w:r>
              <w:rPr>
                <w:color w:val="auto"/>
                <w:sz w:val="16"/>
                <w:lang w:val="sl-SI"/>
              </w:rPr>
              <w:t xml:space="preserve"> </w:t>
            </w:r>
          </w:p>
          <w:p w:rsidR="00421A61" w:rsidRDefault="00421A61">
            <w:pPr>
              <w:pStyle w:val="BodyText3"/>
            </w:pPr>
            <w:r>
              <w:rPr>
                <w:color w:val="auto"/>
                <w:sz w:val="16"/>
                <w:lang w:val="sl-SI"/>
              </w:rPr>
              <w:t>Predavanja, konsultacije, vježbe, seminarski radovi</w:t>
            </w:r>
            <w:r>
              <w:rPr>
                <w:b/>
                <w:color w:val="auto"/>
                <w:sz w:val="16"/>
                <w:lang w:val="sl-SI"/>
              </w:rPr>
              <w:t>, ana</w:t>
            </w:r>
            <w:r>
              <w:rPr>
                <w:b/>
                <w:color w:val="auto"/>
                <w:sz w:val="16"/>
                <w:lang w:val="sr-Latn-RS"/>
              </w:rPr>
              <w:t>liza slučajeva s posebnim osvrtom na pravo EU</w:t>
            </w:r>
            <w:r>
              <w:rPr>
                <w:color w:val="auto"/>
                <w:sz w:val="16"/>
                <w:lang w:val="sr-Latn-RS"/>
              </w:rPr>
              <w:t>,</w:t>
            </w:r>
            <w:r>
              <w:rPr>
                <w:color w:val="auto"/>
                <w:sz w:val="16"/>
                <w:lang w:val="sl-SI"/>
              </w:rPr>
              <w:t xml:space="preserve"> pismene provjere i završni ispit</w:t>
            </w:r>
          </w:p>
        </w:tc>
      </w:tr>
      <w:tr w:rsidR="00421A61" w:rsidTr="00421A61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Heading3"/>
              <w:jc w:val="left"/>
              <w:rPr>
                <w:b w:val="0"/>
                <w:i w:val="0"/>
                <w:sz w:val="24"/>
                <w:lang w:val="sl-SI"/>
              </w:rPr>
            </w:pPr>
            <w:r>
              <w:rPr>
                <w:sz w:val="24"/>
                <w:lang w:val="sl-SI"/>
              </w:rPr>
              <w:t xml:space="preserve">PLAN RADA 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0"/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 xml:space="preserve">Nedjelja </w:t>
            </w:r>
          </w:p>
          <w:p w:rsidR="00421A61" w:rsidRDefault="00421A61">
            <w:pPr>
              <w:pStyle w:val="BodyTextIndent2"/>
              <w:ind w:left="0"/>
              <w:rPr>
                <w:b/>
                <w:i/>
                <w:color w:val="auto"/>
                <w:sz w:val="20"/>
              </w:rPr>
            </w:pPr>
            <w:r>
              <w:rPr>
                <w:b/>
                <w:i/>
                <w:color w:val="auto"/>
                <w:sz w:val="20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i/>
                <w:color w:val="auto"/>
                <w:lang w:val="sr-Latn-RS"/>
              </w:rPr>
            </w:pPr>
            <w:r>
              <w:rPr>
                <w:i/>
                <w:color w:val="auto"/>
                <w:lang w:val="sr-Latn-RS"/>
              </w:rPr>
              <w:t xml:space="preserve">Naziv metodskih jedinica za predavanja(P), vježbe (V) </w:t>
            </w:r>
          </w:p>
        </w:tc>
      </w:tr>
      <w:tr w:rsidR="00421A61" w:rsidTr="00421A61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Upoznavanje, priprema i upis semestra.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6.10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vertAlign w:val="superscript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0"/>
            </w:pPr>
            <w:r>
              <w:t>Predmet, struktura, procesna prava kao manifestacija prava, forma i formalizam, organizaciono i funkcionalno procesno pravo, metod, izvori, norme i njihovo važenje, cilj, organizacija sudova, ustavna načela o organizaciji sudova</w:t>
            </w:r>
            <w:r>
              <w:rPr>
                <w:rFonts w:cs="Arial"/>
                <w:color w:val="auto"/>
                <w:lang w:val="hr-HR"/>
              </w:rPr>
              <w:t>Građanski sudski postupak, parnični postupak-litispendencija, priroda parnice, procesne pretpostavke, odnos građanskog i krivičnog postupka, odnos građanskog procesnog prava prema upravnom procesnom pravu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2"/>
            </w:tblGrid>
            <w:tr w:rsidR="00421A61">
              <w:trPr>
                <w:cantSplit/>
                <w:trHeight w:val="140"/>
              </w:trPr>
              <w:tc>
                <w:tcPr>
                  <w:tcW w:w="703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A61" w:rsidRDefault="00421A61">
                  <w:pPr>
                    <w:pStyle w:val="BodyText3"/>
                    <w:rPr>
                      <w:color w:val="auto"/>
                      <w:sz w:val="16"/>
                      <w:lang w:val="sr-Latn-RS"/>
                    </w:rPr>
                  </w:pPr>
                  <w:r>
                    <w:rPr>
                      <w:color w:val="auto"/>
                      <w:sz w:val="16"/>
                      <w:lang w:val="sr-Latn-RS"/>
                    </w:rPr>
                    <w:t>Nadležnost- stvarna, mjesna</w:t>
                  </w:r>
                </w:p>
              </w:tc>
            </w:tr>
            <w:tr w:rsidR="00421A61">
              <w:trPr>
                <w:cantSplit/>
                <w:trHeight w:val="140"/>
              </w:trPr>
              <w:tc>
                <w:tcPr>
                  <w:tcW w:w="703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A61" w:rsidRDefault="00421A61">
                  <w:pPr>
                    <w:pStyle w:val="BodyText3"/>
                    <w:rPr>
                      <w:b/>
                      <w:color w:val="auto"/>
                      <w:sz w:val="16"/>
                      <w:lang w:val="sr-Latn-RS"/>
                    </w:rPr>
                  </w:pPr>
                  <w:r>
                    <w:rPr>
                      <w:color w:val="auto"/>
                      <w:sz w:val="16"/>
                      <w:lang w:val="sr-Latn-RS"/>
                    </w:rPr>
                    <w:t>Načela parničnog postupka, stranke u parnici, stvarna legitimacija, zastupnici, parnične radnje, o tužbi i njenom podnošenju, dostavljanje.</w:t>
                  </w:r>
                </w:p>
              </w:tc>
            </w:tr>
          </w:tbl>
          <w:p w:rsidR="00421A61" w:rsidRDefault="00421A61">
            <w:pPr>
              <w:pStyle w:val="BodyText3"/>
              <w:rPr>
                <w:rFonts w:ascii="Times New Roman" w:hAnsi="Times New Roman"/>
                <w:color w:val="auto"/>
                <w:sz w:val="16"/>
                <w:lang w:val="hr-HR"/>
              </w:rPr>
            </w:pP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2"/>
            </w:tblGrid>
            <w:tr w:rsidR="00421A61">
              <w:trPr>
                <w:cantSplit/>
                <w:trHeight w:val="140"/>
              </w:trPr>
              <w:tc>
                <w:tcPr>
                  <w:tcW w:w="703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A61" w:rsidRDefault="00421A61">
                  <w:pPr>
                    <w:pStyle w:val="BodyText3"/>
                    <w:rPr>
                      <w:b/>
                      <w:color w:val="auto"/>
                      <w:sz w:val="16"/>
                      <w:szCs w:val="16"/>
                      <w:lang w:val="sr-Latn-RS"/>
                    </w:rPr>
                  </w:pPr>
                  <w:r>
                    <w:rPr>
                      <w:color w:val="auto"/>
                      <w:sz w:val="16"/>
                      <w:szCs w:val="16"/>
                      <w:lang w:val="sr-Latn-RS"/>
                    </w:rPr>
                    <w:t>Pripremno ročište, odbrana tuženog, vrijeme parničnih radnji, množina subjekata, učešće trećih lica u parnici, množina tužbenih zahtjeva, povlačenje tužbe, preinačenje tužbe, protivtužba, istovjetnost tužbenih zahtjeva, povraćaj u pređašnje stanje</w:t>
                  </w:r>
                </w:p>
              </w:tc>
            </w:tr>
            <w:tr w:rsidR="00421A61">
              <w:trPr>
                <w:cantSplit/>
                <w:trHeight w:val="140"/>
              </w:trPr>
              <w:tc>
                <w:tcPr>
                  <w:tcW w:w="703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1A61" w:rsidRDefault="00421A61">
                  <w:pPr>
                    <w:pStyle w:val="BodyTextIndent2"/>
                    <w:ind w:left="0"/>
                  </w:pPr>
                  <w:r>
                    <w:rPr>
                      <w:color w:val="auto"/>
                    </w:rPr>
                    <w:t>Prethodno pitanje, glacvna rasprava, zastoj u postuplu, sudsko poravnanje</w:t>
                  </w:r>
                </w:p>
              </w:tc>
            </w:tr>
          </w:tbl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sz w:val="16"/>
                <w:lang w:val="sr-Latn-RS"/>
              </w:rPr>
            </w:pPr>
            <w:r>
              <w:rPr>
                <w:b/>
                <w:color w:val="auto"/>
                <w:sz w:val="16"/>
                <w:lang w:val="sr-Latn-RS"/>
              </w:rPr>
              <w:t>Praktična nastava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sz w:val="16"/>
                <w:szCs w:val="16"/>
                <w:lang w:val="sr-Latn-RS"/>
              </w:rPr>
            </w:pPr>
            <w:r>
              <w:rPr>
                <w:b/>
                <w:color w:val="auto"/>
                <w:sz w:val="16"/>
                <w:szCs w:val="16"/>
                <w:lang w:val="sr-Latn-RS"/>
              </w:rPr>
              <w:t>KOLOKVIJUM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0"/>
            </w:pPr>
            <w:r>
              <w:t>Dokazivanje, posebno dokazna sredstva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sz w:val="16"/>
                <w:lang w:val="sr-Latn-RS"/>
              </w:rPr>
            </w:pPr>
            <w:r>
              <w:rPr>
                <w:b/>
                <w:color w:val="auto"/>
                <w:sz w:val="16"/>
                <w:lang w:val="sr-Latn-RS"/>
              </w:rPr>
              <w:t>Odluke, redovni pravni lijekovi,pravnosnažnost, vanredni pravni lijekovi, troškovi postupka.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0"/>
              <w:rPr>
                <w:b/>
              </w:rPr>
            </w:pPr>
            <w:r>
              <w:rPr>
                <w:b/>
              </w:rPr>
              <w:t>POPRAVNI KOLOKVIJUM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0"/>
            </w:pPr>
            <w:r>
              <w:t>POSEBNI PARNIČNI POSTUPCI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25"/>
              <w:rPr>
                <w:b/>
                <w:color w:val="auto"/>
              </w:rPr>
            </w:pPr>
            <w:r>
              <w:rPr>
                <w:b/>
                <w:color w:val="auto"/>
              </w:rPr>
              <w:t>22.12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sz w:val="16"/>
                <w:lang w:val="sr-Latn-RS"/>
              </w:rPr>
            </w:pPr>
            <w:r>
              <w:rPr>
                <w:b/>
                <w:color w:val="auto"/>
                <w:sz w:val="16"/>
                <w:lang w:val="sr-Latn-RS"/>
              </w:rPr>
              <w:t>VANPARNIČNI POSTUPAK, IZVRŠNI I POSTUPAK OBEZBIJEĐENJA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1A61" w:rsidRDefault="00421A61">
            <w:pPr>
              <w:pStyle w:val="BodyTextIndent2"/>
              <w:ind w:left="0"/>
              <w:rPr>
                <w:b/>
                <w:color w:val="auto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sz w:val="16"/>
                <w:lang w:val="sr-Latn-RS"/>
              </w:rPr>
            </w:pPr>
            <w:r>
              <w:rPr>
                <w:b/>
                <w:color w:val="auto"/>
                <w:sz w:val="16"/>
                <w:lang w:val="sr-Latn-RS"/>
              </w:rPr>
              <w:t>Završni ispiti</w:t>
            </w:r>
          </w:p>
        </w:tc>
      </w:tr>
      <w:tr w:rsidR="00421A61" w:rsidTr="00421A61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1" w:rsidRDefault="00421A61">
            <w:pPr>
              <w:pStyle w:val="BodyTextIndent2"/>
              <w:ind w:left="0"/>
              <w:rPr>
                <w:b/>
                <w:color w:val="auto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color w:val="auto"/>
                <w:lang w:val="sr-Latn-RS"/>
              </w:rPr>
            </w:pPr>
            <w:r>
              <w:rPr>
                <w:b/>
                <w:i/>
                <w:color w:val="auto"/>
                <w:sz w:val="16"/>
                <w:lang w:val="sl-SI"/>
              </w:rPr>
              <w:t>Popravni ispitni rok</w:t>
            </w:r>
          </w:p>
        </w:tc>
      </w:tr>
      <w:tr w:rsidR="00421A61" w:rsidTr="00421A61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b/>
                <w:i/>
                <w:lang w:val="sl-SI"/>
              </w:rPr>
              <w:t xml:space="preserve">Obaveze studenta u toku nastave: </w:t>
            </w:r>
            <w:r>
              <w:rPr>
                <w:sz w:val="16"/>
                <w:lang w:val="sl-SI"/>
              </w:rPr>
              <w:t>Studenti su obavezni da pohađaju nastavu, vježbe i rade kolokvijume.</w:t>
            </w:r>
          </w:p>
        </w:tc>
      </w:tr>
      <w:tr w:rsidR="00421A61" w:rsidTr="00421A61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lang w:val="sr-Latn-RS"/>
              </w:rPr>
            </w:pPr>
            <w:r>
              <w:rPr>
                <w:b/>
                <w:i/>
                <w:lang w:val="sl-SI"/>
              </w:rPr>
              <w:t>Konsultacije:</w:t>
            </w:r>
            <w:r>
              <w:rPr>
                <w:color w:val="auto"/>
                <w:sz w:val="16"/>
                <w:lang w:val="sl-SI"/>
              </w:rPr>
              <w:t>:U TERMINIMA NASTAVE</w:t>
            </w:r>
          </w:p>
        </w:tc>
      </w:tr>
      <w:tr w:rsidR="00421A61" w:rsidTr="00421A61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pStyle w:val="BodyText3"/>
              <w:rPr>
                <w:b/>
                <w:color w:val="auto"/>
                <w:lang w:val="sr-Latn-RS"/>
              </w:rPr>
            </w:pPr>
            <w:r>
              <w:rPr>
                <w:b/>
                <w:i/>
                <w:color w:val="auto"/>
                <w:lang w:val="sr-Latn-RS"/>
              </w:rPr>
              <w:t>Opterećenje studenta u časovima:</w:t>
            </w:r>
          </w:p>
        </w:tc>
      </w:tr>
      <w:tr w:rsidR="00421A61" w:rsidTr="00421A61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61" w:rsidRDefault="00421A61">
            <w:pPr>
              <w:pStyle w:val="BodyText3"/>
              <w:jc w:val="center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u w:val="single"/>
                <w:lang w:val="sr-Latn-RS"/>
              </w:rPr>
              <w:t>nedjeljno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Struktura: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pStyle w:val="BodyText3"/>
              <w:jc w:val="center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u w:val="single"/>
                <w:lang w:val="sr-Latn-RS"/>
              </w:rPr>
              <w:t>u semestru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 xml:space="preserve">Ukupno opterećenje za predmet:   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Struktura: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Nastava i završni ispit: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u w:val="single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 xml:space="preserve">Neophodne pripreme prije početka semestra (administracija, upis, ovjera): </w:t>
            </w:r>
          </w:p>
          <w:p w:rsidR="00421A61" w:rsidRDefault="00421A61">
            <w:pPr>
              <w:pStyle w:val="BodyText3"/>
              <w:rPr>
                <w:color w:val="auto"/>
                <w:sz w:val="16"/>
                <w:lang w:val="sr-Latn-RS"/>
              </w:rPr>
            </w:pPr>
            <w:r>
              <w:rPr>
                <w:color w:val="auto"/>
                <w:sz w:val="16"/>
                <w:lang w:val="sr-Latn-RS"/>
              </w:rPr>
              <w:t>Dopunski rad za pripremu i polaganje ispita u popravnom roku:</w:t>
            </w:r>
          </w:p>
        </w:tc>
      </w:tr>
      <w:tr w:rsidR="00421A61" w:rsidTr="00421A61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61" w:rsidRDefault="00421A61">
            <w:pPr>
              <w:rPr>
                <w:rFonts w:ascii="Arial" w:hAnsi="Arial"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lastRenderedPageBreak/>
              <w:t xml:space="preserve">Literatura: </w:t>
            </w:r>
            <w:r>
              <w:rPr>
                <w:rFonts w:ascii="Arial" w:hAnsi="Arial"/>
                <w:color w:val="000000"/>
                <w:lang w:val="sr-Latn-CS"/>
              </w:rPr>
              <w:t xml:space="preserve"> </w:t>
            </w:r>
          </w:p>
          <w:p w:rsidR="00421A61" w:rsidRDefault="00421A61">
            <w:pPr>
              <w:rPr>
                <w:rFonts w:ascii="Arial" w:hAnsi="Arial"/>
                <w:color w:val="000000"/>
                <w:lang w:val="sr-Latn-CS"/>
              </w:rPr>
            </w:pPr>
            <w:r>
              <w:rPr>
                <w:rFonts w:ascii="Arial" w:hAnsi="Arial"/>
                <w:color w:val="000000"/>
                <w:lang w:val="sr-Latn-CS"/>
              </w:rPr>
              <w:t xml:space="preserve">Domača: </w:t>
            </w:r>
          </w:p>
          <w:p w:rsidR="00421A61" w:rsidRDefault="00421A61" w:rsidP="00ED6866">
            <w:pPr>
              <w:numPr>
                <w:ilvl w:val="0"/>
                <w:numId w:val="1"/>
              </w:num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 xml:space="preserve"> Đuričin, Građansko procesno pravo, 1997;</w:t>
            </w:r>
          </w:p>
          <w:p w:rsidR="00421A61" w:rsidRDefault="00421A61" w:rsidP="00ED6866">
            <w:pPr>
              <w:numPr>
                <w:ilvl w:val="0"/>
                <w:numId w:val="1"/>
              </w:num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Đuričin, Zakon o parničnom postupku sa objašnjenjima, 2004</w:t>
            </w:r>
          </w:p>
          <w:p w:rsidR="00421A61" w:rsidRDefault="00421A61" w:rsidP="00ED6866">
            <w:pPr>
              <w:numPr>
                <w:ilvl w:val="0"/>
                <w:numId w:val="1"/>
              </w:num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Đuričin, Utvrđivanje istine u parničnom postupku, 1998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Strana: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1.Triva i ostali, Građansko parnično procesno pravo, 2004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2.Poznić, Vodinelić, Građansko procesno pravo, 1999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3.Starović, Keča, Građansko procesno pravo, 2004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4.Galič, Beteto, Evropsko građansko procesno pravo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5.</w:t>
            </w:r>
          </w:p>
          <w:p w:rsidR="00421A61" w:rsidRDefault="00421A61">
            <w:pPr>
              <w:rPr>
                <w:color w:val="000000"/>
                <w:sz w:val="22"/>
                <w:lang w:val="sr-Latn-RS"/>
              </w:rPr>
            </w:pPr>
            <w:r>
              <w:rPr>
                <w:color w:val="000000"/>
                <w:sz w:val="22"/>
                <w:lang w:val="sr-Latn-RS"/>
              </w:rPr>
              <w:t>Legioslativa: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RS"/>
              </w:rPr>
              <w:t>1.Izmjene i dopune Zakona o parničnom postupku, Sl. List CG, br.48-2015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2.Zakon o vanparničnom postupku, Sl. List CG, br. 48-2015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3.Zakon o javnim izvršiteljima, Sl. List CG, br. 61-2011</w:t>
            </w:r>
          </w:p>
          <w:p w:rsidR="00421A61" w:rsidRDefault="00421A61">
            <w:pPr>
              <w:rPr>
                <w:color w:val="000000"/>
                <w:sz w:val="22"/>
                <w:lang w:val="sr-Latn-CS"/>
              </w:rPr>
            </w:pPr>
            <w:r>
              <w:rPr>
                <w:color w:val="000000"/>
                <w:sz w:val="22"/>
                <w:lang w:val="sr-Latn-CS"/>
              </w:rPr>
              <w:t>4.Zakon o izvršenju i obezbijeđenju, Sl. List CG, br. 36-2011, 28-2014 i 20-2015</w:t>
            </w:r>
          </w:p>
          <w:p w:rsidR="00421A61" w:rsidRDefault="00421A61"/>
        </w:tc>
      </w:tr>
      <w:tr w:rsidR="00421A61" w:rsidTr="00421A61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1A61" w:rsidRDefault="00421A61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lang w:val="sr-Latn-CS"/>
              </w:rPr>
              <w:t xml:space="preserve"> </w:t>
            </w:r>
          </w:p>
          <w:p w:rsidR="00421A61" w:rsidRDefault="00421A61">
            <w:pPr>
              <w:ind w:left="360"/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 Ocjenjuju se:</w:t>
            </w:r>
          </w:p>
          <w:p w:rsidR="00421A61" w:rsidRDefault="00421A61" w:rsidP="00ED6866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Kolokvijum sa maksimalno 47, završni ispit maksimalno 47 poena. </w:t>
            </w:r>
          </w:p>
          <w:p w:rsidR="00421A61" w:rsidRDefault="00421A61" w:rsidP="00ED6866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>Praktična nastava boduje se sa maksimalno 6 poena.</w:t>
            </w:r>
          </w:p>
          <w:p w:rsidR="00421A61" w:rsidRDefault="00421A61" w:rsidP="00ED6866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>Nema usovljavanja izlaska na završni ispit.</w:t>
            </w:r>
          </w:p>
          <w:p w:rsidR="00421A61" w:rsidRDefault="00421A61">
            <w:pPr>
              <w:rPr>
                <w:rFonts w:ascii="Arial" w:hAnsi="Arial"/>
                <w:color w:val="000000"/>
                <w:sz w:val="16"/>
                <w:lang w:val="sr-Latn-CS"/>
              </w:rPr>
            </w:pPr>
          </w:p>
          <w:p w:rsidR="00421A61" w:rsidRDefault="00421A61">
            <w:pPr>
              <w:ind w:left="360"/>
              <w:rPr>
                <w:rFonts w:ascii="Arial" w:hAnsi="Arial"/>
                <w:color w:val="000000"/>
                <w:sz w:val="16"/>
                <w:lang w:val="sr-Latn-CS"/>
              </w:rPr>
            </w:pPr>
          </w:p>
          <w:p w:rsidR="00421A61" w:rsidRDefault="00421A61">
            <w:pPr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421A61" w:rsidTr="00421A61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E</w:t>
            </w:r>
          </w:p>
        </w:tc>
      </w:tr>
      <w:tr w:rsidR="00421A61" w:rsidTr="00421A61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61" w:rsidRDefault="00421A61">
            <w:pPr>
              <w:jc w:val="right"/>
              <w:rPr>
                <w:rFonts w:ascii="Arial" w:hAnsi="Arial"/>
                <w:b/>
                <w:i/>
                <w:color w:val="000000"/>
                <w:sz w:val="16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jc w:val="center"/>
              <w:rPr>
                <w:rFonts w:ascii="Arial" w:hAnsi="Arial"/>
                <w:b/>
                <w:i/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>50-59</w:t>
            </w:r>
          </w:p>
        </w:tc>
      </w:tr>
      <w:tr w:rsidR="00421A61" w:rsidTr="00421A61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61" w:rsidRDefault="00421A61">
            <w:pPr>
              <w:jc w:val="both"/>
              <w:rPr>
                <w:color w:val="000000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421A61" w:rsidRDefault="00421A61">
            <w:pPr>
              <w:jc w:val="both"/>
              <w:rPr>
                <w:rFonts w:ascii="Arial" w:hAnsi="Arial"/>
                <w:color w:val="800000"/>
                <w:sz w:val="16"/>
                <w:lang w:val="sr-Latn-CS"/>
              </w:rPr>
            </w:pPr>
          </w:p>
        </w:tc>
      </w:tr>
      <w:tr w:rsidR="00421A61" w:rsidTr="00421A61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rPr>
                <w:rFonts w:ascii="Arial" w:hAnsi="Arial"/>
                <w:b/>
                <w:i/>
                <w:color w:val="000000"/>
                <w:sz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sz w:val="16"/>
                <w:lang w:val="sr-Latn-CS"/>
              </w:rPr>
              <w:t xml:space="preserve">Dodatne informacije o predmetu: </w:t>
            </w:r>
          </w:p>
          <w:p w:rsidR="00421A61" w:rsidRDefault="00421A61">
            <w:pPr>
              <w:rPr>
                <w:rFonts w:ascii="Arial" w:hAnsi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 Sve dodatne informacije je moguće dobiti na konsultacijama i na mail djuricin@t-com.me</w:t>
            </w:r>
          </w:p>
        </w:tc>
      </w:tr>
      <w:tr w:rsidR="00421A61" w:rsidTr="00421A61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61" w:rsidRDefault="00421A61">
            <w:pPr>
              <w:rPr>
                <w:rFonts w:ascii="Arial" w:hAnsi="Arial"/>
                <w:color w:val="000000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16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16"/>
                <w:lang w:val="sl-SI"/>
              </w:rPr>
              <w:t>Đuričin</w:t>
            </w:r>
          </w:p>
        </w:tc>
      </w:tr>
    </w:tbl>
    <w:p w:rsidR="00421A61" w:rsidRDefault="00421A61" w:rsidP="00421A61">
      <w:pPr>
        <w:rPr>
          <w:rFonts w:ascii="Arial" w:hAnsi="Arial"/>
          <w:b/>
          <w:i/>
          <w:color w:val="800000"/>
          <w:lang w:val="sr-Latn-CS"/>
        </w:rPr>
      </w:pPr>
    </w:p>
    <w:p w:rsidR="00421A61" w:rsidRDefault="00421A61" w:rsidP="00421A61"/>
    <w:p w:rsidR="00421A61" w:rsidRDefault="00421A61" w:rsidP="00421A61"/>
    <w:p w:rsidR="009A6EB2" w:rsidRPr="00421A61" w:rsidRDefault="009A6EB2" w:rsidP="00421A61">
      <w:bookmarkStart w:id="0" w:name="_GoBack"/>
      <w:bookmarkEnd w:id="0"/>
    </w:p>
    <w:sectPr w:rsidR="009A6EB2" w:rsidRPr="0042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B21"/>
    <w:multiLevelType w:val="singleLevel"/>
    <w:tmpl w:val="FBD6F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61"/>
    <w:rsid w:val="00421A61"/>
    <w:rsid w:val="009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AF53-7986-4288-BC9C-F925EBE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421A61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1A61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1A61"/>
    <w:pPr>
      <w:keepNext/>
      <w:jc w:val="center"/>
      <w:outlineLvl w:val="2"/>
    </w:pPr>
    <w:rPr>
      <w:rFonts w:ascii="Arial" w:hAnsi="Arial"/>
      <w:b/>
      <w:i/>
      <w:color w:val="000000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1A61"/>
    <w:pPr>
      <w:keepNext/>
      <w:outlineLvl w:val="3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A61"/>
    <w:rPr>
      <w:rFonts w:ascii="Arial" w:eastAsia="Times New Roman" w:hAnsi="Arial" w:cs="Times New Roman"/>
      <w:b/>
      <w:i/>
      <w:color w:val="000000"/>
      <w:sz w:val="28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421A61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421A61"/>
    <w:rPr>
      <w:rFonts w:ascii="Arial" w:eastAsia="Times New Roman" w:hAnsi="Arial" w:cs="Times New Roman"/>
      <w:b/>
      <w:i/>
      <w:color w:val="000000"/>
      <w:sz w:val="20"/>
      <w:szCs w:val="20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421A6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NormalWeb">
    <w:name w:val="Normal (Web)"/>
    <w:basedOn w:val="Normal"/>
    <w:semiHidden/>
    <w:unhideWhenUsed/>
    <w:rsid w:val="00421A61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421A61"/>
    <w:rPr>
      <w:rFonts w:ascii="Arial" w:hAnsi="Arial"/>
      <w:color w:val="000000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421A61"/>
    <w:rPr>
      <w:rFonts w:ascii="Arial" w:eastAsia="Times New Roman" w:hAnsi="Arial" w:cs="Times New Roman"/>
      <w:color w:val="000000"/>
      <w:sz w:val="20"/>
      <w:szCs w:val="20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421A61"/>
    <w:pPr>
      <w:ind w:left="180"/>
    </w:pPr>
    <w:rPr>
      <w:rFonts w:ascii="Arial" w:hAnsi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1A61"/>
    <w:rPr>
      <w:rFonts w:ascii="Arial" w:eastAsia="Times New Roman" w:hAnsi="Arial" w:cs="Times New Roman"/>
      <w:color w:val="000000"/>
      <w:sz w:val="16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2020-09-24T10:42:00Z</dcterms:created>
  <dcterms:modified xsi:type="dcterms:W3CDTF">2020-09-24T10:43:00Z</dcterms:modified>
</cp:coreProperties>
</file>