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F4" w:rsidRPr="00496B11" w:rsidRDefault="006738F4" w:rsidP="006738F4">
      <w:pPr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873"/>
        <w:gridCol w:w="566"/>
        <w:gridCol w:w="730"/>
        <w:gridCol w:w="527"/>
        <w:gridCol w:w="398"/>
        <w:gridCol w:w="873"/>
        <w:gridCol w:w="168"/>
        <w:gridCol w:w="1620"/>
        <w:gridCol w:w="238"/>
        <w:gridCol w:w="1570"/>
      </w:tblGrid>
      <w:tr w:rsidR="00D341E9" w:rsidRPr="00496B11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1E9" w:rsidRPr="00496B11" w:rsidRDefault="00D341E9" w:rsidP="00DD00E8">
            <w:pPr>
              <w:ind w:firstLine="72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N</w:t>
            </w:r>
            <w:r w:rsidR="007E288D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aziv predmeta:  Institucije EU</w:t>
            </w:r>
          </w:p>
        </w:tc>
      </w:tr>
      <w:tr w:rsidR="006738F4" w:rsidRPr="00496B11" w:rsidTr="00255FD2">
        <w:trPr>
          <w:trHeight w:val="18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738F4" w:rsidRPr="00496B11" w:rsidTr="00255FD2">
        <w:trPr>
          <w:trHeight w:val="27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7E288D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V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7E288D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2P+1V</w:t>
            </w:r>
          </w:p>
        </w:tc>
      </w:tr>
      <w:tr w:rsidR="006738F4" w:rsidRPr="00496B11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Fakultet političkih nauka -  Akademski studijski program za</w:t>
            </w:r>
            <w:r w:rsidR="007E288D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diplome: 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POLITIKOLOGA </w:t>
            </w:r>
          </w:p>
          <w:p w:rsidR="006738F4" w:rsidRPr="00496B11" w:rsidRDefault="007E288D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(Studije traju 6 semestara, 180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ECTS kredita)</w:t>
            </w:r>
          </w:p>
        </w:tc>
      </w:tr>
      <w:tr w:rsidR="006738F4" w:rsidRPr="00496B11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="007E288D" w:rsidRPr="00496B11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 Nema uslovljenosti.</w:t>
            </w:r>
          </w:p>
        </w:tc>
      </w:tr>
      <w:tr w:rsidR="006738F4" w:rsidRPr="00496B11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Ciljevi izučavanja predmeta:</w:t>
            </w:r>
          </w:p>
          <w:p w:rsidR="006738F4" w:rsidRPr="00496B11" w:rsidRDefault="007E288D" w:rsidP="00673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Upoznavanje sa istorijatom, strukturom i načinom funkcionisanja najznačajnijih institucija Evropske unije</w:t>
            </w:r>
          </w:p>
        </w:tc>
      </w:tr>
      <w:tr w:rsidR="006738F4" w:rsidRPr="00496B11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Ime i prezime nastavnika</w:t>
            </w:r>
            <w:r w:rsidR="007E288D"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i saradnika</w:t>
            </w: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:  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7E288D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, mr Nemanja Stankov</w:t>
            </w:r>
            <w:r w:rsidRPr="00496B11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496B11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Metod nastave i savladanja gradiva: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</w:p>
          <w:p w:rsidR="006738F4" w:rsidRPr="00496B11" w:rsidRDefault="0072528D" w:rsidP="00FD0199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  <w:lang w:val="sl-SI"/>
              </w:rPr>
              <w:t>Z</w:t>
            </w:r>
            <w:bookmarkStart w:id="0" w:name="_GoBack"/>
            <w:bookmarkEnd w:id="0"/>
            <w:r w:rsidR="006738F4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avršni ispit</w:t>
            </w:r>
          </w:p>
        </w:tc>
      </w:tr>
      <w:tr w:rsidR="006738F4" w:rsidRPr="00496B11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496B11" w:rsidRDefault="006738F4" w:rsidP="00DD00E8">
            <w:pPr>
              <w:pStyle w:val="Heading3"/>
              <w:jc w:val="left"/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8F4" w:rsidRPr="00496B11" w:rsidRDefault="005C559F" w:rsidP="00D341E9">
            <w:pPr>
              <w:pStyle w:val="BodyTextIndent2"/>
              <w:ind w:left="-108" w:right="-91"/>
              <w:rPr>
                <w:b/>
                <w:bCs/>
                <w:iCs/>
                <w:color w:val="auto"/>
                <w:szCs w:val="16"/>
              </w:rPr>
            </w:pPr>
            <w:r w:rsidRPr="00496B11">
              <w:rPr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496B11">
              <w:rPr>
                <w:b/>
                <w:bCs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746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496B11" w:rsidTr="00255FD2">
        <w:trPr>
          <w:cantSplit/>
          <w:trHeight w:val="205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6738F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Nastanak i razvoj evropske političke integracije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5B7C37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 neđelja 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Stvaranje evropske unije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III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Evropski savjet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IV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Evropska komisija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 (ministara) EU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i/>
                <w:color w:val="auto"/>
                <w:sz w:val="16"/>
                <w:szCs w:val="16"/>
              </w:rPr>
              <w:t>Evropski parlament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b/>
                <w:color w:val="auto"/>
                <w:sz w:val="16"/>
                <w:szCs w:val="16"/>
                <w:lang w:val="sr-Latn-ME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Kolokvijum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Međuinstitucionalna saradnja na nivou EU prema ugovoru iz Lisabona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Pravni sistem Unije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Finansijske institucije EU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Savjetodavni organi EU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EU kao akter u međunarodnim odnosima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3418B2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Budućnost EU posle Brexit-a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3418B2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Popravni kolokvijum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496B11" w:rsidTr="00255FD2">
        <w:trPr>
          <w:cantSplit/>
          <w:trHeight w:val="8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496B11" w:rsidRDefault="007E288D" w:rsidP="00DD00E8">
            <w:pPr>
              <w:pStyle w:val="BodyText3"/>
              <w:rPr>
                <w:rFonts w:cs="Arial"/>
                <w:b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496B11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738F4" w:rsidRPr="00496B11" w:rsidRDefault="007E288D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XVII</w:t>
            </w:r>
            <w:r w:rsidR="006738F4" w:rsidRPr="00496B11">
              <w:rPr>
                <w:b/>
                <w:bCs/>
                <w:color w:val="auto"/>
                <w:szCs w:val="16"/>
              </w:rPr>
              <w:t>-XXI neđelja</w:t>
            </w:r>
          </w:p>
        </w:tc>
        <w:tc>
          <w:tcPr>
            <w:tcW w:w="3746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496B11" w:rsidRDefault="006738F4" w:rsidP="00DD00E8">
            <w:pPr>
              <w:pStyle w:val="BodyText3"/>
              <w:rPr>
                <w:rFonts w:cs="Arial"/>
                <w:b/>
                <w:i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496B11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496B11" w:rsidRDefault="006738F4" w:rsidP="00DD00E8">
            <w:pPr>
              <w:pStyle w:val="BodyText3"/>
              <w:jc w:val="center"/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255FD2" w:rsidRPr="00496B11" w:rsidTr="0024112B">
        <w:trPr>
          <w:cantSplit/>
          <w:trHeight w:val="720"/>
        </w:trPr>
        <w:tc>
          <w:tcPr>
            <w:tcW w:w="2498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F26306" w:rsidRPr="00496B11" w:rsidRDefault="00255FD2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Neđeljno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6 kredita x 40/30 = 8 sati </w:t>
            </w:r>
          </w:p>
          <w:p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Struktura: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  <w:p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2 sata predavanja, </w:t>
            </w:r>
          </w:p>
          <w:p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1 sat vježbi, 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5</w:t>
            </w:r>
            <w:r w:rsidR="00F26306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sati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samostalnog rada 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26306" w:rsidRPr="00496B11" w:rsidRDefault="00F26306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U toku semestra</w:t>
            </w:r>
          </w:p>
          <w:p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Nastava i završni ispit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6 sati i četrdeset minuta x 16 = 96 sati i četrdeset minuta </w:t>
            </w:r>
          </w:p>
          <w:p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Neophodne pripreme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prije početka semestra (administracija, upis, ovjera) 2 x (6 sati i četrdeset minuta) = 13 sati dvadeset minuta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Ukupno opterećenje za predmet – 4x30 = 120 sati</w:t>
            </w:r>
          </w:p>
          <w:p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Dopunski rad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za pripremu ispita u popravnom ispitnom roku, uključujući i polaganje popravnog ispita od 0 do 10sati (preostalo vrijeme od prve dvije stavke do ukupnog opterećenja za predmet 120sati)</w:t>
            </w:r>
          </w:p>
          <w:p w:rsidR="00255FD2" w:rsidRPr="00496B11" w:rsidRDefault="00255FD2" w:rsidP="00255FD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96B11">
              <w:rPr>
                <w:rFonts w:ascii="Arial" w:eastAsia="DejaVuSans" w:hAnsi="Arial" w:cs="Arial"/>
                <w:b/>
                <w:i/>
                <w:sz w:val="16"/>
                <w:szCs w:val="16"/>
                <w:lang w:val="en-GB"/>
              </w:rPr>
              <w:t>Struktura opterećenja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96 sati i 40 minuta (nastava) + 13 sati i 20 minuta (priprema) + 10 sati (dopunski rad)</w:t>
            </w:r>
          </w:p>
        </w:tc>
      </w:tr>
      <w:tr w:rsidR="006738F4" w:rsidRPr="00496B11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496B11" w:rsidRDefault="006738F4" w:rsidP="00045E47">
            <w:pPr>
              <w:pStyle w:val="BodyText3"/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Konsultacije</w:t>
            </w:r>
            <w:r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 xml:space="preserve">: </w:t>
            </w:r>
            <w:r w:rsidR="00045E47"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496B11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Obavezna literatura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odgovarajuća poglavlja iz sljedećih knjiga: - Prokopijević, M. (2009). Evropska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unija: uvod, Beograd: Službeni glasnik. - Đurović, G. (2012). Evropska unija i Crna Gora, politika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proširenja, Podgorica: Ekonomski fakultet. - Ilić Gasmi, G. (2008). Pravo i institucije Evropske unije,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Beograd: Univerzitet Singidunum. - Dinan, D. (2009). Sve bliža Unija: uvod u evropsku integraciju,</w:t>
            </w:r>
          </w:p>
          <w:p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Beograd: Službeni glasnik. - Hiks, S. (2007). Politički sistem Evropske unije, Beograd: Službeni glasnik.</w:t>
            </w:r>
          </w:p>
          <w:p w:rsidR="006738F4" w:rsidRPr="00496B11" w:rsidRDefault="007E288D" w:rsidP="007E288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Dodatna literatura – izabrani članci iz akademskih i specijalizovanih časopisa</w:t>
            </w:r>
          </w:p>
        </w:tc>
      </w:tr>
      <w:tr w:rsidR="006738F4" w:rsidRPr="00496B11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:rsidR="006738F4" w:rsidRPr="00496B11" w:rsidRDefault="00A63082" w:rsidP="003418B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Završni ispit (</w:t>
            </w:r>
            <w:r w:rsidR="0072528D"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 w:rsidR="003418B2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</w:tc>
      </w:tr>
      <w:tr w:rsidR="006738F4" w:rsidRPr="00496B11" w:rsidTr="00255FD2">
        <w:trPr>
          <w:cantSplit/>
          <w:trHeight w:val="255"/>
        </w:trPr>
        <w:tc>
          <w:tcPr>
            <w:tcW w:w="765" w:type="pct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3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496B11" w:rsidTr="00255FD2">
        <w:trPr>
          <w:cantSplit/>
          <w:trHeight w:val="163"/>
        </w:trPr>
        <w:tc>
          <w:tcPr>
            <w:tcW w:w="765" w:type="pct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51 – 60</w:t>
            </w:r>
          </w:p>
        </w:tc>
        <w:tc>
          <w:tcPr>
            <w:tcW w:w="704" w:type="pct"/>
            <w:gridSpan w:val="2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61 - 70</w:t>
            </w:r>
          </w:p>
        </w:tc>
        <w:tc>
          <w:tcPr>
            <w:tcW w:w="806" w:type="pct"/>
            <w:gridSpan w:val="3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496B11" w:rsidRDefault="006738F4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91 - 100</w:t>
            </w:r>
          </w:p>
        </w:tc>
      </w:tr>
      <w:tr w:rsidR="006738F4" w:rsidRPr="00496B11" w:rsidTr="00A63082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496B11" w:rsidRDefault="006738F4" w:rsidP="00045E4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</w:t>
            </w:r>
            <w:r w:rsidR="00A965BE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  <w:tr w:rsidR="00A63082" w:rsidRPr="00496B11" w:rsidTr="005B7C37">
        <w:trPr>
          <w:trHeight w:val="156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Ishodi učenja: </w:t>
            </w:r>
          </w:p>
        </w:tc>
        <w:tc>
          <w:tcPr>
            <w:tcW w:w="4235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Student će nakon položenog ispita moći da: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- Objasni nastanak i razvoj evropske političke integracije - Analizira funkcionisanje najvažnijih institucija EU (Evropski savjet, Evropska komisija, Evropski parlament, Savjet EU) - Objasni proces međuinstitucionalne saradnje na nivou EU nakon usvajanja Lisabonskog ugovora - Analizira problem demokratskog deficita Evropske unije - Opiše ulogu i ukase na najvažnije primjere djelovanja EU na međunarodnom planu.</w:t>
            </w:r>
          </w:p>
        </w:tc>
      </w:tr>
    </w:tbl>
    <w:p w:rsidR="006738F4" w:rsidRPr="00496B11" w:rsidRDefault="006738F4" w:rsidP="006738F4">
      <w:pPr>
        <w:rPr>
          <w:rFonts w:ascii="Arial" w:hAnsi="Arial" w:cs="Arial"/>
          <w:sz w:val="16"/>
          <w:szCs w:val="16"/>
        </w:rPr>
      </w:pPr>
    </w:p>
    <w:sectPr w:rsidR="006738F4" w:rsidRPr="00496B11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122608"/>
    <w:rsid w:val="0024112B"/>
    <w:rsid w:val="00255FD2"/>
    <w:rsid w:val="0028061F"/>
    <w:rsid w:val="003418B2"/>
    <w:rsid w:val="004231E3"/>
    <w:rsid w:val="00496B11"/>
    <w:rsid w:val="005812D2"/>
    <w:rsid w:val="005B7C37"/>
    <w:rsid w:val="005C559F"/>
    <w:rsid w:val="006118B6"/>
    <w:rsid w:val="006738F4"/>
    <w:rsid w:val="0072528D"/>
    <w:rsid w:val="007E288D"/>
    <w:rsid w:val="00847F2E"/>
    <w:rsid w:val="008C1905"/>
    <w:rsid w:val="00A63082"/>
    <w:rsid w:val="00A6429F"/>
    <w:rsid w:val="00A965BE"/>
    <w:rsid w:val="00B36859"/>
    <w:rsid w:val="00B7526A"/>
    <w:rsid w:val="00C24252"/>
    <w:rsid w:val="00D341E9"/>
    <w:rsid w:val="00D522B3"/>
    <w:rsid w:val="00F03D37"/>
    <w:rsid w:val="00F26306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3074"/>
  <w15:docId w15:val="{788D103F-3008-400D-B2AF-4B9EBFE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6635-AAB6-4AB3-A51A-450D4E8C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13</cp:revision>
  <cp:lastPrinted>2018-02-13T11:35:00Z</cp:lastPrinted>
  <dcterms:created xsi:type="dcterms:W3CDTF">2018-02-13T11:36:00Z</dcterms:created>
  <dcterms:modified xsi:type="dcterms:W3CDTF">2020-10-13T12:45:00Z</dcterms:modified>
</cp:coreProperties>
</file>