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8F4" w:rsidRPr="00D341E9" w:rsidRDefault="006738F4" w:rsidP="006738F4">
      <w:pPr>
        <w:jc w:val="both"/>
        <w:rPr>
          <w:rFonts w:asciiTheme="minorHAnsi" w:hAnsiTheme="minorHAnsi" w:cstheme="minorHAnsi"/>
          <w:b/>
          <w:bCs/>
          <w:iCs/>
          <w:color w:val="000000"/>
          <w:sz w:val="16"/>
          <w:szCs w:val="16"/>
          <w:lang w:val="sr-Latn-CS"/>
        </w:rPr>
      </w:pPr>
    </w:p>
    <w:tbl>
      <w:tblPr>
        <w:tblW w:w="506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"/>
        <w:gridCol w:w="1366"/>
        <w:gridCol w:w="369"/>
        <w:gridCol w:w="1070"/>
        <w:gridCol w:w="566"/>
        <w:gridCol w:w="161"/>
        <w:gridCol w:w="531"/>
        <w:gridCol w:w="1267"/>
        <w:gridCol w:w="172"/>
        <w:gridCol w:w="1620"/>
        <w:gridCol w:w="233"/>
        <w:gridCol w:w="1574"/>
      </w:tblGrid>
      <w:tr w:rsidR="00D341E9" w:rsidRPr="00D341E9" w:rsidTr="00DE2A85">
        <w:trPr>
          <w:gridBefore w:val="1"/>
          <w:wBefore w:w="18" w:type="pct"/>
          <w:trHeight w:val="300"/>
        </w:trPr>
        <w:tc>
          <w:tcPr>
            <w:tcW w:w="4982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341E9" w:rsidRPr="00D341E9" w:rsidRDefault="00D341E9" w:rsidP="00DD00E8">
            <w:pPr>
              <w:ind w:firstLine="7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sr-Latn-CS"/>
              </w:rPr>
              <w:t>Naziv predmeta:  SPOLJNA</w:t>
            </w:r>
            <w:r w:rsidR="00DE256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sr-Latn-CS"/>
              </w:rPr>
              <w:t xml:space="preserve"> I BEZBJEDNOSNA</w:t>
            </w:r>
            <w:r w:rsidRPr="00D341E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sr-Latn-CS"/>
              </w:rPr>
              <w:t xml:space="preserve"> POLITIKA</w:t>
            </w:r>
            <w:r w:rsidR="00CB3AE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sr-Latn-CS"/>
              </w:rPr>
              <w:t xml:space="preserve"> EU</w:t>
            </w:r>
          </w:p>
        </w:tc>
      </w:tr>
      <w:tr w:rsidR="006738F4" w:rsidRPr="00D341E9" w:rsidTr="00DE2A85">
        <w:trPr>
          <w:gridBefore w:val="1"/>
          <w:wBefore w:w="18" w:type="pct"/>
          <w:trHeight w:val="180"/>
        </w:trPr>
        <w:tc>
          <w:tcPr>
            <w:tcW w:w="9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l-SI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l-SI"/>
              </w:rPr>
              <w:t>Šifra predmeta</w:t>
            </w:r>
          </w:p>
        </w:tc>
        <w:tc>
          <w:tcPr>
            <w:tcW w:w="10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3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6738F4" w:rsidRPr="00D341E9" w:rsidTr="00DE2A85">
        <w:trPr>
          <w:gridBefore w:val="1"/>
          <w:wBefore w:w="18" w:type="pct"/>
          <w:trHeight w:val="270"/>
        </w:trPr>
        <w:tc>
          <w:tcPr>
            <w:tcW w:w="9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</w:p>
        </w:tc>
        <w:tc>
          <w:tcPr>
            <w:tcW w:w="10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VI</w:t>
            </w:r>
            <w:r w:rsidR="00DE2568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113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72525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2P+1V</w:t>
            </w:r>
          </w:p>
        </w:tc>
      </w:tr>
      <w:tr w:rsidR="006738F4" w:rsidRPr="00D341E9" w:rsidTr="00DE2A85">
        <w:trPr>
          <w:gridBefore w:val="1"/>
          <w:wBefore w:w="18" w:type="pct"/>
          <w:trHeight w:val="649"/>
        </w:trPr>
        <w:tc>
          <w:tcPr>
            <w:tcW w:w="4982" w:type="pct"/>
            <w:gridSpan w:val="11"/>
            <w:tcBorders>
              <w:top w:val="nil"/>
              <w:bottom w:val="single" w:sz="4" w:space="0" w:color="auto"/>
            </w:tcBorders>
          </w:tcPr>
          <w:p w:rsidR="006738F4" w:rsidRPr="00D341E9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Studijski programi za koje se organizuje:</w:t>
            </w:r>
          </w:p>
          <w:p w:rsidR="006738F4" w:rsidRPr="00D341E9" w:rsidRDefault="006738F4" w:rsidP="00DD00E8">
            <w:p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Fakultet političkih nauka -  Akademski studijski program za sticanje diplome: DIPLOMIRANOG</w:t>
            </w:r>
            <w:r w:rsidR="00DE2568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(Spec.)</w:t>
            </w: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POLITIKOLOGA</w:t>
            </w:r>
            <w:r w:rsidR="00DE2568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</w:t>
            </w: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</w:t>
            </w:r>
          </w:p>
          <w:p w:rsidR="006738F4" w:rsidRPr="00D341E9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(Studije traju 8 semestara, 240 ECTS kredita)</w:t>
            </w:r>
          </w:p>
        </w:tc>
      </w:tr>
      <w:tr w:rsidR="006738F4" w:rsidRPr="00D341E9" w:rsidTr="00DE2A85">
        <w:trPr>
          <w:gridBefore w:val="1"/>
          <w:wBefore w:w="18" w:type="pct"/>
          <w:trHeight w:val="266"/>
        </w:trPr>
        <w:tc>
          <w:tcPr>
            <w:tcW w:w="4982" w:type="pct"/>
            <w:gridSpan w:val="11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Uslovljenost drugim predmetima:</w:t>
            </w: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</w:rPr>
              <w:t xml:space="preserve"> 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</w:rPr>
              <w:t xml:space="preserve"> /</w:t>
            </w:r>
          </w:p>
        </w:tc>
      </w:tr>
      <w:tr w:rsidR="006738F4" w:rsidRPr="00D341E9" w:rsidTr="00DE2A85">
        <w:trPr>
          <w:gridBefore w:val="1"/>
          <w:wBefore w:w="18" w:type="pct"/>
          <w:trHeight w:val="493"/>
        </w:trPr>
        <w:tc>
          <w:tcPr>
            <w:tcW w:w="4982" w:type="pct"/>
            <w:gridSpan w:val="11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r-Latn-CS"/>
              </w:rPr>
              <w:t>Ciljevi izučavanja predmeta:</w:t>
            </w:r>
          </w:p>
          <w:p w:rsidR="006738F4" w:rsidRPr="00D341E9" w:rsidRDefault="006738F4" w:rsidP="00CD411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 xml:space="preserve">Upoznavanje studenata s </w:t>
            </w:r>
            <w:r w:rsidR="00CD4118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istorijskim razvojem ideje vanjskopolitičke saradnje u okviru Evropske zajednice/unije, njenim najznačajnijim institucionalizovanim oblicima</w:t>
            </w:r>
            <w:r w:rsidR="00E46B7D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 xml:space="preserve"> (Evropska politička saradnja, Zajednička spoljna i bezbjednosna politika EU – CFSP, Evropska bezbjednosna i odbrambena politika EU - ESDP</w:t>
            </w:r>
            <w:r w:rsidR="00CD4118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,</w:t>
            </w:r>
            <w:r w:rsidR="00E46B7D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 xml:space="preserve"> Evropska služba za vanjske poslove – EEAS),</w:t>
            </w:r>
            <w:r w:rsidR="00CD4118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 xml:space="preserve"> kao i odnosima EU s najvažnijim</w:t>
            </w:r>
            <w:r w:rsidR="00E46B7D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 xml:space="preserve"> akterima međunarodnih odnosa, te </w:t>
            </w:r>
            <w:r w:rsidR="00CD4118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 xml:space="preserve">Crnom Gorom  </w:t>
            </w:r>
          </w:p>
        </w:tc>
      </w:tr>
      <w:tr w:rsidR="006738F4" w:rsidRPr="00D341E9" w:rsidTr="00DE2A85">
        <w:trPr>
          <w:gridBefore w:val="1"/>
          <w:wBefore w:w="18" w:type="pct"/>
          <w:trHeight w:val="254"/>
        </w:trPr>
        <w:tc>
          <w:tcPr>
            <w:tcW w:w="4982" w:type="pct"/>
            <w:gridSpan w:val="11"/>
            <w:tcBorders>
              <w:bottom w:val="single" w:sz="4" w:space="0" w:color="auto"/>
            </w:tcBorders>
          </w:tcPr>
          <w:p w:rsidR="006738F4" w:rsidRPr="00D341E9" w:rsidRDefault="006738F4" w:rsidP="006738F4">
            <w:pPr>
              <w:pStyle w:val="NormalWeb"/>
              <w:spacing w:before="0" w:beforeAutospacing="0" w:after="0" w:afterAutospacing="0"/>
              <w:ind w:firstLine="2"/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r-Latn-CS"/>
              </w:rPr>
              <w:t>Ime i prezime nastavnika</w:t>
            </w:r>
            <w:r w:rsidR="00DE2A85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r-Latn-CS"/>
              </w:rPr>
              <w:t xml:space="preserve"> i saradnika</w:t>
            </w: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r-Latn-CS"/>
              </w:rPr>
              <w:t>:</w:t>
            </w: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  <w:lang w:val="sr-Latn-CS"/>
              </w:rPr>
              <w:t xml:space="preserve">  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D</w:t>
            </w:r>
            <w:r w:rsidR="00847F2E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oc. d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r Ivan Vuković</w:t>
            </w:r>
            <w:r w:rsidR="00DE2A85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, Mr Nemanja Stankov</w:t>
            </w: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  <w:lang w:val="sr-Latn-CS"/>
              </w:rPr>
              <w:t xml:space="preserve">  </w:t>
            </w:r>
          </w:p>
        </w:tc>
      </w:tr>
      <w:tr w:rsidR="006738F4" w:rsidRPr="00D341E9" w:rsidTr="00DE2A85">
        <w:trPr>
          <w:gridBefore w:val="1"/>
          <w:wBefore w:w="18" w:type="pct"/>
          <w:trHeight w:val="406"/>
        </w:trPr>
        <w:tc>
          <w:tcPr>
            <w:tcW w:w="4982" w:type="pct"/>
            <w:gridSpan w:val="11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8"/>
                <w:szCs w:val="18"/>
                <w:lang w:val="sl-SI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Metod nastave i savladanja gradiva:</w:t>
            </w:r>
            <w:r w:rsidRPr="00D341E9">
              <w:rPr>
                <w:rFonts w:asciiTheme="minorHAnsi" w:hAnsiTheme="minorHAnsi" w:cstheme="minorHAnsi"/>
                <w:color w:val="auto"/>
                <w:sz w:val="18"/>
                <w:szCs w:val="18"/>
                <w:lang w:val="sl-SI"/>
              </w:rPr>
              <w:t xml:space="preserve"> </w:t>
            </w:r>
          </w:p>
          <w:p w:rsidR="006738F4" w:rsidRPr="00D341E9" w:rsidRDefault="006738F4" w:rsidP="006738F4">
            <w:pPr>
              <w:pStyle w:val="BodyText3"/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>Interaktivna n</w:t>
            </w:r>
            <w:r w:rsidR="00E706C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>astava, seminarski radovi, provjera znanja (kolokvijum</w:t>
            </w: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>) tokom semestra i završni ispit</w:t>
            </w:r>
          </w:p>
        </w:tc>
      </w:tr>
      <w:tr w:rsidR="006738F4" w:rsidRPr="00D341E9" w:rsidTr="00DE2A85">
        <w:trPr>
          <w:gridBefore w:val="1"/>
          <w:wBefore w:w="18" w:type="pct"/>
          <w:cantSplit/>
          <w:trHeight w:val="162"/>
        </w:trPr>
        <w:tc>
          <w:tcPr>
            <w:tcW w:w="4982" w:type="pct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738F4" w:rsidRPr="00D341E9" w:rsidRDefault="006738F4" w:rsidP="00DD00E8">
            <w:pPr>
              <w:pStyle w:val="Heading3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  <w:lang w:val="sl-SI"/>
              </w:rPr>
            </w:pPr>
            <w:r w:rsidRPr="00D341E9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  <w:lang w:val="sl-SI"/>
              </w:rPr>
              <w:t>Sadržaj predmeta:</w:t>
            </w:r>
          </w:p>
        </w:tc>
      </w:tr>
      <w:tr w:rsidR="006738F4" w:rsidRPr="00D341E9" w:rsidTr="00DE2A85">
        <w:trPr>
          <w:gridBefore w:val="1"/>
          <w:wBefore w:w="18" w:type="pct"/>
          <w:cantSplit/>
          <w:trHeight w:val="140"/>
        </w:trPr>
        <w:tc>
          <w:tcPr>
            <w:tcW w:w="968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738F4" w:rsidRPr="005C559F" w:rsidRDefault="005C559F" w:rsidP="00D341E9">
            <w:pPr>
              <w:pStyle w:val="BodyTextIndent2"/>
              <w:ind w:left="-108" w:right="-91"/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auto"/>
                <w:szCs w:val="16"/>
              </w:rPr>
              <w:t xml:space="preserve">   </w:t>
            </w:r>
            <w:r w:rsidR="006738F4" w:rsidRPr="005C559F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Pripremna nedjelja</w:t>
            </w:r>
          </w:p>
        </w:tc>
        <w:tc>
          <w:tcPr>
            <w:tcW w:w="4014" w:type="pct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Upoznavanje, priprema i upis semestra</w:t>
            </w:r>
          </w:p>
        </w:tc>
      </w:tr>
      <w:tr w:rsidR="006738F4" w:rsidRPr="00D341E9" w:rsidTr="00DE2A85">
        <w:trPr>
          <w:gridBefore w:val="1"/>
          <w:wBefore w:w="18" w:type="pct"/>
          <w:cantSplit/>
          <w:trHeight w:val="205"/>
        </w:trPr>
        <w:tc>
          <w:tcPr>
            <w:tcW w:w="968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 neđelja </w:t>
            </w:r>
          </w:p>
        </w:tc>
        <w:tc>
          <w:tcPr>
            <w:tcW w:w="4014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672F45" w:rsidP="006738F4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Ideja evropskog ujedinjenja između dva svjetska rata</w:t>
            </w:r>
          </w:p>
        </w:tc>
      </w:tr>
      <w:tr w:rsidR="006738F4" w:rsidRPr="00D341E9" w:rsidTr="00DE2A85">
        <w:trPr>
          <w:gridBefore w:val="1"/>
          <w:wBefore w:w="18" w:type="pct"/>
          <w:cantSplit/>
          <w:trHeight w:val="140"/>
        </w:trPr>
        <w:tc>
          <w:tcPr>
            <w:tcW w:w="968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II neđelja    </w:t>
            </w:r>
          </w:p>
        </w:tc>
        <w:tc>
          <w:tcPr>
            <w:tcW w:w="4014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672F45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Prve dvije decenije procesa evropske integracije</w:t>
            </w:r>
          </w:p>
        </w:tc>
      </w:tr>
      <w:tr w:rsidR="006738F4" w:rsidRPr="00D341E9" w:rsidTr="00DE2A85">
        <w:trPr>
          <w:gridBefore w:val="1"/>
          <w:wBefore w:w="18" w:type="pct"/>
          <w:cantSplit/>
          <w:trHeight w:val="140"/>
        </w:trPr>
        <w:tc>
          <w:tcPr>
            <w:tcW w:w="968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III neđelja</w:t>
            </w:r>
            <w:r w:rsidRPr="00D341E9">
              <w:rPr>
                <w:rFonts w:asciiTheme="minorHAnsi" w:hAnsiTheme="minorHAnsi" w:cstheme="minorHAnsi"/>
                <w:color w:val="auto"/>
                <w:szCs w:val="16"/>
              </w:rPr>
              <w:t xml:space="preserve">    </w:t>
            </w:r>
          </w:p>
        </w:tc>
        <w:tc>
          <w:tcPr>
            <w:tcW w:w="4014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672F45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Stvaranje „Evropske političke saradnje“</w:t>
            </w:r>
          </w:p>
        </w:tc>
      </w:tr>
      <w:tr w:rsidR="006738F4" w:rsidRPr="00D341E9" w:rsidTr="00DE2A85">
        <w:trPr>
          <w:gridBefore w:val="1"/>
          <w:wBefore w:w="18" w:type="pct"/>
          <w:cantSplit/>
          <w:trHeight w:val="140"/>
        </w:trPr>
        <w:tc>
          <w:tcPr>
            <w:tcW w:w="968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IV neđelja     </w:t>
            </w:r>
          </w:p>
        </w:tc>
        <w:tc>
          <w:tcPr>
            <w:tcW w:w="4014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672F45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Vanjskopolitičke aktivnosti Evropske zajednice</w:t>
            </w:r>
          </w:p>
        </w:tc>
      </w:tr>
      <w:tr w:rsidR="006738F4" w:rsidRPr="00D341E9" w:rsidTr="00DE2A85">
        <w:trPr>
          <w:gridBefore w:val="1"/>
          <w:wBefore w:w="18" w:type="pct"/>
          <w:cantSplit/>
          <w:trHeight w:val="140"/>
        </w:trPr>
        <w:tc>
          <w:tcPr>
            <w:tcW w:w="968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 neđelja    </w:t>
            </w:r>
          </w:p>
        </w:tc>
        <w:tc>
          <w:tcPr>
            <w:tcW w:w="4014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E2568" w:rsidRDefault="00DE2568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E256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Spoljna politika EU tokom 1990ih godina</w:t>
            </w:r>
          </w:p>
        </w:tc>
      </w:tr>
      <w:tr w:rsidR="006738F4" w:rsidRPr="00D341E9" w:rsidTr="00DE2A85">
        <w:trPr>
          <w:gridBefore w:val="1"/>
          <w:wBefore w:w="18" w:type="pct"/>
          <w:cantSplit/>
          <w:trHeight w:val="140"/>
        </w:trPr>
        <w:tc>
          <w:tcPr>
            <w:tcW w:w="968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VI neđelja   </w:t>
            </w:r>
          </w:p>
        </w:tc>
        <w:tc>
          <w:tcPr>
            <w:tcW w:w="4014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E2568" w:rsidRDefault="00DE2568" w:rsidP="00DD00E8">
            <w:pPr>
              <w:pStyle w:val="BodyText3"/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</w:pPr>
            <w:r w:rsidRPr="00DE2568"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Test</w:t>
            </w:r>
          </w:p>
        </w:tc>
      </w:tr>
      <w:tr w:rsidR="006738F4" w:rsidRPr="00D341E9" w:rsidTr="00DE2A85">
        <w:trPr>
          <w:gridBefore w:val="1"/>
          <w:wBefore w:w="18" w:type="pct"/>
          <w:cantSplit/>
          <w:trHeight w:val="140"/>
        </w:trPr>
        <w:tc>
          <w:tcPr>
            <w:tcW w:w="968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VII neđelja      </w:t>
            </w:r>
          </w:p>
        </w:tc>
        <w:tc>
          <w:tcPr>
            <w:tcW w:w="4014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F03D37" w:rsidRDefault="00DE2568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  <w:lang w:val="sr-Latn-ME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  <w:lang w:val="sr-Latn-ME"/>
              </w:rPr>
              <w:t>Djelovanje EU u krizama na prostoru bivše Jugoslavije</w:t>
            </w:r>
          </w:p>
        </w:tc>
      </w:tr>
      <w:tr w:rsidR="006738F4" w:rsidRPr="00D341E9" w:rsidTr="00DE2A85">
        <w:trPr>
          <w:gridBefore w:val="1"/>
          <w:wBefore w:w="18" w:type="pct"/>
          <w:cantSplit/>
          <w:trHeight w:val="140"/>
        </w:trPr>
        <w:tc>
          <w:tcPr>
            <w:tcW w:w="968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VIII neđelja    </w:t>
            </w:r>
          </w:p>
        </w:tc>
        <w:tc>
          <w:tcPr>
            <w:tcW w:w="4014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DE2568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Zajednička odbrambena i bezbjednosna politika EU</w:t>
            </w:r>
          </w:p>
        </w:tc>
      </w:tr>
      <w:tr w:rsidR="006738F4" w:rsidRPr="00D341E9" w:rsidTr="00DE2A85">
        <w:trPr>
          <w:gridBefore w:val="1"/>
          <w:wBefore w:w="18" w:type="pct"/>
          <w:cantSplit/>
          <w:trHeight w:val="140"/>
        </w:trPr>
        <w:tc>
          <w:tcPr>
            <w:tcW w:w="968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IX neđelja   </w:t>
            </w:r>
          </w:p>
        </w:tc>
        <w:tc>
          <w:tcPr>
            <w:tcW w:w="4014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DE2568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Vanjska politika EU nakon Lisaona</w:t>
            </w:r>
          </w:p>
        </w:tc>
      </w:tr>
      <w:tr w:rsidR="006738F4" w:rsidRPr="00D341E9" w:rsidTr="00DE2A85">
        <w:trPr>
          <w:gridBefore w:val="1"/>
          <w:wBefore w:w="18" w:type="pct"/>
          <w:cantSplit/>
          <w:trHeight w:val="140"/>
        </w:trPr>
        <w:tc>
          <w:tcPr>
            <w:tcW w:w="968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 neđelja   </w:t>
            </w:r>
          </w:p>
        </w:tc>
        <w:tc>
          <w:tcPr>
            <w:tcW w:w="4014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DE2568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Odnosi EU i SAD</w:t>
            </w:r>
          </w:p>
        </w:tc>
      </w:tr>
      <w:tr w:rsidR="006738F4" w:rsidRPr="00D341E9" w:rsidTr="00DE2A85">
        <w:trPr>
          <w:gridBefore w:val="1"/>
          <w:wBefore w:w="18" w:type="pct"/>
          <w:cantSplit/>
          <w:trHeight w:val="140"/>
        </w:trPr>
        <w:tc>
          <w:tcPr>
            <w:tcW w:w="968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 neđelja     </w:t>
            </w:r>
          </w:p>
        </w:tc>
        <w:tc>
          <w:tcPr>
            <w:tcW w:w="4014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E2568" w:rsidRDefault="00DE2568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Odnosi EU-Rusija</w:t>
            </w:r>
          </w:p>
        </w:tc>
      </w:tr>
      <w:tr w:rsidR="006738F4" w:rsidRPr="00D341E9" w:rsidTr="00DE2A85">
        <w:trPr>
          <w:gridBefore w:val="1"/>
          <w:wBefore w:w="18" w:type="pct"/>
          <w:cantSplit/>
          <w:trHeight w:val="140"/>
        </w:trPr>
        <w:tc>
          <w:tcPr>
            <w:tcW w:w="968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XII neđelja      </w:t>
            </w:r>
          </w:p>
        </w:tc>
        <w:tc>
          <w:tcPr>
            <w:tcW w:w="4014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E2568" w:rsidRDefault="00DE2568" w:rsidP="00DD00E8">
            <w:pPr>
              <w:pStyle w:val="BodyText3"/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Popravni test</w:t>
            </w:r>
          </w:p>
        </w:tc>
      </w:tr>
      <w:tr w:rsidR="006738F4" w:rsidRPr="00D341E9" w:rsidTr="00DE2A85">
        <w:trPr>
          <w:gridBefore w:val="1"/>
          <w:wBefore w:w="18" w:type="pct"/>
          <w:cantSplit/>
          <w:trHeight w:val="140"/>
        </w:trPr>
        <w:tc>
          <w:tcPr>
            <w:tcW w:w="968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XIII neđelja     </w:t>
            </w:r>
          </w:p>
        </w:tc>
        <w:tc>
          <w:tcPr>
            <w:tcW w:w="4014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F03D37" w:rsidRDefault="00BA282E" w:rsidP="003418B2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EU i regionalna saradnja</w:t>
            </w:r>
          </w:p>
        </w:tc>
      </w:tr>
      <w:tr w:rsidR="006738F4" w:rsidRPr="00D341E9" w:rsidTr="00DE2A85">
        <w:trPr>
          <w:gridBefore w:val="1"/>
          <w:wBefore w:w="18" w:type="pct"/>
          <w:cantSplit/>
          <w:trHeight w:val="140"/>
        </w:trPr>
        <w:tc>
          <w:tcPr>
            <w:tcW w:w="968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XIV neđelja     </w:t>
            </w:r>
          </w:p>
        </w:tc>
        <w:tc>
          <w:tcPr>
            <w:tcW w:w="4014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672F45" w:rsidRDefault="00BA282E" w:rsidP="003418B2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Trajna strukturirana saradnja</w:t>
            </w:r>
            <w:r w:rsidR="00DE256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na planu odbrane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(PESCO)</w:t>
            </w:r>
          </w:p>
        </w:tc>
      </w:tr>
      <w:tr w:rsidR="006738F4" w:rsidRPr="00D341E9" w:rsidTr="00DE2A85">
        <w:trPr>
          <w:gridBefore w:val="1"/>
          <w:wBefore w:w="18" w:type="pct"/>
          <w:cantSplit/>
          <w:trHeight w:val="140"/>
        </w:trPr>
        <w:tc>
          <w:tcPr>
            <w:tcW w:w="968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XV neđelja   </w:t>
            </w:r>
          </w:p>
        </w:tc>
        <w:tc>
          <w:tcPr>
            <w:tcW w:w="4014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BA282E" w:rsidRDefault="00BA282E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EU i Crna Gora</w:t>
            </w:r>
          </w:p>
        </w:tc>
      </w:tr>
      <w:tr w:rsidR="006738F4" w:rsidRPr="00D341E9" w:rsidTr="00DE2A85">
        <w:trPr>
          <w:gridBefore w:val="1"/>
          <w:wBefore w:w="18" w:type="pct"/>
          <w:cantSplit/>
          <w:trHeight w:val="80"/>
        </w:trPr>
        <w:tc>
          <w:tcPr>
            <w:tcW w:w="968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XVI neđelja</w:t>
            </w:r>
          </w:p>
        </w:tc>
        <w:tc>
          <w:tcPr>
            <w:tcW w:w="4014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  <w:lang w:val="sl-SI"/>
              </w:rPr>
              <w:t>Završni ispit</w:t>
            </w:r>
          </w:p>
        </w:tc>
      </w:tr>
      <w:tr w:rsidR="006738F4" w:rsidRPr="00D341E9" w:rsidTr="00DE2A85">
        <w:trPr>
          <w:gridBefore w:val="1"/>
          <w:wBefore w:w="18" w:type="pct"/>
          <w:cantSplit/>
          <w:trHeight w:val="140"/>
        </w:trPr>
        <w:tc>
          <w:tcPr>
            <w:tcW w:w="968" w:type="pct"/>
            <w:gridSpan w:val="2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XVII neđelja</w:t>
            </w:r>
          </w:p>
        </w:tc>
        <w:tc>
          <w:tcPr>
            <w:tcW w:w="4014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6738F4" w:rsidRPr="00D341E9" w:rsidTr="00DE2A85">
        <w:trPr>
          <w:gridBefore w:val="1"/>
          <w:wBefore w:w="18" w:type="pct"/>
          <w:cantSplit/>
          <w:trHeight w:val="140"/>
        </w:trPr>
        <w:tc>
          <w:tcPr>
            <w:tcW w:w="968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XVIII-XXI neđelja</w:t>
            </w:r>
          </w:p>
        </w:tc>
        <w:tc>
          <w:tcPr>
            <w:tcW w:w="4014" w:type="pct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6738F4" w:rsidRPr="00D341E9" w:rsidTr="00DE2A85">
        <w:trPr>
          <w:gridBefore w:val="1"/>
          <w:wBefore w:w="18" w:type="pct"/>
          <w:cantSplit/>
          <w:trHeight w:val="101"/>
        </w:trPr>
        <w:tc>
          <w:tcPr>
            <w:tcW w:w="4982" w:type="pct"/>
            <w:gridSpan w:val="1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38F4" w:rsidRPr="005C559F" w:rsidRDefault="006738F4" w:rsidP="00DD00E8">
            <w:pPr>
              <w:pStyle w:val="BodyText3"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l-SI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l-SI"/>
              </w:rPr>
              <w:t>OPTEREĆENJE STUDENATA</w:t>
            </w:r>
          </w:p>
        </w:tc>
      </w:tr>
      <w:tr w:rsidR="006738F4" w:rsidRPr="00D341E9" w:rsidTr="00DE2A85">
        <w:trPr>
          <w:gridBefore w:val="1"/>
          <w:wBefore w:w="18" w:type="pct"/>
          <w:cantSplit/>
          <w:trHeight w:val="720"/>
        </w:trPr>
        <w:tc>
          <w:tcPr>
            <w:tcW w:w="1881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725254" w:rsidRPr="00725254" w:rsidRDefault="00725254" w:rsidP="0072525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725254">
              <w:rPr>
                <w:rFonts w:asciiTheme="minorHAnsi" w:hAnsiTheme="minorHAnsi" w:cstheme="minorHAnsi"/>
                <w:b/>
                <w:sz w:val="18"/>
                <w:szCs w:val="18"/>
              </w:rPr>
              <w:t>Neđeljno</w:t>
            </w:r>
            <w:proofErr w:type="spellEnd"/>
          </w:p>
          <w:p w:rsidR="00725254" w:rsidRPr="00725254" w:rsidRDefault="00725254" w:rsidP="007252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254">
              <w:rPr>
                <w:rFonts w:asciiTheme="minorHAnsi" w:hAnsiTheme="minorHAnsi" w:cstheme="minorHAnsi"/>
                <w:sz w:val="18"/>
                <w:szCs w:val="18"/>
              </w:rPr>
              <w:t xml:space="preserve">5 </w:t>
            </w:r>
            <w:proofErr w:type="spellStart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>kredita</w:t>
            </w:r>
            <w:proofErr w:type="spellEnd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 xml:space="preserve"> x 40/30 = 6 sati </w:t>
            </w:r>
            <w:proofErr w:type="spellStart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spellEnd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 xml:space="preserve"> 40 </w:t>
            </w:r>
            <w:proofErr w:type="spellStart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>minuta</w:t>
            </w:r>
            <w:proofErr w:type="spellEnd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725254" w:rsidRPr="00725254" w:rsidRDefault="00725254" w:rsidP="00725254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proofErr w:type="spellStart"/>
            <w:r w:rsidRPr="0072525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Struktura</w:t>
            </w:r>
            <w:proofErr w:type="spellEnd"/>
            <w:r w:rsidRPr="0072525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:</w:t>
            </w:r>
          </w:p>
          <w:p w:rsidR="00725254" w:rsidRPr="00725254" w:rsidRDefault="00725254" w:rsidP="007252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254">
              <w:rPr>
                <w:rFonts w:asciiTheme="minorHAnsi" w:hAnsiTheme="minorHAnsi" w:cstheme="minorHAnsi"/>
                <w:sz w:val="18"/>
                <w:szCs w:val="18"/>
              </w:rPr>
              <w:t xml:space="preserve">2 sati </w:t>
            </w:r>
            <w:proofErr w:type="spellStart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>predavanja</w:t>
            </w:r>
            <w:proofErr w:type="spellEnd"/>
          </w:p>
          <w:p w:rsidR="00725254" w:rsidRPr="00725254" w:rsidRDefault="00725254" w:rsidP="007252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254">
              <w:rPr>
                <w:rFonts w:asciiTheme="minorHAnsi" w:hAnsiTheme="minorHAnsi" w:cstheme="minorHAnsi"/>
                <w:sz w:val="18"/>
                <w:szCs w:val="18"/>
              </w:rPr>
              <w:t xml:space="preserve">1 sati </w:t>
            </w:r>
            <w:proofErr w:type="spellStart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>vježbi</w:t>
            </w:r>
            <w:proofErr w:type="spellEnd"/>
          </w:p>
          <w:p w:rsidR="006738F4" w:rsidRPr="00D341E9" w:rsidRDefault="00725254" w:rsidP="00725254">
            <w:pPr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725254">
              <w:rPr>
                <w:rFonts w:asciiTheme="minorHAnsi" w:hAnsiTheme="minorHAnsi" w:cstheme="minorHAnsi"/>
                <w:sz w:val="18"/>
                <w:szCs w:val="18"/>
              </w:rPr>
              <w:t xml:space="preserve">3 sati </w:t>
            </w:r>
            <w:proofErr w:type="spellStart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spellEnd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 xml:space="preserve"> 40 </w:t>
            </w:r>
            <w:proofErr w:type="spellStart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>minuta</w:t>
            </w:r>
            <w:proofErr w:type="spellEnd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>individualnog</w:t>
            </w:r>
            <w:proofErr w:type="spellEnd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>rada</w:t>
            </w:r>
            <w:proofErr w:type="spellEnd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>studenta</w:t>
            </w:r>
            <w:proofErr w:type="spellEnd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>priprema</w:t>
            </w:r>
            <w:proofErr w:type="spellEnd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 xml:space="preserve"> za </w:t>
            </w:r>
            <w:proofErr w:type="spellStart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>vježbe</w:t>
            </w:r>
            <w:proofErr w:type="spellEnd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 xml:space="preserve">, za </w:t>
            </w:r>
            <w:proofErr w:type="spellStart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>kolokvijume</w:t>
            </w:r>
            <w:proofErr w:type="spellEnd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>izrada</w:t>
            </w:r>
            <w:proofErr w:type="spellEnd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>domaćih</w:t>
            </w:r>
            <w:proofErr w:type="spellEnd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>zadataka</w:t>
            </w:r>
            <w:proofErr w:type="spellEnd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proofErr w:type="spellStart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>uključujući</w:t>
            </w:r>
            <w:proofErr w:type="spellEnd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spellEnd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25254">
              <w:rPr>
                <w:rFonts w:asciiTheme="minorHAnsi" w:hAnsiTheme="minorHAnsi" w:cstheme="minorHAnsi"/>
                <w:sz w:val="18"/>
                <w:szCs w:val="18"/>
              </w:rPr>
              <w:t>konsultacije</w:t>
            </w:r>
            <w:proofErr w:type="spellEnd"/>
          </w:p>
        </w:tc>
        <w:tc>
          <w:tcPr>
            <w:tcW w:w="3101" w:type="pct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25254" w:rsidRPr="00725254" w:rsidRDefault="00725254" w:rsidP="0072525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2525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 </w:t>
            </w:r>
            <w:proofErr w:type="spellStart"/>
            <w:r w:rsidRPr="00725254">
              <w:rPr>
                <w:rFonts w:asciiTheme="minorHAnsi" w:hAnsiTheme="minorHAnsi" w:cstheme="minorHAnsi"/>
                <w:b/>
                <w:sz w:val="16"/>
                <w:szCs w:val="16"/>
              </w:rPr>
              <w:t>semestru</w:t>
            </w:r>
            <w:proofErr w:type="spellEnd"/>
          </w:p>
          <w:p w:rsidR="00725254" w:rsidRPr="00725254" w:rsidRDefault="00725254" w:rsidP="007252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Nastava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i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završni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ispit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:</w:t>
            </w:r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 (6 sati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 40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minuta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) x 16 = 106 sati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 40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minuta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725254" w:rsidRPr="00725254" w:rsidRDefault="00725254" w:rsidP="007252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Neophodna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priprema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prije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početka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semestra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administracija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upis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ovjera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): 2 x (6 sati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 40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minuta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) = 13 sati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 20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minuta</w:t>
            </w:r>
            <w:proofErr w:type="spellEnd"/>
          </w:p>
          <w:p w:rsidR="00725254" w:rsidRPr="00725254" w:rsidRDefault="00725254" w:rsidP="007252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Ukupno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opterećenje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za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predmet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: 5 x 30 = 150 sati</w:t>
            </w:r>
          </w:p>
          <w:p w:rsidR="00725254" w:rsidRPr="00725254" w:rsidRDefault="00725254" w:rsidP="007252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Dopunski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 rad za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pripremu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ispita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 u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popravnom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ispitnom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roku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uključujući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polaganje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popravnog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ispita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 od 0 - 30 sati. </w:t>
            </w:r>
          </w:p>
          <w:p w:rsidR="006738F4" w:rsidRPr="00D341E9" w:rsidRDefault="00725254" w:rsidP="007252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Struktura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opterećenja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: 106 sati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 40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minuta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nastava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) + 13 sati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 20 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minuta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priprema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) + 30 sati (</w:t>
            </w:r>
            <w:proofErr w:type="spellStart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dopunski</w:t>
            </w:r>
            <w:proofErr w:type="spellEnd"/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 rad)</w:t>
            </w:r>
          </w:p>
        </w:tc>
      </w:tr>
      <w:tr w:rsidR="006738F4" w:rsidRPr="00D341E9" w:rsidTr="00DE2A85">
        <w:trPr>
          <w:gridBefore w:val="1"/>
          <w:wBefore w:w="18" w:type="pct"/>
          <w:cantSplit/>
          <w:trHeight w:val="300"/>
        </w:trPr>
        <w:tc>
          <w:tcPr>
            <w:tcW w:w="4982" w:type="pct"/>
            <w:gridSpan w:val="1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38F4" w:rsidRPr="00D341E9" w:rsidRDefault="006738F4" w:rsidP="00045E47">
            <w:pPr>
              <w:pStyle w:val="BodyText3"/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l-SI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l-SI"/>
              </w:rPr>
              <w:t>Konsultacije</w:t>
            </w:r>
            <w:r w:rsidRPr="005C559F">
              <w:rPr>
                <w:rFonts w:asciiTheme="minorHAnsi" w:hAnsiTheme="minorHAnsi" w:cstheme="minorHAnsi"/>
                <w:bCs/>
                <w:iCs/>
                <w:color w:val="auto"/>
                <w:sz w:val="18"/>
                <w:szCs w:val="18"/>
                <w:lang w:val="sl-SI"/>
              </w:rPr>
              <w:t>: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l-SI"/>
              </w:rPr>
              <w:t xml:space="preserve"> </w:t>
            </w:r>
            <w:r w:rsidR="00045E47"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l-SI"/>
              </w:rPr>
              <w:t>po dogovoru</w:t>
            </w:r>
          </w:p>
        </w:tc>
      </w:tr>
      <w:tr w:rsidR="006738F4" w:rsidRPr="00D341E9" w:rsidTr="00DE2A85">
        <w:trPr>
          <w:gridBefore w:val="1"/>
          <w:wBefore w:w="18" w:type="pct"/>
          <w:cantSplit/>
          <w:trHeight w:val="507"/>
        </w:trPr>
        <w:tc>
          <w:tcPr>
            <w:tcW w:w="4982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8F4" w:rsidRPr="005C559F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</w:p>
          <w:p w:rsidR="006738F4" w:rsidRDefault="00725254" w:rsidP="00DD00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Janjević, Milutin. 2007. </w:t>
            </w: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sr-Latn-CS"/>
              </w:rPr>
              <w:t>Spoljna politika Evropske unije</w:t>
            </w: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. Beograd: Službeni glasnik</w:t>
            </w:r>
          </w:p>
          <w:p w:rsidR="00BA282E" w:rsidRPr="00D341E9" w:rsidRDefault="00BA282E" w:rsidP="00DD00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Dinan, Dezmond. 2009. </w:t>
            </w: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sr-Latn-CS"/>
              </w:rPr>
              <w:t>Sve bli</w:t>
            </w: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sr-Latn-ME"/>
              </w:rPr>
              <w:t>ža unija: uvod u evropsku integraciju</w:t>
            </w: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ME"/>
              </w:rPr>
              <w:t xml:space="preserve">. Beograd: Službeni glasnik </w:t>
            </w:r>
          </w:p>
          <w:p w:rsidR="006738F4" w:rsidRDefault="00725254" w:rsidP="00DD00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Vukadinović, Radovan i Lidija Čehulić. 2011. </w:t>
            </w: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sr-Latn-CS"/>
              </w:rPr>
              <w:t>Politika europskih integracija</w:t>
            </w: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. Zagreb: Ljevak</w:t>
            </w:r>
          </w:p>
          <w:p w:rsidR="00725254" w:rsidRPr="00D341E9" w:rsidRDefault="00725254" w:rsidP="00DD00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Đurović, Gordana. 2012. </w:t>
            </w:r>
            <w:r w:rsidRPr="00725254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sr-Latn-CS"/>
              </w:rPr>
              <w:t>Evropska unija i</w:t>
            </w: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sr-Latn-CS"/>
              </w:rPr>
              <w:t xml:space="preserve"> Crna Gora: politika proširenja</w:t>
            </w: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. Podgorica: Ekonomski fakultet.  </w:t>
            </w:r>
          </w:p>
          <w:p w:rsidR="006738F4" w:rsidRPr="005C559F" w:rsidRDefault="006738F4" w:rsidP="00DD00E8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Dodatna literatura:</w:t>
            </w:r>
            <w:r w:rsidRPr="005C559F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6738F4" w:rsidRPr="00D341E9" w:rsidRDefault="00045E47" w:rsidP="00DD00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Izabrani naučni članci</w:t>
            </w:r>
          </w:p>
        </w:tc>
      </w:tr>
      <w:tr w:rsidR="006738F4" w:rsidRPr="00D341E9" w:rsidTr="00DE2A85">
        <w:trPr>
          <w:gridBefore w:val="1"/>
          <w:wBefore w:w="18" w:type="pct"/>
          <w:cantSplit/>
          <w:trHeight w:val="593"/>
        </w:trPr>
        <w:tc>
          <w:tcPr>
            <w:tcW w:w="4982" w:type="pct"/>
            <w:gridSpan w:val="11"/>
            <w:tcBorders>
              <w:bottom w:val="dotted" w:sz="4" w:space="0" w:color="auto"/>
            </w:tcBorders>
          </w:tcPr>
          <w:p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5C559F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</w:t>
            </w:r>
          </w:p>
          <w:p w:rsidR="006738F4" w:rsidRPr="00D341E9" w:rsidRDefault="00CD4118" w:rsidP="00DD00E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Kolokvijum (</w:t>
            </w:r>
            <w:r w:rsidR="00F03D37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3</w:t>
            </w:r>
            <w:r w:rsidR="00045E47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0</w:t>
            </w:r>
            <w:r w:rsidR="006738F4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poena</w:t>
            </w:r>
            <w:r w:rsidR="00045E47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)</w:t>
            </w:r>
            <w:r w:rsidR="006738F4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</w:t>
            </w:r>
          </w:p>
          <w:p w:rsidR="006738F4" w:rsidRDefault="00560084" w:rsidP="00DD00E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Prezentacija</w:t>
            </w:r>
            <w:r w:rsidR="00045E47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(</w:t>
            </w:r>
            <w: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10</w:t>
            </w:r>
            <w:r w:rsidR="00045E47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poena)</w:t>
            </w:r>
          </w:p>
          <w:p w:rsidR="00DE2568" w:rsidRPr="00D341E9" w:rsidRDefault="00DE2568" w:rsidP="00DD00E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Aktivnost na času (10 poena)</w:t>
            </w:r>
            <w:bookmarkStart w:id="0" w:name="_GoBack"/>
            <w:bookmarkEnd w:id="0"/>
          </w:p>
          <w:p w:rsidR="006738F4" w:rsidRPr="00D341E9" w:rsidRDefault="00F03D37" w:rsidP="003418B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Završni ispit (</w:t>
            </w:r>
            <w:r w:rsidR="00560084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5</w:t>
            </w:r>
            <w:r w:rsidR="003418B2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0 poena)</w:t>
            </w:r>
          </w:p>
        </w:tc>
      </w:tr>
      <w:tr w:rsidR="006738F4" w:rsidRPr="00D341E9" w:rsidTr="00DE2A85">
        <w:trPr>
          <w:gridBefore w:val="1"/>
          <w:wBefore w:w="18" w:type="pct"/>
          <w:cantSplit/>
          <w:trHeight w:val="255"/>
        </w:trPr>
        <w:tc>
          <w:tcPr>
            <w:tcW w:w="762" w:type="pct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803" w:type="pct"/>
            <w:gridSpan w:val="2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E</w:t>
            </w:r>
          </w:p>
        </w:tc>
        <w:tc>
          <w:tcPr>
            <w:tcW w:w="702" w:type="pct"/>
            <w:gridSpan w:val="3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803" w:type="pct"/>
            <w:gridSpan w:val="2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C</w:t>
            </w:r>
          </w:p>
        </w:tc>
        <w:tc>
          <w:tcPr>
            <w:tcW w:w="904" w:type="pct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B</w:t>
            </w:r>
          </w:p>
        </w:tc>
        <w:tc>
          <w:tcPr>
            <w:tcW w:w="1008" w:type="pct"/>
            <w:gridSpan w:val="2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A</w:t>
            </w:r>
          </w:p>
        </w:tc>
      </w:tr>
      <w:tr w:rsidR="006738F4" w:rsidRPr="00D341E9" w:rsidTr="00DE2A85">
        <w:trPr>
          <w:gridBefore w:val="1"/>
          <w:wBefore w:w="18" w:type="pct"/>
          <w:cantSplit/>
          <w:trHeight w:val="163"/>
        </w:trPr>
        <w:tc>
          <w:tcPr>
            <w:tcW w:w="762" w:type="pct"/>
            <w:tcBorders>
              <w:bottom w:val="dotted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do 51</w:t>
            </w:r>
          </w:p>
        </w:tc>
        <w:tc>
          <w:tcPr>
            <w:tcW w:w="803" w:type="pct"/>
            <w:gridSpan w:val="2"/>
            <w:tcBorders>
              <w:bottom w:val="dotted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51 – 60</w:t>
            </w:r>
          </w:p>
        </w:tc>
        <w:tc>
          <w:tcPr>
            <w:tcW w:w="702" w:type="pct"/>
            <w:gridSpan w:val="3"/>
            <w:tcBorders>
              <w:bottom w:val="dotted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61 - 70</w:t>
            </w:r>
          </w:p>
        </w:tc>
        <w:tc>
          <w:tcPr>
            <w:tcW w:w="803" w:type="pct"/>
            <w:gridSpan w:val="2"/>
            <w:tcBorders>
              <w:bottom w:val="dotted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71 - 80</w:t>
            </w:r>
          </w:p>
        </w:tc>
        <w:tc>
          <w:tcPr>
            <w:tcW w:w="904" w:type="pct"/>
            <w:tcBorders>
              <w:bottom w:val="dotted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81 - 90</w:t>
            </w:r>
          </w:p>
        </w:tc>
        <w:tc>
          <w:tcPr>
            <w:tcW w:w="1008" w:type="pct"/>
            <w:gridSpan w:val="2"/>
            <w:tcBorders>
              <w:bottom w:val="dotted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91 - 100</w:t>
            </w:r>
          </w:p>
        </w:tc>
      </w:tr>
      <w:tr w:rsidR="006738F4" w:rsidRPr="00D341E9" w:rsidTr="00DE2A85">
        <w:trPr>
          <w:trHeight w:val="156"/>
        </w:trPr>
        <w:tc>
          <w:tcPr>
            <w:tcW w:w="5000" w:type="pct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6738F4" w:rsidRPr="00D341E9" w:rsidRDefault="006738F4" w:rsidP="00045E47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podatke:</w:t>
            </w: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="00045E47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D</w:t>
            </w:r>
            <w:r w:rsidR="00A965BE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oc. d</w:t>
            </w:r>
            <w:r w:rsidR="00045E47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r Ivan Vuković</w:t>
            </w:r>
          </w:p>
        </w:tc>
      </w:tr>
    </w:tbl>
    <w:p w:rsidR="00E46B7D" w:rsidRPr="00D341E9" w:rsidRDefault="00E46B7D">
      <w:pPr>
        <w:rPr>
          <w:rFonts w:asciiTheme="minorHAnsi" w:hAnsiTheme="minorHAnsi" w:cstheme="minorHAnsi"/>
        </w:rPr>
      </w:pPr>
    </w:p>
    <w:sectPr w:rsidR="00E46B7D" w:rsidRPr="00D341E9" w:rsidSect="00F95166">
      <w:pgSz w:w="12240" w:h="15840"/>
      <w:pgMar w:top="1440" w:right="1800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40605"/>
    <w:multiLevelType w:val="hybridMultilevel"/>
    <w:tmpl w:val="C450CB68"/>
    <w:lvl w:ilvl="0" w:tplc="A150E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17171"/>
    <w:multiLevelType w:val="hybridMultilevel"/>
    <w:tmpl w:val="7B5C0244"/>
    <w:lvl w:ilvl="0" w:tplc="8F3A5112">
      <w:start w:val="18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8F4"/>
    <w:rsid w:val="00045E47"/>
    <w:rsid w:val="003418B2"/>
    <w:rsid w:val="00560084"/>
    <w:rsid w:val="005812D2"/>
    <w:rsid w:val="005C559F"/>
    <w:rsid w:val="00672F45"/>
    <w:rsid w:val="006738F4"/>
    <w:rsid w:val="00725254"/>
    <w:rsid w:val="00847F2E"/>
    <w:rsid w:val="008C1905"/>
    <w:rsid w:val="00A965BE"/>
    <w:rsid w:val="00B36859"/>
    <w:rsid w:val="00B7526A"/>
    <w:rsid w:val="00BA282E"/>
    <w:rsid w:val="00CB3AE7"/>
    <w:rsid w:val="00CD4118"/>
    <w:rsid w:val="00D341E9"/>
    <w:rsid w:val="00D522B3"/>
    <w:rsid w:val="00DE2568"/>
    <w:rsid w:val="00DE2A85"/>
    <w:rsid w:val="00E46B7D"/>
    <w:rsid w:val="00E706C9"/>
    <w:rsid w:val="00F03D37"/>
    <w:rsid w:val="00F95DC4"/>
    <w:rsid w:val="00FD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5EBDF"/>
  <w15:docId w15:val="{FBEB2644-CE31-4690-B64D-D635831B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7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6738F4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738F4"/>
    <w:rPr>
      <w:rFonts w:ascii="Arial" w:eastAsia="Times New Roman" w:hAnsi="Arial" w:cs="Times New Roman"/>
      <w:b/>
      <w:bCs/>
      <w:i/>
      <w:iCs/>
      <w:color w:val="000000"/>
      <w:sz w:val="20"/>
      <w:szCs w:val="24"/>
    </w:rPr>
  </w:style>
  <w:style w:type="paragraph" w:styleId="BodyText3">
    <w:name w:val="Body Text 3"/>
    <w:basedOn w:val="Normal"/>
    <w:link w:val="BodyText3Char"/>
    <w:rsid w:val="006738F4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6738F4"/>
    <w:rPr>
      <w:rFonts w:ascii="Arial" w:eastAsia="Times New Roman" w:hAnsi="Arial" w:cs="Times New Roman"/>
      <w:color w:val="000000"/>
      <w:sz w:val="20"/>
      <w:szCs w:val="24"/>
    </w:rPr>
  </w:style>
  <w:style w:type="paragraph" w:styleId="NormalWeb">
    <w:name w:val="Normal (Web)"/>
    <w:basedOn w:val="Normal"/>
    <w:rsid w:val="006738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link w:val="BodyTextIndent2Char"/>
    <w:rsid w:val="006738F4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6738F4"/>
    <w:rPr>
      <w:rFonts w:ascii="Arial" w:eastAsia="Times New Roman" w:hAnsi="Arial" w:cs="Arial"/>
      <w:color w:val="000000"/>
      <w:sz w:val="16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Translator AM</dc:creator>
  <cp:lastModifiedBy>nemanja@defacto.me</cp:lastModifiedBy>
  <cp:revision>4</cp:revision>
  <dcterms:created xsi:type="dcterms:W3CDTF">2018-02-20T23:17:00Z</dcterms:created>
  <dcterms:modified xsi:type="dcterms:W3CDTF">2020-02-10T10:26:00Z</dcterms:modified>
</cp:coreProperties>
</file>