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89" w:rsidRDefault="00B54FA9" w:rsidP="00B54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5B89" w:rsidRDefault="00695B89" w:rsidP="00695B89">
      <w:pPr>
        <w:spacing w:after="0"/>
        <w:jc w:val="center"/>
        <w:rPr>
          <w:b/>
          <w:sz w:val="28"/>
          <w:szCs w:val="28"/>
        </w:rPr>
      </w:pPr>
    </w:p>
    <w:p w:rsidR="00F12133" w:rsidRPr="000A271C" w:rsidRDefault="003B4F95" w:rsidP="003B4F95">
      <w:pPr>
        <w:spacing w:after="0"/>
        <w:jc w:val="center"/>
        <w:rPr>
          <w:b/>
          <w:sz w:val="28"/>
          <w:szCs w:val="28"/>
        </w:rPr>
      </w:pPr>
      <w:r w:rsidRPr="002B735E">
        <w:rPr>
          <w:b/>
          <w:sz w:val="28"/>
          <w:szCs w:val="28"/>
        </w:rPr>
        <w:t>OBRAZAC ZA PRIJAVU TEME MAGISTARSKOG RADA</w:t>
      </w:r>
    </w:p>
    <w:tbl>
      <w:tblPr>
        <w:tblStyle w:val="TableGrid"/>
        <w:tblW w:w="114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19"/>
        <w:gridCol w:w="7529"/>
      </w:tblGrid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f</w:t>
            </w:r>
            <w:r w:rsidRPr="008369BD">
              <w:rPr>
                <w:b/>
                <w:sz w:val="24"/>
                <w:szCs w:val="24"/>
              </w:rPr>
              <w:t>akultet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529" w:type="dxa"/>
            <w:vAlign w:val="center"/>
          </w:tcPr>
          <w:p w:rsidR="00B1739B" w:rsidRPr="00B5519E" w:rsidRDefault="008A5AD5" w:rsidP="002B7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Ekonomski Fakultet</w:t>
            </w: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kandidata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8A5AD5" w:rsidP="002B7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Vuković</w:t>
            </w:r>
            <w:r w:rsidR="00B54FA9">
              <w:rPr>
                <w:sz w:val="24"/>
                <w:szCs w:val="24"/>
              </w:rPr>
              <w:t xml:space="preserve"> 49/16</w:t>
            </w:r>
          </w:p>
          <w:p w:rsidR="008A5AD5" w:rsidRPr="00B5519E" w:rsidRDefault="008A5AD5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Biografija</w:t>
            </w:r>
            <w:r w:rsidR="00CB3A49"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kandidata</w:t>
            </w:r>
          </w:p>
        </w:tc>
        <w:tc>
          <w:tcPr>
            <w:tcW w:w="7529" w:type="dxa"/>
            <w:vAlign w:val="center"/>
          </w:tcPr>
          <w:p w:rsidR="00B1739B" w:rsidRPr="00B5519E" w:rsidRDefault="002440FA" w:rsidP="00DA4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Diplomirani ekonomista smjera Finansije. Prosječna ocjena </w:t>
            </w:r>
            <w:r w:rsidR="00DA4C23">
              <w:rPr>
                <w:sz w:val="24"/>
                <w:szCs w:val="24"/>
              </w:rPr>
              <w:t>nakon</w:t>
            </w:r>
            <w:r>
              <w:rPr>
                <w:sz w:val="24"/>
                <w:szCs w:val="24"/>
              </w:rPr>
              <w:t xml:space="preserve"> četvorogodišnjih studija 9,81. </w:t>
            </w:r>
          </w:p>
        </w:tc>
      </w:tr>
      <w:tr w:rsidR="00B1739B" w:rsidRPr="00B5519E" w:rsidTr="007C078C">
        <w:trPr>
          <w:trHeight w:val="502"/>
        </w:trPr>
        <w:tc>
          <w:tcPr>
            <w:tcW w:w="3919" w:type="dxa"/>
            <w:vAlign w:val="center"/>
          </w:tcPr>
          <w:p w:rsidR="00B1739B" w:rsidRPr="00DA5108" w:rsidRDefault="00B1739B" w:rsidP="00DA5108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Predloženi mentor</w:t>
            </w:r>
          </w:p>
        </w:tc>
        <w:tc>
          <w:tcPr>
            <w:tcW w:w="7529" w:type="dxa"/>
            <w:vAlign w:val="center"/>
          </w:tcPr>
          <w:p w:rsidR="00B1739B" w:rsidRPr="00A4690B" w:rsidRDefault="002440FA" w:rsidP="002B735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Prof</w:t>
            </w:r>
            <w:r w:rsidR="00DA4C23">
              <w:rPr>
                <w:sz w:val="24"/>
                <w:szCs w:val="24"/>
                <w:lang w:val="sr-Latn-CS"/>
              </w:rPr>
              <w:t>.</w:t>
            </w:r>
            <w:r>
              <w:rPr>
                <w:sz w:val="24"/>
                <w:szCs w:val="24"/>
                <w:lang w:val="sr-Latn-CS"/>
              </w:rPr>
              <w:t xml:space="preserve"> dr Marko Marković </w:t>
            </w: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proofErr w:type="spellStart"/>
            <w:r w:rsidRPr="008369BD">
              <w:rPr>
                <w:b/>
                <w:sz w:val="24"/>
                <w:szCs w:val="24"/>
              </w:rPr>
              <w:t>Na</w:t>
            </w:r>
            <w:r>
              <w:rPr>
                <w:b/>
                <w:sz w:val="24"/>
                <w:szCs w:val="24"/>
              </w:rPr>
              <w:t>ziv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rada</w:t>
            </w:r>
            <w:proofErr w:type="spellEnd"/>
          </w:p>
          <w:p w:rsidR="006420DE" w:rsidRDefault="006420DE" w:rsidP="006420D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  <w:p w:rsidR="006420DE" w:rsidRPr="00440BA7" w:rsidRDefault="006420DE" w:rsidP="006420DE">
            <w:pPr>
              <w:tabs>
                <w:tab w:val="left" w:pos="426"/>
              </w:tabs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440BA7">
              <w:rPr>
                <w:b/>
                <w:sz w:val="24"/>
                <w:szCs w:val="24"/>
                <w:highlight w:val="yellow"/>
              </w:rPr>
              <w:t>Termin</w:t>
            </w:r>
            <w:proofErr w:type="spellEnd"/>
            <w:r w:rsidRPr="00440BA7">
              <w:rPr>
                <w:b/>
                <w:sz w:val="24"/>
                <w:szCs w:val="24"/>
                <w:highlight w:val="yellow"/>
              </w:rPr>
              <w:t xml:space="preserve"> “</w:t>
            </w:r>
            <w:proofErr w:type="spellStart"/>
            <w:r w:rsidRPr="00440BA7">
              <w:rPr>
                <w:b/>
                <w:sz w:val="24"/>
                <w:szCs w:val="24"/>
                <w:highlight w:val="yellow"/>
              </w:rPr>
              <w:t>adekvatnost</w:t>
            </w:r>
            <w:proofErr w:type="spellEnd"/>
            <w:r w:rsidRPr="00440BA7">
              <w:rPr>
                <w:b/>
                <w:sz w:val="24"/>
                <w:szCs w:val="24"/>
                <w:highlight w:val="yellow"/>
              </w:rPr>
              <w:t xml:space="preserve">” je </w:t>
            </w:r>
            <w:proofErr w:type="spellStart"/>
            <w:r w:rsidRPr="00440BA7">
              <w:rPr>
                <w:b/>
                <w:sz w:val="24"/>
                <w:szCs w:val="24"/>
                <w:highlight w:val="yellow"/>
              </w:rPr>
              <w:t>malo</w:t>
            </w:r>
            <w:proofErr w:type="spellEnd"/>
            <w:r w:rsidRPr="00440BA7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0BA7">
              <w:rPr>
                <w:b/>
                <w:sz w:val="24"/>
                <w:szCs w:val="24"/>
                <w:highlight w:val="yellow"/>
              </w:rPr>
              <w:t>neprecizan</w:t>
            </w:r>
            <w:proofErr w:type="spellEnd"/>
            <w:r w:rsidRPr="00440BA7">
              <w:rPr>
                <w:b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440BA7">
              <w:rPr>
                <w:b/>
                <w:sz w:val="24"/>
                <w:szCs w:val="24"/>
                <w:highlight w:val="yellow"/>
              </w:rPr>
              <w:t>Možda</w:t>
            </w:r>
            <w:proofErr w:type="spellEnd"/>
            <w:r w:rsidRPr="00440BA7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0BA7">
              <w:rPr>
                <w:b/>
                <w:sz w:val="24"/>
                <w:szCs w:val="24"/>
                <w:highlight w:val="yellow"/>
              </w:rPr>
              <w:t>bolje</w:t>
            </w:r>
            <w:proofErr w:type="spellEnd"/>
            <w:r w:rsidRPr="00440BA7">
              <w:rPr>
                <w:b/>
                <w:sz w:val="24"/>
                <w:szCs w:val="24"/>
                <w:highlight w:val="yellow"/>
              </w:rPr>
              <w:t>:</w:t>
            </w:r>
          </w:p>
          <w:p w:rsidR="006420DE" w:rsidRPr="00440BA7" w:rsidRDefault="006420DE" w:rsidP="006420DE">
            <w:pPr>
              <w:tabs>
                <w:tab w:val="left" w:pos="426"/>
              </w:tabs>
              <w:rPr>
                <w:b/>
                <w:sz w:val="24"/>
                <w:szCs w:val="24"/>
                <w:highlight w:val="yellow"/>
              </w:rPr>
            </w:pPr>
          </w:p>
          <w:p w:rsidR="006420DE" w:rsidRPr="008369BD" w:rsidRDefault="006420DE" w:rsidP="006420D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440BA7">
              <w:rPr>
                <w:b/>
                <w:sz w:val="24"/>
                <w:szCs w:val="24"/>
                <w:highlight w:val="yellow"/>
              </w:rPr>
              <w:t>“</w:t>
            </w:r>
            <w:proofErr w:type="spellStart"/>
            <w:r w:rsidRPr="00440BA7">
              <w:rPr>
                <w:b/>
                <w:sz w:val="24"/>
                <w:szCs w:val="24"/>
                <w:highlight w:val="yellow"/>
              </w:rPr>
              <w:t>Analiza</w:t>
            </w:r>
            <w:proofErr w:type="spellEnd"/>
            <w:r w:rsidRPr="00440BA7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0BA7">
              <w:rPr>
                <w:b/>
                <w:sz w:val="24"/>
                <w:szCs w:val="24"/>
                <w:highlight w:val="yellow"/>
              </w:rPr>
              <w:t>profitabilnosti</w:t>
            </w:r>
            <w:proofErr w:type="spellEnd"/>
            <w:r w:rsidRPr="00440BA7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0BA7">
              <w:rPr>
                <w:b/>
                <w:sz w:val="24"/>
                <w:szCs w:val="24"/>
                <w:highlight w:val="yellow"/>
              </w:rPr>
              <w:t>finansijskih</w:t>
            </w:r>
            <w:proofErr w:type="spellEnd"/>
            <w:r w:rsidRPr="00440BA7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0BA7">
              <w:rPr>
                <w:b/>
                <w:sz w:val="24"/>
                <w:szCs w:val="24"/>
                <w:highlight w:val="yellow"/>
              </w:rPr>
              <w:t>ulaganja</w:t>
            </w:r>
            <w:proofErr w:type="spellEnd"/>
            <w:r w:rsidRPr="00440BA7">
              <w:rPr>
                <w:b/>
                <w:sz w:val="24"/>
                <w:szCs w:val="24"/>
                <w:highlight w:val="yellow"/>
              </w:rPr>
              <w:t>….”</w:t>
            </w:r>
            <w:bookmarkStart w:id="0" w:name="_GoBack"/>
            <w:bookmarkEnd w:id="0"/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8A5AD5" w:rsidP="007C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Adekvatnost finansijskih ulaganja osiguravajućih kompanija u Crnoj </w:t>
            </w:r>
            <w:r w:rsidR="006262D7">
              <w:rPr>
                <w:sz w:val="24"/>
                <w:szCs w:val="24"/>
              </w:rPr>
              <w:t xml:space="preserve">Gori </w:t>
            </w:r>
            <w:r>
              <w:rPr>
                <w:sz w:val="24"/>
                <w:szCs w:val="24"/>
              </w:rPr>
              <w:t>u periodu od 2008. – 2014</w:t>
            </w:r>
            <w:r w:rsidR="005666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godine </w:t>
            </w: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rPr>
          <w:trHeight w:val="1831"/>
        </w:trPr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Obra</w:t>
            </w:r>
            <w:r w:rsidRPr="008369BD">
              <w:rPr>
                <w:b/>
                <w:sz w:val="24"/>
                <w:szCs w:val="24"/>
                <w:lang w:val="sr-Latn-CS"/>
              </w:rPr>
              <w:t>zloženje naziva rada</w:t>
            </w:r>
          </w:p>
        </w:tc>
        <w:tc>
          <w:tcPr>
            <w:tcW w:w="7529" w:type="dxa"/>
            <w:vAlign w:val="center"/>
          </w:tcPr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Pr="009A799E" w:rsidRDefault="005666AE" w:rsidP="00F761C0">
            <w:pPr>
              <w:autoSpaceDE w:val="0"/>
              <w:autoSpaceDN w:val="0"/>
              <w:adjustRightInd w:val="0"/>
              <w:rPr>
                <w:rFonts w:ascii="ChaparralPro-Regular" w:hAnsi="ChaparralPro-Regular" w:cs="ChaparralPro-Regular"/>
              </w:rPr>
            </w:pPr>
            <w:r w:rsidRPr="00161BC5">
              <w:rPr>
                <w:rFonts w:ascii="Times New Roman" w:hAnsi="Times New Roman" w:cs="Times New Roman"/>
                <w:sz w:val="24"/>
                <w:szCs w:val="24"/>
              </w:rPr>
              <w:t xml:space="preserve">Poslednjih godina, uloga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osiguravajućih kompanija </w:t>
            </w:r>
            <w:r w:rsidRPr="00161BC5">
              <w:rPr>
                <w:rFonts w:ascii="Times New Roman" w:hAnsi="Times New Roman" w:cs="Times New Roman"/>
                <w:sz w:val="24"/>
                <w:szCs w:val="24"/>
              </w:rPr>
              <w:t>kao finansijski</w:t>
            </w:r>
            <w:r w:rsidR="00373312">
              <w:rPr>
                <w:rFonts w:ascii="Times New Roman" w:hAnsi="Times New Roman" w:cs="Times New Roman"/>
                <w:sz w:val="24"/>
                <w:szCs w:val="24"/>
              </w:rPr>
              <w:t xml:space="preserve">h posrednika sve više dobija na </w:t>
            </w:r>
            <w:r w:rsidRPr="00161BC5">
              <w:rPr>
                <w:rFonts w:ascii="Times New Roman" w:hAnsi="Times New Roman" w:cs="Times New Roman"/>
                <w:sz w:val="24"/>
                <w:szCs w:val="24"/>
              </w:rPr>
              <w:t>značaju.</w:t>
            </w:r>
            <w:r w:rsidR="0062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C5">
              <w:rPr>
                <w:rFonts w:ascii="Times New Roman" w:hAnsi="Times New Roman" w:cs="Times New Roman"/>
                <w:sz w:val="24"/>
                <w:szCs w:val="24"/>
              </w:rPr>
              <w:t>Osiguravajuće</w:t>
            </w:r>
            <w:r w:rsidR="00CB3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C5">
              <w:rPr>
                <w:rFonts w:ascii="Times New Roman" w:hAnsi="Times New Roman" w:cs="Times New Roman"/>
                <w:sz w:val="24"/>
                <w:szCs w:val="24"/>
              </w:rPr>
              <w:t>kompanije, naročito društva za životno osiguranje, plasiraju značajna finansijska sredstva na finansijska tržišta</w:t>
            </w:r>
            <w:r w:rsidR="006262D7">
              <w:rPr>
                <w:rFonts w:ascii="Times New Roman" w:hAnsi="Times New Roman" w:cs="Times New Roman"/>
                <w:sz w:val="24"/>
                <w:szCs w:val="24"/>
              </w:rPr>
              <w:t xml:space="preserve"> čime obezbjeđuju dodatnu likvidnost i maksimiziraju profit uz prihvatljiv nivo rizika</w:t>
            </w:r>
            <w:r w:rsidR="009A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99E"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  <w:r w:rsidR="009A799E">
              <w:rPr>
                <w:rFonts w:ascii="ChaparralPro-Regular" w:hAnsi="ChaparralPro-Regular" w:cs="ChaparralPro-Regular"/>
              </w:rPr>
              <w:t xml:space="preserve"> investiraju </w:t>
            </w:r>
            <w:r w:rsidR="00373312">
              <w:rPr>
                <w:rFonts w:ascii="ChaparralPro-Regular" w:hAnsi="ChaparralPro-Regular" w:cs="ChaparralPro-Regular"/>
              </w:rPr>
              <w:t xml:space="preserve">u </w:t>
            </w:r>
            <w:r w:rsidR="009A799E">
              <w:rPr>
                <w:rFonts w:ascii="ChaparralPro-Regular" w:hAnsi="ChaparralPro-Regular" w:cs="ChaparralPro-Regular"/>
              </w:rPr>
              <w:t>finansijske oblike imovine kako bi generis</w:t>
            </w:r>
            <w:r w:rsidR="00373312">
              <w:rPr>
                <w:rFonts w:ascii="ChaparralPro-Regular" w:hAnsi="ChaparralPro-Regular" w:cs="ChaparralPro-Regular"/>
              </w:rPr>
              <w:t>ali</w:t>
            </w:r>
            <w:r w:rsidR="009A799E">
              <w:rPr>
                <w:rFonts w:ascii="ChaparralPro-Regular" w:hAnsi="ChaparralPro-Regular" w:cs="ChaparralPro-Regular"/>
              </w:rPr>
              <w:t xml:space="preserve"> gotovinske tokove neophodne za isplatu budućih odštetnih zahtjeva.</w:t>
            </w:r>
            <w:r w:rsidRPr="0016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312">
              <w:rPr>
                <w:rFonts w:ascii="Times New Roman" w:hAnsi="Times New Roman" w:cs="Times New Roman"/>
                <w:sz w:val="24"/>
                <w:szCs w:val="24"/>
              </w:rPr>
              <w:t xml:space="preserve">U središtu istraživanja biće </w:t>
            </w:r>
            <w:r w:rsidR="007C1882">
              <w:rPr>
                <w:rFonts w:ascii="Times New Roman" w:hAnsi="Times New Roman" w:cs="Times New Roman"/>
                <w:sz w:val="24"/>
                <w:szCs w:val="24"/>
              </w:rPr>
              <w:t xml:space="preserve">analiza adekvatnosti finansijskih plasmana osiguravača u Crnoj Gori </w:t>
            </w:r>
            <w:r w:rsidR="00F761C0">
              <w:rPr>
                <w:rFonts w:ascii="Times New Roman" w:hAnsi="Times New Roman" w:cs="Times New Roman"/>
                <w:sz w:val="24"/>
                <w:szCs w:val="24"/>
              </w:rPr>
              <w:t xml:space="preserve">u posmatranom periodu </w:t>
            </w:r>
            <w:r w:rsidR="007C1882">
              <w:rPr>
                <w:rFonts w:ascii="Times New Roman" w:hAnsi="Times New Roman" w:cs="Times New Roman"/>
                <w:sz w:val="24"/>
                <w:szCs w:val="24"/>
              </w:rPr>
              <w:t xml:space="preserve">sa aspekta </w:t>
            </w:r>
            <w:r w:rsidR="00F761C0">
              <w:rPr>
                <w:rFonts w:ascii="Times New Roman" w:hAnsi="Times New Roman" w:cs="Times New Roman"/>
                <w:sz w:val="24"/>
                <w:szCs w:val="24"/>
              </w:rPr>
              <w:t>ostvarenih</w:t>
            </w:r>
            <w:r w:rsidR="007C1882">
              <w:rPr>
                <w:rFonts w:ascii="Times New Roman" w:hAnsi="Times New Roman" w:cs="Times New Roman"/>
                <w:sz w:val="24"/>
                <w:szCs w:val="24"/>
              </w:rPr>
              <w:t xml:space="preserve"> prinosa na uložena sredstva uz preuzeti</w:t>
            </w:r>
            <w:r w:rsidR="006262D7">
              <w:rPr>
                <w:rFonts w:ascii="Times New Roman" w:hAnsi="Times New Roman" w:cs="Times New Roman"/>
                <w:sz w:val="24"/>
                <w:szCs w:val="24"/>
              </w:rPr>
              <w:t xml:space="preserve"> nivo rizika.</w:t>
            </w: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Pr="00B5519E" w:rsidRDefault="00B1739B" w:rsidP="00A4690B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C92CC1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Svrha</w:t>
            </w:r>
            <w:r>
              <w:rPr>
                <w:b/>
                <w:sz w:val="24"/>
                <w:szCs w:val="24"/>
              </w:rPr>
              <w:t xml:space="preserve">/razlozi </w:t>
            </w:r>
            <w:r w:rsidRPr="008369BD">
              <w:rPr>
                <w:b/>
                <w:sz w:val="24"/>
                <w:szCs w:val="24"/>
              </w:rPr>
              <w:t>istraživanja</w:t>
            </w:r>
            <w:r w:rsidRPr="00C92CC1">
              <w:rPr>
                <w:b/>
                <w:sz w:val="24"/>
                <w:szCs w:val="24"/>
              </w:rPr>
              <w:t>i</w:t>
            </w:r>
          </w:p>
          <w:p w:rsidR="00B1739B" w:rsidRPr="008369BD" w:rsidRDefault="00B1739B" w:rsidP="00654DAA">
            <w:pPr>
              <w:tabs>
                <w:tab w:val="left" w:pos="426"/>
              </w:tabs>
              <w:ind w:left="426"/>
              <w:rPr>
                <w:b/>
                <w:sz w:val="24"/>
                <w:szCs w:val="24"/>
              </w:rPr>
            </w:pPr>
            <w:r w:rsidRPr="00C92CC1">
              <w:rPr>
                <w:b/>
                <w:sz w:val="24"/>
                <w:szCs w:val="24"/>
              </w:rPr>
              <w:t>cilj istraživanja i njegova realizacija po koracima</w:t>
            </w:r>
          </w:p>
        </w:tc>
        <w:tc>
          <w:tcPr>
            <w:tcW w:w="7529" w:type="dxa"/>
            <w:vAlign w:val="center"/>
          </w:tcPr>
          <w:p w:rsidR="00B1739B" w:rsidRPr="00312966" w:rsidRDefault="00B1739B" w:rsidP="00312966">
            <w:pPr>
              <w:pStyle w:val="ListParagraph"/>
              <w:rPr>
                <w:sz w:val="24"/>
                <w:szCs w:val="24"/>
                <w:lang w:val="sr-Latn-CS"/>
              </w:rPr>
            </w:pPr>
          </w:p>
          <w:p w:rsidR="00B1739B" w:rsidRDefault="0091174E" w:rsidP="0031296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Brojne empirijske i teorijske studije naglašavaju značaj osiguranja </w:t>
            </w:r>
            <w:r w:rsidR="00346C1F">
              <w:rPr>
                <w:sz w:val="24"/>
                <w:szCs w:val="24"/>
                <w:lang w:val="sr-Latn-CS"/>
              </w:rPr>
              <w:t>u ekonomiji i društvu i ukazuju da njihova uloga kao  finansijskih posrednika doprinosi unapređenju konkurentnosti i efikasnosti alokacije kapitala.</w:t>
            </w:r>
          </w:p>
          <w:p w:rsidR="00B1739B" w:rsidRDefault="00C817E4" w:rsidP="00C817E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Uz poređenje sa finansijskim plasmanima </w:t>
            </w:r>
            <w:r w:rsidR="000258EE">
              <w:rPr>
                <w:sz w:val="24"/>
                <w:szCs w:val="24"/>
                <w:lang w:val="sr-Latn-CS"/>
              </w:rPr>
              <w:t xml:space="preserve">osiguravača na razvijenim finansijskim tržištima svrha rada je da prikaže </w:t>
            </w:r>
            <w:r w:rsidR="005B39CE">
              <w:rPr>
                <w:sz w:val="24"/>
                <w:szCs w:val="24"/>
                <w:lang w:val="sr-Latn-CS"/>
              </w:rPr>
              <w:t>nedovoljno razvijenu funkciju osiguravajućih kompanija kao</w:t>
            </w:r>
            <w:r w:rsidR="00882AC9">
              <w:rPr>
                <w:sz w:val="24"/>
                <w:szCs w:val="24"/>
                <w:lang w:val="sr-Latn-CS"/>
              </w:rPr>
              <w:t xml:space="preserve"> </w:t>
            </w:r>
            <w:r w:rsidR="005B39CE">
              <w:rPr>
                <w:sz w:val="24"/>
                <w:szCs w:val="24"/>
                <w:lang w:val="sr-Latn-CS"/>
              </w:rPr>
              <w:t>institucionalnih investitora u Crnoj Gori, i njihovu konzervativnost prilikom ulaganja</w:t>
            </w:r>
            <w:r w:rsidR="00882AC9">
              <w:rPr>
                <w:sz w:val="24"/>
                <w:szCs w:val="24"/>
                <w:lang w:val="sr-Latn-CS"/>
              </w:rPr>
              <w:t xml:space="preserve"> sredstava kapitala i sredstava tehničkih rezervi.</w:t>
            </w:r>
          </w:p>
          <w:p w:rsidR="00882AC9" w:rsidRDefault="00882AC9" w:rsidP="00882AC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Cilj ovog rada je da ispita da li su finansijski plasmani osiguravajućih kompanija na domaćem tržištu kapitala, uz sva regulatorna i druga tržišna ograničenja koja su im nametnuta,</w:t>
            </w:r>
            <w:r w:rsidR="000142C7">
              <w:rPr>
                <w:sz w:val="24"/>
                <w:szCs w:val="24"/>
                <w:lang w:val="sr-Latn-CS"/>
              </w:rPr>
              <w:t xml:space="preserve"> predstavljala najbolje rešenje, bazirajući se prevashodno na osnovne o</w:t>
            </w:r>
            <w:r w:rsidR="007137CC">
              <w:rPr>
                <w:sz w:val="24"/>
                <w:szCs w:val="24"/>
                <w:lang w:val="sr-Latn-CS"/>
              </w:rPr>
              <w:t>drednice investicionog portfoli</w:t>
            </w:r>
            <w:r w:rsidR="000142C7">
              <w:rPr>
                <w:sz w:val="24"/>
                <w:szCs w:val="24"/>
                <w:lang w:val="sr-Latn-CS"/>
              </w:rPr>
              <w:t>a-rizik i prinos.</w:t>
            </w:r>
          </w:p>
          <w:p w:rsidR="000142C7" w:rsidRDefault="000142C7" w:rsidP="00882AC9">
            <w:pPr>
              <w:rPr>
                <w:sz w:val="24"/>
                <w:szCs w:val="24"/>
                <w:lang w:val="sr-Latn-CS"/>
              </w:rPr>
            </w:pPr>
          </w:p>
          <w:p w:rsidR="000142C7" w:rsidRDefault="000142C7" w:rsidP="00882AC9">
            <w:pPr>
              <w:rPr>
                <w:sz w:val="24"/>
                <w:szCs w:val="24"/>
                <w:lang w:val="sr-Latn-CS"/>
              </w:rPr>
            </w:pPr>
          </w:p>
          <w:p w:rsidR="00B1739B" w:rsidRDefault="007137CC" w:rsidP="006152E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Početni korak u realizaciji formulisanog cilja </w:t>
            </w:r>
            <w:r w:rsidR="009B18D6">
              <w:rPr>
                <w:sz w:val="24"/>
                <w:szCs w:val="24"/>
                <w:lang w:val="sr-Latn-CS"/>
              </w:rPr>
              <w:t>podrazumjeva izučavanje teorije</w:t>
            </w:r>
            <w:r w:rsidR="00344209">
              <w:rPr>
                <w:sz w:val="24"/>
                <w:szCs w:val="24"/>
                <w:lang w:val="sr-Latn-CS"/>
              </w:rPr>
              <w:t xml:space="preserve"> </w:t>
            </w:r>
            <w:r w:rsidR="009B18D6">
              <w:rPr>
                <w:sz w:val="24"/>
                <w:szCs w:val="24"/>
                <w:lang w:val="sr-Latn-CS"/>
              </w:rPr>
              <w:t>vezane za ovaj segment poslovanja</w:t>
            </w:r>
            <w:r w:rsidR="00344209">
              <w:rPr>
                <w:sz w:val="24"/>
                <w:szCs w:val="24"/>
                <w:lang w:val="sr-Latn-CS"/>
              </w:rPr>
              <w:t xml:space="preserve"> i analiza radova koji se bave sličnom problematikom. Naredni korak znači </w:t>
            </w:r>
            <w:r>
              <w:rPr>
                <w:sz w:val="24"/>
                <w:szCs w:val="24"/>
                <w:lang w:val="sr-Latn-CS"/>
              </w:rPr>
              <w:t xml:space="preserve"> prikupljanje neophodnih podataka</w:t>
            </w:r>
            <w:r w:rsidR="00344209">
              <w:rPr>
                <w:sz w:val="24"/>
                <w:szCs w:val="24"/>
                <w:lang w:val="sr-Latn-CS"/>
              </w:rPr>
              <w:t xml:space="preserve"> (kako za domaće tako i za razvijena finansijska tržišta)</w:t>
            </w:r>
            <w:r>
              <w:rPr>
                <w:sz w:val="24"/>
                <w:szCs w:val="24"/>
                <w:lang w:val="sr-Latn-CS"/>
              </w:rPr>
              <w:t>, primarno finansijskih izvještaja osiguravajućih kompanija, izvještaja o stanju na tržištu osiguranja</w:t>
            </w:r>
            <w:r w:rsidR="009B18D6">
              <w:rPr>
                <w:sz w:val="24"/>
                <w:szCs w:val="24"/>
                <w:lang w:val="sr-Latn-CS"/>
              </w:rPr>
              <w:t xml:space="preserve"> koje objavljuje Agencija za nadzor osiguranja </w:t>
            </w:r>
            <w:r>
              <w:rPr>
                <w:sz w:val="24"/>
                <w:szCs w:val="24"/>
                <w:lang w:val="sr-Latn-CS"/>
              </w:rPr>
              <w:t xml:space="preserve"> i</w:t>
            </w:r>
            <w:r w:rsidR="009B18D6">
              <w:rPr>
                <w:sz w:val="24"/>
                <w:szCs w:val="24"/>
                <w:lang w:val="sr-Latn-CS"/>
              </w:rPr>
              <w:t xml:space="preserve"> mišljenja ovlašćenog aktuara o poslovanju osiguravajućih kompanija, podataka koje </w:t>
            </w:r>
            <w:r w:rsidR="009B18D6">
              <w:rPr>
                <w:sz w:val="24"/>
                <w:szCs w:val="24"/>
                <w:lang w:val="sr-Latn-CS"/>
              </w:rPr>
              <w:lastRenderedPageBreak/>
              <w:t xml:space="preserve">objavljuje Centralna banka, kao i sva zakonska regulativa koja determiniše ovaj segment poslovanja. Naredni korak značiće obradu 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="009B18D6">
              <w:rPr>
                <w:sz w:val="24"/>
                <w:szCs w:val="24"/>
                <w:lang w:val="sr-Latn-CS"/>
              </w:rPr>
              <w:t>navedenih podataka</w:t>
            </w:r>
            <w:r w:rsidR="00344209">
              <w:rPr>
                <w:sz w:val="24"/>
                <w:szCs w:val="24"/>
                <w:lang w:val="sr-Latn-CS"/>
              </w:rPr>
              <w:t xml:space="preserve"> koristeći različite ekonometrijske, finansijske i statističke metode koje će pomoći u pogledu zaključivanja o tendencijama ulaganja osiguravača u Crnoj Gori</w:t>
            </w:r>
            <w:r w:rsidR="002440FA">
              <w:rPr>
                <w:sz w:val="24"/>
                <w:szCs w:val="24"/>
                <w:lang w:val="sr-Latn-CS"/>
              </w:rPr>
              <w:t xml:space="preserve"> kao i identifikovanje optimalnog portfolija</w:t>
            </w:r>
            <w:r w:rsidR="006152E8">
              <w:rPr>
                <w:sz w:val="24"/>
                <w:szCs w:val="24"/>
                <w:lang w:val="sr-Latn-CS"/>
              </w:rPr>
              <w:t xml:space="preserve"> koristeći odgovarajući model (primjer- CAPM model-Standardni model za odeđivanje cijene uloženog kapitala)</w:t>
            </w:r>
            <w:r w:rsidR="002440FA">
              <w:rPr>
                <w:sz w:val="24"/>
                <w:szCs w:val="24"/>
                <w:lang w:val="sr-Latn-CS"/>
              </w:rPr>
              <w:t xml:space="preserve"> </w:t>
            </w:r>
            <w:r w:rsidR="00344209">
              <w:rPr>
                <w:sz w:val="24"/>
                <w:szCs w:val="24"/>
                <w:lang w:val="sr-Latn-CS"/>
              </w:rPr>
              <w:t xml:space="preserve">. Poslednji korak podrazumjeva prezentovanje dobijenih informacija </w:t>
            </w:r>
            <w:r w:rsidR="002440FA">
              <w:rPr>
                <w:sz w:val="24"/>
                <w:szCs w:val="24"/>
                <w:lang w:val="sr-Latn-CS"/>
              </w:rPr>
              <w:t>i njihovo tumačenje s aspekta definisanog cilja.</w:t>
            </w:r>
          </w:p>
          <w:p w:rsidR="00E0202B" w:rsidRDefault="00E0202B" w:rsidP="00312966">
            <w:pPr>
              <w:rPr>
                <w:sz w:val="24"/>
                <w:szCs w:val="24"/>
                <w:lang w:val="sr-Latn-CS"/>
              </w:rPr>
            </w:pPr>
          </w:p>
          <w:p w:rsidR="00E0202B" w:rsidRDefault="00E0202B" w:rsidP="00312966">
            <w:pPr>
              <w:rPr>
                <w:sz w:val="24"/>
                <w:szCs w:val="24"/>
                <w:lang w:val="sr-Latn-CS"/>
              </w:rPr>
            </w:pPr>
          </w:p>
          <w:p w:rsidR="00B1739B" w:rsidRPr="00312966" w:rsidRDefault="00B1739B" w:rsidP="00312966">
            <w:pPr>
              <w:rPr>
                <w:sz w:val="24"/>
                <w:szCs w:val="24"/>
                <w:lang w:val="sr-Latn-CS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lastRenderedPageBreak/>
              <w:t>Prethodni</w:t>
            </w:r>
            <w:r w:rsidR="005B39CE"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radovi</w:t>
            </w:r>
          </w:p>
        </w:tc>
        <w:tc>
          <w:tcPr>
            <w:tcW w:w="7529" w:type="dxa"/>
            <w:vAlign w:val="center"/>
          </w:tcPr>
          <w:p w:rsidR="00B1739B" w:rsidRPr="00B30424" w:rsidRDefault="00932704" w:rsidP="00B30424">
            <w:pPr>
              <w:pStyle w:val="Heading1"/>
              <w:shd w:val="clear" w:color="auto" w:fill="FFFFFF"/>
              <w:spacing w:before="120" w:beforeAutospacing="0" w:after="12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93270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Kočović, J., Antić, T. R., &amp; Jovović, M. (2011). </w:t>
            </w:r>
            <w:proofErr w:type="gramStart"/>
            <w:r w:rsidRPr="0093270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The impact of the global </w:t>
            </w:r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financial crisis on the structure of investment portfolios of insurance companies.</w:t>
            </w:r>
            <w:proofErr w:type="gram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 Economic Annals, LVI, 191, 143-161.</w:t>
            </w:r>
          </w:p>
          <w:p w:rsidR="00DA4C23" w:rsidRPr="00932704" w:rsidRDefault="0046496E" w:rsidP="00B30424">
            <w:pPr>
              <w:pStyle w:val="Heading1"/>
              <w:shd w:val="clear" w:color="auto" w:fill="FFFFFF"/>
              <w:spacing w:before="120" w:beforeAutospacing="0" w:after="12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Gorter</w:t>
            </w:r>
            <w:proofErr w:type="spell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, J., &amp; Bikker, J. A. (2011).</w:t>
            </w:r>
            <w:proofErr w:type="gram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Investment risk taking by institutional investors.</w:t>
            </w:r>
            <w:proofErr w:type="gramEnd"/>
          </w:p>
          <w:p w:rsidR="00B1739B" w:rsidRDefault="00B30424" w:rsidP="00B30424">
            <w:pPr>
              <w:pStyle w:val="Heading1"/>
              <w:shd w:val="clear" w:color="auto" w:fill="FFFFFF"/>
              <w:spacing w:before="120" w:beforeAutospacing="0" w:after="12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Ćurak</w:t>
            </w:r>
            <w:proofErr w:type="spell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, M., </w:t>
            </w:r>
            <w:proofErr w:type="spell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Lončar</w:t>
            </w:r>
            <w:proofErr w:type="spell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, S., &amp; </w:t>
            </w:r>
            <w:proofErr w:type="spell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Poposki</w:t>
            </w:r>
            <w:proofErr w:type="spell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, K. (2009). Insurance sector development and economic growth in transition countries. International Research Journal of Finance and Economics, 34(3), 29-41.</w:t>
            </w:r>
          </w:p>
          <w:p w:rsidR="00B30424" w:rsidRDefault="00B30424" w:rsidP="00B30424">
            <w:pPr>
              <w:pStyle w:val="Heading1"/>
              <w:shd w:val="clear" w:color="auto" w:fill="FFFFFF"/>
              <w:spacing w:before="120" w:beforeAutospacing="0" w:after="12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Marović</w:t>
            </w:r>
            <w:proofErr w:type="spell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, Boris, </w:t>
            </w:r>
            <w:proofErr w:type="spell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Njegomir</w:t>
            </w:r>
            <w:proofErr w:type="spell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, Vladimir, </w:t>
            </w:r>
            <w:proofErr w:type="spell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Osiguravajuća</w:t>
            </w:r>
            <w:proofErr w:type="spell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društva</w:t>
            </w:r>
            <w:proofErr w:type="spell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ulozi</w:t>
            </w:r>
            <w:proofErr w:type="spell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institucionalnih</w:t>
            </w:r>
            <w:proofErr w:type="spell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investitora</w:t>
            </w:r>
            <w:proofErr w:type="spell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, 26. </w:t>
            </w:r>
            <w:proofErr w:type="spell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susret</w:t>
            </w:r>
            <w:proofErr w:type="spell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osiguravača</w:t>
            </w:r>
            <w:proofErr w:type="spell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reosiguravača</w:t>
            </w:r>
            <w:proofErr w:type="spellEnd"/>
            <w:r w:rsidRPr="00B3042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Sarajevo, 2015</w:t>
            </w:r>
          </w:p>
          <w:p w:rsidR="00B30424" w:rsidRPr="00B30424" w:rsidRDefault="0019032D" w:rsidP="00B30424">
            <w:pPr>
              <w:spacing w:before="240" w:after="160"/>
              <w:jc w:val="both"/>
              <w:rPr>
                <w:rFonts w:eastAsia="Times New Roman" w:cstheme="minorHAnsi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</w:rPr>
              <w:t xml:space="preserve">Kašćelan, </w:t>
            </w:r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 xml:space="preserve">Vladimir, </w:t>
            </w:r>
            <w:proofErr w:type="spellStart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>Radulović</w:t>
            </w:r>
            <w:proofErr w:type="spellEnd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 xml:space="preserve">, </w:t>
            </w:r>
            <w:proofErr w:type="spellStart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>Boško</w:t>
            </w:r>
            <w:proofErr w:type="spellEnd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 xml:space="preserve">, </w:t>
            </w:r>
            <w:proofErr w:type="spellStart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>Osiguravajuće</w:t>
            </w:r>
            <w:proofErr w:type="spellEnd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 xml:space="preserve"> </w:t>
            </w:r>
            <w:proofErr w:type="spellStart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>kompanija</w:t>
            </w:r>
            <w:proofErr w:type="spellEnd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 xml:space="preserve"> </w:t>
            </w:r>
            <w:proofErr w:type="spellStart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>na</w:t>
            </w:r>
            <w:proofErr w:type="spellEnd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 xml:space="preserve"> </w:t>
            </w:r>
            <w:proofErr w:type="spellStart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>finansijskom</w:t>
            </w:r>
            <w:proofErr w:type="spellEnd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 xml:space="preserve"> </w:t>
            </w:r>
            <w:proofErr w:type="spellStart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>tržištu</w:t>
            </w:r>
            <w:proofErr w:type="spellEnd"/>
            <w:r w:rsidR="00B86322">
              <w:rPr>
                <w:rFonts w:eastAsia="Times New Roman" w:cstheme="minorHAnsi"/>
                <w:kern w:val="36"/>
                <w:sz w:val="24"/>
                <w:szCs w:val="24"/>
              </w:rPr>
              <w:t xml:space="preserve"> </w:t>
            </w:r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 xml:space="preserve">u </w:t>
            </w:r>
            <w:proofErr w:type="spellStart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>regionu</w:t>
            </w:r>
            <w:proofErr w:type="spellEnd"/>
            <w:r w:rsidR="00B30424" w:rsidRPr="00B30424">
              <w:rPr>
                <w:rFonts w:eastAsia="Times New Roman" w:cstheme="minorHAnsi"/>
                <w:kern w:val="36"/>
                <w:sz w:val="24"/>
                <w:szCs w:val="24"/>
              </w:rPr>
              <w:t>, 2008</w:t>
            </w:r>
          </w:p>
          <w:p w:rsidR="00B30424" w:rsidRPr="00932704" w:rsidRDefault="0019032D" w:rsidP="00B30424">
            <w:pPr>
              <w:pStyle w:val="Heading1"/>
              <w:shd w:val="clear" w:color="auto" w:fill="FFFFFF"/>
              <w:spacing w:before="120" w:beforeAutospacing="0" w:after="12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Urošević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Branko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Božović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, Miloš, Creating the environment for more efficient investment portfolios of insurance companies in Serbia, 2012</w:t>
            </w:r>
          </w:p>
          <w:p w:rsidR="007C078C" w:rsidRPr="00932704" w:rsidRDefault="007C078C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B1739B" w:rsidRPr="00CB093A" w:rsidTr="007C078C">
        <w:tc>
          <w:tcPr>
            <w:tcW w:w="3919" w:type="dxa"/>
            <w:vAlign w:val="center"/>
          </w:tcPr>
          <w:p w:rsidR="00B1739B" w:rsidRPr="0080570D" w:rsidRDefault="00B1739B" w:rsidP="00AA5988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trike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Hipoteze/istraživačko pitanje </w:t>
            </w:r>
            <w:r w:rsidRPr="00C92CC1">
              <w:rPr>
                <w:b/>
                <w:sz w:val="24"/>
                <w:szCs w:val="24"/>
                <w:lang w:val="de-DE"/>
              </w:rPr>
              <w:t>tj. pitanja</w:t>
            </w:r>
          </w:p>
          <w:p w:rsidR="00B1739B" w:rsidRPr="00CB093A" w:rsidRDefault="00B1739B" w:rsidP="007264F0">
            <w:pPr>
              <w:tabs>
                <w:tab w:val="left" w:pos="426"/>
              </w:tabs>
              <w:ind w:left="426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7529" w:type="dxa"/>
            <w:vAlign w:val="center"/>
          </w:tcPr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0142C7" w:rsidP="00C92CC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 li su finansijski plasmani osiguravajućih kompanija na crnogorskom tržištu osiguranja u periodu od 2008. -</w:t>
            </w:r>
          </w:p>
          <w:p w:rsidR="00B1739B" w:rsidRDefault="000142C7" w:rsidP="00B8632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2014. godine predstavljala optimalna </w:t>
            </w:r>
            <w:r w:rsidR="00B86322">
              <w:rPr>
                <w:sz w:val="24"/>
                <w:szCs w:val="24"/>
                <w:lang w:val="de-DE"/>
              </w:rPr>
              <w:t>investiciona rešenja?</w:t>
            </w: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Pr="00C92CC1" w:rsidRDefault="00B1739B" w:rsidP="00C92CC1">
            <w:pPr>
              <w:rPr>
                <w:sz w:val="24"/>
                <w:szCs w:val="24"/>
                <w:lang w:val="de-DE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Ograničenja</w:t>
            </w:r>
            <w:r w:rsidR="005B39CE"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pri</w:t>
            </w:r>
            <w:r w:rsidR="005B39CE"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istraživanju</w:t>
            </w:r>
          </w:p>
        </w:tc>
        <w:tc>
          <w:tcPr>
            <w:tcW w:w="7529" w:type="dxa"/>
            <w:vAlign w:val="center"/>
          </w:tcPr>
          <w:p w:rsidR="00B1739B" w:rsidRDefault="0091174E" w:rsidP="002B7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Transparentnost podataka,</w:t>
            </w:r>
          </w:p>
          <w:p w:rsidR="0091174E" w:rsidRDefault="0091174E" w:rsidP="00F94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Odabrani </w:t>
            </w:r>
            <w:proofErr w:type="spellStart"/>
            <w:r>
              <w:rPr>
                <w:sz w:val="24"/>
                <w:szCs w:val="24"/>
              </w:rPr>
              <w:t>investicioni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horizont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pitanje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koliko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neposredno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nakon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ostvarivanja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svjetske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finansijke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94CD3">
              <w:rPr>
                <w:sz w:val="24"/>
                <w:szCs w:val="24"/>
              </w:rPr>
              <w:t>reprezentativne</w:t>
            </w:r>
            <w:proofErr w:type="spellEnd"/>
            <w:r w:rsidR="00F94CD3">
              <w:rPr>
                <w:sz w:val="24"/>
                <w:szCs w:val="24"/>
              </w:rPr>
              <w:t xml:space="preserve"> u </w:t>
            </w:r>
            <w:proofErr w:type="spellStart"/>
            <w:r w:rsidR="00F94CD3">
              <w:rPr>
                <w:sz w:val="24"/>
                <w:szCs w:val="24"/>
              </w:rPr>
              <w:t>zaključivanju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1739B" w:rsidRDefault="0091174E" w:rsidP="00911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</w:t>
            </w:r>
            <w:r w:rsidR="00F94CD3">
              <w:rPr>
                <w:sz w:val="24"/>
                <w:szCs w:val="24"/>
              </w:rPr>
              <w:t>mjenljivost</w:t>
            </w:r>
            <w:proofErr w:type="spellEnd"/>
            <w:r w:rsidR="00F94CD3">
              <w:rPr>
                <w:sz w:val="24"/>
                <w:szCs w:val="24"/>
              </w:rPr>
              <w:t xml:space="preserve"> </w:t>
            </w:r>
            <w:proofErr w:type="spellStart"/>
            <w:r w:rsidR="00F94CD3">
              <w:rPr>
                <w:sz w:val="24"/>
                <w:szCs w:val="24"/>
              </w:rPr>
              <w:t>zakonske</w:t>
            </w:r>
            <w:proofErr w:type="spellEnd"/>
            <w:r w:rsidR="00F94CD3">
              <w:rPr>
                <w:sz w:val="24"/>
                <w:szCs w:val="24"/>
              </w:rPr>
              <w:t xml:space="preserve"> regulative u </w:t>
            </w:r>
            <w:proofErr w:type="spellStart"/>
            <w:r w:rsidR="00F94CD3">
              <w:rPr>
                <w:sz w:val="24"/>
                <w:szCs w:val="24"/>
              </w:rPr>
              <w:t>posmatranom</w:t>
            </w:r>
            <w:proofErr w:type="spellEnd"/>
            <w:r w:rsidR="00F94CD3">
              <w:rPr>
                <w:sz w:val="24"/>
                <w:szCs w:val="24"/>
              </w:rPr>
              <w:t xml:space="preserve"> </w:t>
            </w:r>
            <w:proofErr w:type="spellStart"/>
            <w:r w:rsidR="00F94CD3">
              <w:rPr>
                <w:sz w:val="24"/>
                <w:szCs w:val="24"/>
              </w:rPr>
              <w:t>periodu</w:t>
            </w:r>
            <w:proofErr w:type="spellEnd"/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Sadržaj rada</w:t>
            </w:r>
          </w:p>
        </w:tc>
        <w:tc>
          <w:tcPr>
            <w:tcW w:w="7529" w:type="dxa"/>
            <w:vAlign w:val="center"/>
          </w:tcPr>
          <w:p w:rsidR="00B1739B" w:rsidRDefault="00346C1F" w:rsidP="00A71D24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Struktura rada je sledeća:</w:t>
            </w:r>
          </w:p>
          <w:p w:rsidR="00346C1F" w:rsidRPr="00346C1F" w:rsidRDefault="00346C1F" w:rsidP="00346C1F">
            <w:pPr>
              <w:rPr>
                <w:sz w:val="24"/>
                <w:szCs w:val="24"/>
              </w:rPr>
            </w:pPr>
            <w:r w:rsidRPr="00346C1F">
              <w:rPr>
                <w:sz w:val="24"/>
                <w:szCs w:val="24"/>
              </w:rPr>
              <w:t>Uvod</w:t>
            </w:r>
          </w:p>
          <w:p w:rsidR="00346C1F" w:rsidRDefault="00346C1F" w:rsidP="00346C1F">
            <w:pPr>
              <w:rPr>
                <w:sz w:val="24"/>
                <w:szCs w:val="24"/>
              </w:rPr>
            </w:pPr>
            <w:r w:rsidRPr="00346C1F">
              <w:rPr>
                <w:sz w:val="24"/>
                <w:szCs w:val="24"/>
              </w:rPr>
              <w:t>Meto</w:t>
            </w:r>
            <w:r>
              <w:rPr>
                <w:sz w:val="24"/>
                <w:szCs w:val="24"/>
              </w:rPr>
              <w:t>dološki aspekti izrade pristupnog rada (empirijski značaj, metode istraživanja, predmet istraživanja, ciljevi, vremenski period istraživanja, značaj i aktuelnost istraživanja)</w:t>
            </w:r>
          </w:p>
          <w:p w:rsidR="00346C1F" w:rsidRPr="00346C1F" w:rsidRDefault="00346C1F" w:rsidP="00346C1F">
            <w:pPr>
              <w:rPr>
                <w:sz w:val="24"/>
                <w:szCs w:val="24"/>
              </w:rPr>
            </w:pPr>
          </w:p>
          <w:p w:rsidR="0091174E" w:rsidRPr="0091174E" w:rsidRDefault="0091174E" w:rsidP="00F94CD3">
            <w:pPr>
              <w:jc w:val="both"/>
              <w:rPr>
                <w:rFonts w:cstheme="minorHAnsi"/>
                <w:sz w:val="24"/>
                <w:szCs w:val="24"/>
              </w:rPr>
            </w:pPr>
            <w:r w:rsidRPr="0091174E">
              <w:rPr>
                <w:rFonts w:cstheme="minorHAnsi"/>
                <w:sz w:val="24"/>
                <w:szCs w:val="24"/>
              </w:rPr>
              <w:lastRenderedPageBreak/>
              <w:t xml:space="preserve">U </w:t>
            </w:r>
            <w:proofErr w:type="spellStart"/>
            <w:r w:rsidRPr="0091174E">
              <w:rPr>
                <w:rFonts w:cstheme="minorHAnsi"/>
                <w:sz w:val="24"/>
                <w:szCs w:val="24"/>
              </w:rPr>
              <w:t>prvom</w:t>
            </w:r>
            <w:proofErr w:type="spellEnd"/>
            <w:r w:rsidRPr="0091174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174E">
              <w:rPr>
                <w:rFonts w:cstheme="minorHAnsi"/>
                <w:sz w:val="24"/>
                <w:szCs w:val="24"/>
              </w:rPr>
              <w:t>poglavlju</w:t>
            </w:r>
            <w:proofErr w:type="spellEnd"/>
            <w:r w:rsidRPr="0091174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1174E">
              <w:rPr>
                <w:rFonts w:cstheme="minorHAnsi"/>
                <w:sz w:val="24"/>
                <w:szCs w:val="24"/>
              </w:rPr>
              <w:t>prikazana</w:t>
            </w:r>
            <w:proofErr w:type="spellEnd"/>
            <w:r w:rsidRPr="0091174E">
              <w:rPr>
                <w:rFonts w:cstheme="minorHAnsi"/>
                <w:sz w:val="24"/>
                <w:szCs w:val="24"/>
              </w:rPr>
              <w:t xml:space="preserve"> je </w:t>
            </w:r>
            <w:proofErr w:type="spellStart"/>
            <w:r w:rsidRPr="0091174E">
              <w:rPr>
                <w:rFonts w:cstheme="minorHAnsi"/>
                <w:sz w:val="24"/>
                <w:szCs w:val="24"/>
              </w:rPr>
              <w:t>pozicija</w:t>
            </w:r>
            <w:proofErr w:type="spellEnd"/>
            <w:r w:rsidRPr="0091174E">
              <w:rPr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91174E">
              <w:rPr>
                <w:rFonts w:cstheme="minorHAnsi"/>
                <w:sz w:val="24"/>
                <w:szCs w:val="24"/>
              </w:rPr>
              <w:t>uloga</w:t>
            </w:r>
            <w:proofErr w:type="spellEnd"/>
            <w:r w:rsidRPr="0091174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94CD3">
              <w:rPr>
                <w:rFonts w:cstheme="minorHAnsi"/>
                <w:sz w:val="24"/>
                <w:szCs w:val="24"/>
              </w:rPr>
              <w:t>osiguravajućih</w:t>
            </w:r>
            <w:proofErr w:type="spellEnd"/>
            <w:r w:rsidR="00F94CD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94CD3">
              <w:rPr>
                <w:rFonts w:cstheme="minorHAnsi"/>
                <w:sz w:val="24"/>
                <w:szCs w:val="24"/>
              </w:rPr>
              <w:t>kompanija</w:t>
            </w:r>
            <w:proofErr w:type="spellEnd"/>
            <w:r w:rsidR="00F94CD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94CD3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="00F94CD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94CD3">
              <w:rPr>
                <w:rFonts w:cstheme="minorHAnsi"/>
                <w:sz w:val="24"/>
                <w:szCs w:val="24"/>
              </w:rPr>
              <w:t>finansijskom</w:t>
            </w:r>
            <w:proofErr w:type="spellEnd"/>
            <w:r w:rsidRPr="0091174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174E">
              <w:rPr>
                <w:rFonts w:cstheme="minorHAnsi"/>
                <w:sz w:val="24"/>
                <w:szCs w:val="24"/>
              </w:rPr>
              <w:t>tržištu</w:t>
            </w:r>
            <w:proofErr w:type="spellEnd"/>
            <w:r w:rsidRPr="0091174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1174E">
              <w:rPr>
                <w:rFonts w:cstheme="minorHAnsi"/>
                <w:sz w:val="24"/>
                <w:szCs w:val="24"/>
              </w:rPr>
              <w:t>sa</w:t>
            </w:r>
            <w:proofErr w:type="spellEnd"/>
            <w:r w:rsidRPr="0091174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174E">
              <w:rPr>
                <w:rFonts w:cstheme="minorHAnsi"/>
                <w:sz w:val="24"/>
                <w:szCs w:val="24"/>
              </w:rPr>
              <w:t>naglaskom</w:t>
            </w:r>
            <w:proofErr w:type="spellEnd"/>
            <w:r w:rsidRPr="0091174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174E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91174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174E">
              <w:rPr>
                <w:rFonts w:cstheme="minorHAnsi"/>
                <w:sz w:val="24"/>
                <w:szCs w:val="24"/>
              </w:rPr>
              <w:t>njihov</w:t>
            </w:r>
            <w:proofErr w:type="spellEnd"/>
            <w:r w:rsidRPr="0091174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174E">
              <w:rPr>
                <w:rFonts w:cstheme="minorHAnsi"/>
                <w:sz w:val="24"/>
                <w:szCs w:val="24"/>
              </w:rPr>
              <w:t>doprinos</w:t>
            </w:r>
            <w:proofErr w:type="spellEnd"/>
            <w:r w:rsidRPr="0091174E"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 w:rsidRPr="0091174E">
              <w:rPr>
                <w:rFonts w:cstheme="minorHAnsi"/>
                <w:sz w:val="24"/>
                <w:szCs w:val="24"/>
              </w:rPr>
              <w:t>povezivanju</w:t>
            </w:r>
            <w:proofErr w:type="spellEnd"/>
            <w:r w:rsidRPr="0091174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174E">
              <w:rPr>
                <w:rFonts w:cstheme="minorHAnsi"/>
                <w:sz w:val="24"/>
                <w:szCs w:val="24"/>
              </w:rPr>
              <w:t>suficitarnih</w:t>
            </w:r>
            <w:proofErr w:type="spellEnd"/>
            <w:r w:rsidRPr="0091174E">
              <w:rPr>
                <w:rFonts w:cstheme="minorHAnsi"/>
                <w:sz w:val="24"/>
                <w:szCs w:val="24"/>
              </w:rPr>
              <w:t xml:space="preserve"> i deficitarnih subjekata.</w:t>
            </w:r>
          </w:p>
          <w:p w:rsidR="0091174E" w:rsidRPr="0091174E" w:rsidRDefault="0091174E" w:rsidP="0091174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1174E" w:rsidRPr="0091174E" w:rsidRDefault="0091174E" w:rsidP="0091174E">
            <w:pPr>
              <w:jc w:val="both"/>
              <w:rPr>
                <w:rFonts w:cstheme="minorHAnsi"/>
                <w:sz w:val="24"/>
                <w:szCs w:val="24"/>
              </w:rPr>
            </w:pPr>
            <w:r w:rsidRPr="0091174E">
              <w:rPr>
                <w:rFonts w:cstheme="minorHAnsi"/>
                <w:sz w:val="24"/>
                <w:szCs w:val="24"/>
              </w:rPr>
              <w:t>Drugo poglavlje bavi se sredstvima koje osiguravajuće kompanije plasiraju na finansijska tržišta, odnosno formiranjem rezervi u osiguranju.</w:t>
            </w:r>
          </w:p>
          <w:p w:rsidR="0091174E" w:rsidRPr="0091174E" w:rsidRDefault="0091174E" w:rsidP="0091174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1739B" w:rsidRDefault="0091174E" w:rsidP="0091174E">
            <w:pPr>
              <w:rPr>
                <w:rFonts w:cstheme="minorHAnsi"/>
                <w:sz w:val="24"/>
                <w:szCs w:val="24"/>
              </w:rPr>
            </w:pPr>
            <w:r w:rsidRPr="0091174E">
              <w:rPr>
                <w:rFonts w:cstheme="minorHAnsi"/>
                <w:sz w:val="24"/>
                <w:szCs w:val="24"/>
              </w:rPr>
              <w:t>Plasmani osiguravajućih kompanija na razvijenim finansijskim tržištima</w:t>
            </w:r>
            <w:r>
              <w:rPr>
                <w:rFonts w:cstheme="minorHAnsi"/>
                <w:sz w:val="24"/>
                <w:szCs w:val="24"/>
              </w:rPr>
              <w:t xml:space="preserve"> prikazani su u trećem poglavlju. </w:t>
            </w:r>
          </w:p>
          <w:p w:rsidR="00346C1F" w:rsidRDefault="00346C1F" w:rsidP="0091174E">
            <w:pPr>
              <w:rPr>
                <w:rFonts w:cstheme="minorHAnsi"/>
                <w:sz w:val="24"/>
                <w:szCs w:val="24"/>
              </w:rPr>
            </w:pPr>
          </w:p>
          <w:p w:rsidR="00346C1F" w:rsidRDefault="00346C1F" w:rsidP="009117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Četvrto poglavlje prikazuje funkcionisanje osiguravajućih kompanija kao finansijskih posrednika na domaćem tržištu osiguranja. Ovo poglavlje bavi se analizom </w:t>
            </w:r>
            <w:r w:rsidR="00A93210">
              <w:rPr>
                <w:rFonts w:cstheme="minorHAnsi"/>
                <w:sz w:val="24"/>
                <w:szCs w:val="24"/>
              </w:rPr>
              <w:t>investiranih sredstava u pogledu ostvarenog prinosa, oblicima finansijske imovine,  rizicima sa kojim su bile suočene osiguravajuće kompanije i uz komparativnu analizu finansijskih plasmana osiguravača na razvijenim finansijskim tržištima daje odgovor na pitanje da li su ulaganja i deponovanja sredstava bila optimalna.</w:t>
            </w:r>
          </w:p>
          <w:p w:rsidR="00E0202B" w:rsidRDefault="00E0202B" w:rsidP="00A93210">
            <w:pPr>
              <w:rPr>
                <w:sz w:val="24"/>
                <w:szCs w:val="24"/>
              </w:rPr>
            </w:pPr>
          </w:p>
          <w:p w:rsidR="00A93210" w:rsidRDefault="00A93210" w:rsidP="00A9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Zaključak </w:t>
            </w:r>
          </w:p>
          <w:p w:rsidR="00A93210" w:rsidRDefault="00A93210" w:rsidP="00A93210">
            <w:pPr>
              <w:rPr>
                <w:sz w:val="24"/>
                <w:szCs w:val="24"/>
              </w:rPr>
            </w:pPr>
          </w:p>
          <w:p w:rsidR="00A93210" w:rsidRPr="00A93210" w:rsidRDefault="00A93210" w:rsidP="00A9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  <w:p w:rsidR="00B1739B" w:rsidRDefault="00B1739B" w:rsidP="00A71D24">
            <w:pPr>
              <w:pStyle w:val="ListParagraph"/>
              <w:rPr>
                <w:sz w:val="24"/>
                <w:szCs w:val="24"/>
              </w:rPr>
            </w:pPr>
          </w:p>
          <w:p w:rsidR="00B1739B" w:rsidRPr="007C078C" w:rsidRDefault="00B1739B" w:rsidP="007C078C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lastRenderedPageBreak/>
              <w:t>Vrsta</w:t>
            </w:r>
            <w:r w:rsidR="005B39CE"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istraživanja (empirijskoili teorijsko)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B638B7">
            <w:pPr>
              <w:rPr>
                <w:sz w:val="24"/>
                <w:szCs w:val="24"/>
              </w:rPr>
            </w:pPr>
          </w:p>
          <w:p w:rsidR="00B1739B" w:rsidRDefault="00A93210" w:rsidP="00A9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pitanju je empirijsko istraživanje jer se temelji na podacima iz realnog svijeta, i do zaključaka dolazi na osnovu njihove obrade i prilagođavanja svrsi istraživanja.</w:t>
            </w:r>
          </w:p>
          <w:p w:rsidR="00B1739B" w:rsidRDefault="00B1739B" w:rsidP="00B638B7">
            <w:pPr>
              <w:rPr>
                <w:sz w:val="24"/>
                <w:szCs w:val="24"/>
              </w:rPr>
            </w:pPr>
          </w:p>
          <w:p w:rsidR="00B1739B" w:rsidRDefault="00B1739B" w:rsidP="00B638B7">
            <w:pPr>
              <w:rPr>
                <w:sz w:val="24"/>
                <w:szCs w:val="24"/>
              </w:rPr>
            </w:pPr>
          </w:p>
          <w:p w:rsidR="00B1739B" w:rsidRPr="00B5519E" w:rsidRDefault="00B1739B" w:rsidP="00B638B7">
            <w:pPr>
              <w:rPr>
                <w:sz w:val="24"/>
                <w:szCs w:val="24"/>
              </w:rPr>
            </w:pPr>
          </w:p>
        </w:tc>
      </w:tr>
      <w:tr w:rsidR="00B1739B" w:rsidRPr="00B266BD" w:rsidTr="007C078C">
        <w:tc>
          <w:tcPr>
            <w:tcW w:w="3919" w:type="dxa"/>
            <w:vAlign w:val="center"/>
          </w:tcPr>
          <w:p w:rsidR="00B1739B" w:rsidRPr="002A233E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2A233E">
              <w:rPr>
                <w:b/>
                <w:sz w:val="24"/>
                <w:szCs w:val="24"/>
              </w:rPr>
              <w:t>Istraživački</w:t>
            </w:r>
            <w:r w:rsidR="005B39CE">
              <w:rPr>
                <w:b/>
                <w:sz w:val="24"/>
                <w:szCs w:val="24"/>
              </w:rPr>
              <w:t xml:space="preserve"> </w:t>
            </w:r>
            <w:r w:rsidRPr="002A233E">
              <w:rPr>
                <w:b/>
                <w:sz w:val="24"/>
                <w:szCs w:val="24"/>
              </w:rPr>
              <w:t>pristup (eksploratorni, deskriptivni, eksplanatorni ili prediktivni)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B638B7">
            <w:pPr>
              <w:rPr>
                <w:sz w:val="24"/>
                <w:szCs w:val="24"/>
                <w:lang w:val="de-DE"/>
              </w:rPr>
            </w:pPr>
          </w:p>
          <w:p w:rsidR="00B1739B" w:rsidRDefault="002B505C" w:rsidP="00B638B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Eksploratorni, budući da istraživanja omogućava bolje razumjevanja funkcionisanja osiguravača kao finansijskih posrednika na domaćem tržištu, ali i eksplanatorni pristup jer objašnjava determinante optimalnog portfolia u posmatranom periodu.</w:t>
            </w:r>
          </w:p>
          <w:p w:rsidR="00B1739B" w:rsidRDefault="00B1739B" w:rsidP="00B638B7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B638B7">
            <w:pPr>
              <w:rPr>
                <w:sz w:val="24"/>
                <w:szCs w:val="24"/>
                <w:lang w:val="de-DE"/>
              </w:rPr>
            </w:pPr>
          </w:p>
          <w:p w:rsidR="00B1739B" w:rsidRPr="00B30424" w:rsidRDefault="00B1739B" w:rsidP="00B638B7">
            <w:pPr>
              <w:rPr>
                <w:sz w:val="24"/>
                <w:szCs w:val="24"/>
                <w:lang w:val="de-DE"/>
              </w:rPr>
            </w:pPr>
          </w:p>
        </w:tc>
      </w:tr>
      <w:tr w:rsidR="00B1739B" w:rsidRPr="00B266BD" w:rsidTr="007C078C">
        <w:tc>
          <w:tcPr>
            <w:tcW w:w="3919" w:type="dxa"/>
            <w:vAlign w:val="center"/>
          </w:tcPr>
          <w:p w:rsidR="00B1739B" w:rsidRPr="00B30424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  <w:lang w:val="de-DE"/>
              </w:rPr>
            </w:pPr>
            <w:r w:rsidRPr="00B30424">
              <w:rPr>
                <w:b/>
                <w:sz w:val="24"/>
                <w:szCs w:val="24"/>
                <w:lang w:val="de-DE"/>
              </w:rPr>
              <w:t>Istraživački</w:t>
            </w:r>
            <w:r w:rsidR="00F94CD3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B30424">
              <w:rPr>
                <w:b/>
                <w:sz w:val="24"/>
                <w:szCs w:val="24"/>
                <w:lang w:val="de-DE"/>
              </w:rPr>
              <w:t>pristup(induktivni, deduktivniili abduktivni) i obrazloženje</w:t>
            </w:r>
          </w:p>
        </w:tc>
        <w:tc>
          <w:tcPr>
            <w:tcW w:w="7529" w:type="dxa"/>
            <w:vAlign w:val="center"/>
          </w:tcPr>
          <w:p w:rsidR="00B1739B" w:rsidRPr="00B30424" w:rsidRDefault="00B1739B" w:rsidP="002B735E">
            <w:pPr>
              <w:rPr>
                <w:sz w:val="24"/>
                <w:szCs w:val="24"/>
                <w:lang w:val="de-DE"/>
              </w:rPr>
            </w:pPr>
          </w:p>
          <w:p w:rsidR="00B1739B" w:rsidRPr="00B30424" w:rsidRDefault="00B1739B" w:rsidP="002B735E">
            <w:pPr>
              <w:rPr>
                <w:sz w:val="24"/>
                <w:szCs w:val="24"/>
                <w:lang w:val="de-DE"/>
              </w:rPr>
            </w:pPr>
          </w:p>
          <w:p w:rsidR="00B1739B" w:rsidRPr="00B30424" w:rsidRDefault="002B505C" w:rsidP="002B735E">
            <w:pPr>
              <w:rPr>
                <w:sz w:val="24"/>
                <w:szCs w:val="24"/>
                <w:lang w:val="de-DE"/>
              </w:rPr>
            </w:pPr>
            <w:r w:rsidRPr="00B30424">
              <w:rPr>
                <w:sz w:val="24"/>
                <w:szCs w:val="24"/>
                <w:lang w:val="de-DE"/>
              </w:rPr>
              <w:t>Abduktivni pristup, jer nam teorija pomaže da formiramo polazne pretpostavke</w:t>
            </w:r>
            <w:r w:rsidR="00860E58" w:rsidRPr="00B30424">
              <w:rPr>
                <w:sz w:val="24"/>
                <w:szCs w:val="24"/>
                <w:lang w:val="de-DE"/>
              </w:rPr>
              <w:t xml:space="preserve"> (o značaju konkretnog dijela poslovanja osiguravajućih kompanija)</w:t>
            </w:r>
            <w:r w:rsidRPr="00B30424">
              <w:rPr>
                <w:sz w:val="24"/>
                <w:szCs w:val="24"/>
                <w:lang w:val="de-DE"/>
              </w:rPr>
              <w:t xml:space="preserve"> i usmjeri istraživanje u odgovarajućem pravcu, kao i da na adekvatan način interpretiramo zaključke, dok na drugoj strani induktivni pristup nam omogućava da </w:t>
            </w:r>
            <w:r w:rsidR="00545D44" w:rsidRPr="00B30424">
              <w:rPr>
                <w:sz w:val="24"/>
                <w:szCs w:val="24"/>
                <w:lang w:val="de-DE"/>
              </w:rPr>
              <w:t xml:space="preserve">na osnovu pojedinačnih posmatranja i analize prethodno navedenih podataka </w:t>
            </w:r>
            <w:r w:rsidR="009F795B" w:rsidRPr="00B30424">
              <w:rPr>
                <w:sz w:val="24"/>
                <w:szCs w:val="24"/>
                <w:lang w:val="de-DE"/>
              </w:rPr>
              <w:t>koji se odnose na konkretno tržište</w:t>
            </w:r>
            <w:r w:rsidR="00F94CD3">
              <w:rPr>
                <w:sz w:val="24"/>
                <w:szCs w:val="24"/>
                <w:lang w:val="de-DE"/>
              </w:rPr>
              <w:t xml:space="preserve"> osiguranja</w:t>
            </w:r>
            <w:r w:rsidR="009F795B" w:rsidRPr="00B30424">
              <w:rPr>
                <w:sz w:val="24"/>
                <w:szCs w:val="24"/>
                <w:lang w:val="de-DE"/>
              </w:rPr>
              <w:t xml:space="preserve">, </w:t>
            </w:r>
            <w:r w:rsidR="00545D44" w:rsidRPr="00B30424">
              <w:rPr>
                <w:sz w:val="24"/>
                <w:szCs w:val="24"/>
                <w:lang w:val="de-DE"/>
              </w:rPr>
              <w:t>donesemo zaključke, tako da se koristi induktivno-deduktivni pristup.</w:t>
            </w:r>
            <w:r w:rsidRPr="00B30424">
              <w:rPr>
                <w:sz w:val="24"/>
                <w:szCs w:val="24"/>
                <w:lang w:val="de-DE"/>
              </w:rPr>
              <w:t xml:space="preserve"> </w:t>
            </w:r>
          </w:p>
          <w:p w:rsidR="00B1739B" w:rsidRPr="00B30424" w:rsidRDefault="00B1739B" w:rsidP="002B735E">
            <w:pPr>
              <w:rPr>
                <w:sz w:val="24"/>
                <w:szCs w:val="24"/>
                <w:lang w:val="de-DE"/>
              </w:rPr>
            </w:pPr>
          </w:p>
          <w:p w:rsidR="00B1739B" w:rsidRPr="00B30424" w:rsidRDefault="00B1739B" w:rsidP="002B735E">
            <w:pPr>
              <w:rPr>
                <w:sz w:val="24"/>
                <w:szCs w:val="24"/>
                <w:lang w:val="de-DE"/>
              </w:rPr>
            </w:pPr>
          </w:p>
          <w:p w:rsidR="00B1739B" w:rsidRPr="00B30424" w:rsidRDefault="00B1739B" w:rsidP="002B735E">
            <w:pPr>
              <w:rPr>
                <w:sz w:val="24"/>
                <w:szCs w:val="24"/>
                <w:lang w:val="de-DE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proofErr w:type="spellStart"/>
            <w:r w:rsidRPr="008369BD">
              <w:rPr>
                <w:b/>
                <w:sz w:val="24"/>
                <w:szCs w:val="24"/>
              </w:rPr>
              <w:t>Istraživački</w:t>
            </w:r>
            <w:proofErr w:type="spellEnd"/>
            <w:r w:rsidR="00545D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69BD">
              <w:rPr>
                <w:b/>
                <w:sz w:val="24"/>
                <w:szCs w:val="24"/>
              </w:rPr>
              <w:t>pristup</w:t>
            </w:r>
            <w:proofErr w:type="spellEnd"/>
            <w:r w:rsidRPr="008369B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369BD">
              <w:rPr>
                <w:b/>
                <w:sz w:val="24"/>
                <w:szCs w:val="24"/>
              </w:rPr>
              <w:t>kvalitativniili</w:t>
            </w:r>
            <w:proofErr w:type="spellEnd"/>
            <w:r w:rsidRPr="008369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69BD">
              <w:rPr>
                <w:b/>
                <w:sz w:val="24"/>
                <w:szCs w:val="24"/>
              </w:rPr>
              <w:t>kvantitativni</w:t>
            </w:r>
            <w:proofErr w:type="spellEnd"/>
            <w:r w:rsidRPr="008369BD">
              <w:rPr>
                <w:b/>
                <w:sz w:val="24"/>
                <w:szCs w:val="24"/>
              </w:rPr>
              <w:t>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545D44" w:rsidP="00545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 podrazumjeva i kvalitativni i kvantitativni pristup u istraživanju. Kvalitativni pristup odnosi se na analizu podataka ( prethodno pomenutih </w:t>
            </w:r>
            <w:r>
              <w:rPr>
                <w:sz w:val="24"/>
                <w:szCs w:val="24"/>
              </w:rPr>
              <w:lastRenderedPageBreak/>
              <w:t xml:space="preserve">izvještaja, tekstova) u vidu opisivanja i komparacije ali se prednost daje kvantitativnom pristupu, jer se kroz različite metode i modele dolazi do rezultata </w:t>
            </w:r>
            <w:r w:rsidR="009F795B">
              <w:rPr>
                <w:sz w:val="24"/>
                <w:szCs w:val="24"/>
              </w:rPr>
              <w:t xml:space="preserve">koji govore o adekvatnosti plasmana i </w:t>
            </w:r>
            <w:r>
              <w:rPr>
                <w:sz w:val="24"/>
                <w:szCs w:val="24"/>
              </w:rPr>
              <w:t>koji će se iskazati brojnim vrijednostima.</w:t>
            </w: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Kvalitativne istraživačke metode </w:t>
            </w:r>
            <w:r w:rsidRPr="008369BD">
              <w:rPr>
                <w:b/>
                <w:sz w:val="24"/>
                <w:szCs w:val="24"/>
              </w:rPr>
              <w:t>(eksperiment,anketa, arhivska analiza, istorijska analiza ili studija slučaja)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860E58" w:rsidP="0086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Istorijska analiza kako bi se </w:t>
            </w:r>
            <w:proofErr w:type="spellStart"/>
            <w:r>
              <w:rPr>
                <w:sz w:val="24"/>
                <w:szCs w:val="24"/>
              </w:rPr>
              <w:t>analizirali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različiti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izvještaji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kroz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nekoliko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posmatranja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statistike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ba</w:t>
            </w:r>
            <w:r w:rsidR="00F94CD3">
              <w:rPr>
                <w:sz w:val="24"/>
                <w:szCs w:val="24"/>
              </w:rPr>
              <w:t>ze</w:t>
            </w:r>
            <w:proofErr w:type="spellEnd"/>
            <w:r w:rsidR="00F94CD3">
              <w:rPr>
                <w:sz w:val="24"/>
                <w:szCs w:val="24"/>
              </w:rPr>
              <w:t xml:space="preserve"> </w:t>
            </w:r>
            <w:proofErr w:type="spellStart"/>
            <w:r w:rsidR="00F94CD3">
              <w:rPr>
                <w:sz w:val="24"/>
                <w:szCs w:val="24"/>
              </w:rPr>
              <w:t>publikovanih</w:t>
            </w:r>
            <w:proofErr w:type="spellEnd"/>
            <w:r w:rsidR="00F94CD3">
              <w:rPr>
                <w:sz w:val="24"/>
                <w:szCs w:val="24"/>
              </w:rPr>
              <w:t xml:space="preserve"> </w:t>
            </w:r>
            <w:proofErr w:type="spellStart"/>
            <w:r w:rsidR="00F94CD3">
              <w:rPr>
                <w:sz w:val="24"/>
                <w:szCs w:val="24"/>
              </w:rPr>
              <w:t>izvora</w:t>
            </w:r>
            <w:proofErr w:type="spellEnd"/>
            <w:r w:rsidR="00F94CD3">
              <w:rPr>
                <w:sz w:val="24"/>
                <w:szCs w:val="24"/>
              </w:rPr>
              <w:t xml:space="preserve"> i </w:t>
            </w:r>
            <w:proofErr w:type="spellStart"/>
            <w:r w:rsidR="00F94CD3">
              <w:rPr>
                <w:sz w:val="24"/>
                <w:szCs w:val="24"/>
              </w:rPr>
              <w:t>izvukla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opšta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zapažanja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posmatranim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pojavama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9F795B" w:rsidRDefault="009F795B" w:rsidP="0086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Kako bi se procijenili obrasci investiranja koristi se i metod intervjua koji je sproveden putem </w:t>
            </w:r>
            <w:proofErr w:type="spellStart"/>
            <w:r>
              <w:rPr>
                <w:sz w:val="24"/>
                <w:szCs w:val="24"/>
              </w:rPr>
              <w:t>upitnika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elektronskom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poštom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čemu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ispitane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osiguravajuće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posluju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</w:t>
            </w:r>
            <w:r w:rsidR="00F94CD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gorskom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tržištu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konkretno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stručna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Finansija i menadžment preduzeća.</w:t>
            </w: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2A1946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2A1946">
              <w:rPr>
                <w:b/>
                <w:sz w:val="24"/>
                <w:szCs w:val="24"/>
              </w:rPr>
              <w:t>Kvantitativne</w:t>
            </w:r>
            <w:r w:rsidR="009F795B">
              <w:rPr>
                <w:b/>
                <w:sz w:val="24"/>
                <w:szCs w:val="24"/>
              </w:rPr>
              <w:t xml:space="preserve"> </w:t>
            </w:r>
            <w:r w:rsidRPr="002A1946">
              <w:rPr>
                <w:b/>
                <w:sz w:val="24"/>
                <w:szCs w:val="24"/>
              </w:rPr>
              <w:t>istraživačke</w:t>
            </w:r>
            <w:r w:rsidR="009F795B">
              <w:rPr>
                <w:b/>
                <w:sz w:val="24"/>
                <w:szCs w:val="24"/>
              </w:rPr>
              <w:t xml:space="preserve"> </w:t>
            </w:r>
            <w:r w:rsidRPr="002A1946">
              <w:rPr>
                <w:b/>
                <w:sz w:val="24"/>
                <w:szCs w:val="24"/>
              </w:rPr>
              <w:t>metode(eks</w:t>
            </w:r>
            <w:r>
              <w:rPr>
                <w:b/>
                <w:sz w:val="24"/>
                <w:szCs w:val="24"/>
              </w:rPr>
              <w:t>periment</w:t>
            </w:r>
            <w:r w:rsidRPr="002A1946">
              <w:rPr>
                <w:b/>
                <w:sz w:val="24"/>
                <w:szCs w:val="24"/>
              </w:rPr>
              <w:t>, analitičke, statističke, ekonometrijske, optimizacione  ili inteligentne) i obrazloženje</w:t>
            </w:r>
          </w:p>
        </w:tc>
        <w:tc>
          <w:tcPr>
            <w:tcW w:w="7529" w:type="dxa"/>
            <w:vAlign w:val="center"/>
          </w:tcPr>
          <w:p w:rsidR="00B266BD" w:rsidRDefault="00B266BD" w:rsidP="000E3D4A">
            <w:pPr>
              <w:rPr>
                <w:sz w:val="24"/>
                <w:szCs w:val="24"/>
              </w:rPr>
            </w:pPr>
          </w:p>
          <w:p w:rsidR="00B1739B" w:rsidRDefault="009F795B" w:rsidP="000E3D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Preo</w:t>
            </w:r>
            <w:r w:rsidR="000E3D4A">
              <w:rPr>
                <w:sz w:val="24"/>
                <w:szCs w:val="24"/>
              </w:rPr>
              <w:t>vlađuje</w:t>
            </w:r>
            <w:proofErr w:type="spellEnd"/>
            <w:r w:rsidR="000E3D4A">
              <w:rPr>
                <w:sz w:val="24"/>
                <w:szCs w:val="24"/>
              </w:rPr>
              <w:t xml:space="preserve"> </w:t>
            </w:r>
            <w:proofErr w:type="spellStart"/>
            <w:r w:rsidR="000E3D4A">
              <w:rPr>
                <w:sz w:val="24"/>
                <w:szCs w:val="24"/>
              </w:rPr>
              <w:t>deskriptivna</w:t>
            </w:r>
            <w:proofErr w:type="spellEnd"/>
            <w:r w:rsidR="000E3D4A">
              <w:rPr>
                <w:sz w:val="24"/>
                <w:szCs w:val="24"/>
              </w:rPr>
              <w:t xml:space="preserve"> </w:t>
            </w:r>
            <w:proofErr w:type="spellStart"/>
            <w:r w:rsidR="000E3D4A">
              <w:rPr>
                <w:sz w:val="24"/>
                <w:szCs w:val="24"/>
              </w:rPr>
              <w:t>statistika</w:t>
            </w:r>
            <w:proofErr w:type="spellEnd"/>
            <w:r w:rsidR="000E3D4A">
              <w:rPr>
                <w:sz w:val="24"/>
                <w:szCs w:val="24"/>
              </w:rPr>
              <w:t xml:space="preserve">, </w:t>
            </w:r>
            <w:proofErr w:type="spellStart"/>
            <w:r w:rsidR="000E3D4A">
              <w:rPr>
                <w:sz w:val="24"/>
                <w:szCs w:val="24"/>
              </w:rPr>
              <w:t>mjere</w:t>
            </w:r>
            <w:proofErr w:type="spellEnd"/>
            <w:r w:rsidR="000E3D4A">
              <w:rPr>
                <w:sz w:val="24"/>
                <w:szCs w:val="24"/>
              </w:rPr>
              <w:t xml:space="preserve"> centralne tendencije i mjere disperzije, prevashodno aritmetička sredina pri analizi  učestanosti pojavljivanja u ukupnom broju posmatranja( konkretno- zastupljenost pojednih oblika hartija od vrijednosti u </w:t>
            </w:r>
            <w:r w:rsidR="00D70ECB">
              <w:rPr>
                <w:sz w:val="24"/>
                <w:szCs w:val="24"/>
              </w:rPr>
              <w:t>ukupnim plasmanima), i varijans</w:t>
            </w:r>
            <w:r w:rsidR="000E3D4A">
              <w:rPr>
                <w:sz w:val="24"/>
                <w:szCs w:val="24"/>
              </w:rPr>
              <w:t>a i standardna devijacija pri mjerenju rizicnosti ulaganja u pojedne oblike imovine</w:t>
            </w:r>
            <w:r w:rsidR="00D70ECB">
              <w:rPr>
                <w:sz w:val="24"/>
                <w:szCs w:val="24"/>
              </w:rPr>
              <w:t xml:space="preserve">. Koristiće se CAPM (Capital Asset Pricing Model) za </w:t>
            </w:r>
            <w:proofErr w:type="spellStart"/>
            <w:r w:rsidR="00D70ECB">
              <w:rPr>
                <w:sz w:val="24"/>
                <w:szCs w:val="24"/>
              </w:rPr>
              <w:t>određivanje</w:t>
            </w:r>
            <w:proofErr w:type="spellEnd"/>
            <w:r w:rsidR="00D70ECB">
              <w:rPr>
                <w:sz w:val="24"/>
                <w:szCs w:val="24"/>
              </w:rPr>
              <w:t xml:space="preserve"> </w:t>
            </w:r>
            <w:proofErr w:type="spellStart"/>
            <w:r w:rsidR="00D70ECB">
              <w:rPr>
                <w:sz w:val="24"/>
                <w:szCs w:val="24"/>
              </w:rPr>
              <w:t>teoretski</w:t>
            </w:r>
            <w:proofErr w:type="spellEnd"/>
            <w:r w:rsidR="00D70ECB">
              <w:rPr>
                <w:sz w:val="24"/>
                <w:szCs w:val="24"/>
              </w:rPr>
              <w:t xml:space="preserve"> </w:t>
            </w:r>
            <w:proofErr w:type="spellStart"/>
            <w:r w:rsidR="00D70ECB">
              <w:rPr>
                <w:sz w:val="24"/>
                <w:szCs w:val="24"/>
              </w:rPr>
              <w:t>odgovarajuće</w:t>
            </w:r>
            <w:proofErr w:type="spellEnd"/>
            <w:r w:rsidR="00D70ECB">
              <w:rPr>
                <w:sz w:val="24"/>
                <w:szCs w:val="24"/>
              </w:rPr>
              <w:t xml:space="preserve"> stope </w:t>
            </w:r>
            <w:proofErr w:type="spellStart"/>
            <w:r w:rsidR="00D70ECB">
              <w:rPr>
                <w:sz w:val="24"/>
                <w:szCs w:val="24"/>
              </w:rPr>
              <w:t>prinosa</w:t>
            </w:r>
            <w:proofErr w:type="spellEnd"/>
            <w:r w:rsidR="00F94CD3">
              <w:rPr>
                <w:sz w:val="24"/>
                <w:szCs w:val="24"/>
              </w:rPr>
              <w:t>.</w:t>
            </w: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proofErr w:type="spellStart"/>
            <w:r w:rsidRPr="008369BD">
              <w:rPr>
                <w:b/>
                <w:sz w:val="24"/>
                <w:szCs w:val="24"/>
              </w:rPr>
              <w:t>Podaci</w:t>
            </w:r>
            <w:proofErr w:type="spellEnd"/>
            <w:r w:rsidRPr="008369B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369BD">
              <w:rPr>
                <w:b/>
                <w:sz w:val="24"/>
                <w:szCs w:val="24"/>
              </w:rPr>
              <w:t>kvalitativno</w:t>
            </w:r>
            <w:proofErr w:type="spellEnd"/>
            <w:r w:rsidR="00F94C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69BD">
              <w:rPr>
                <w:b/>
                <w:sz w:val="24"/>
                <w:szCs w:val="24"/>
              </w:rPr>
              <w:t>istraživanje</w:t>
            </w:r>
            <w:proofErr w:type="spellEnd"/>
            <w:r w:rsidRPr="008369B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DF08CA" w:rsidP="00DF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Podaci su dobijeni pretraživanjem web sajtova konkretnih osiguravača kao i Agencije za nadzor osiguranja koja publikuje različite statističke izvještaje o poslovanju i stanju na tržištu, kao što su revizorski i finansijski izvještaji koji opisuju način i strategije investiranja kao i konkretna zakonska regulativa (zakoni i podazakoni) koji regulišu ovu oblast poslovanja.</w:t>
            </w:r>
            <w:r w:rsidR="005E7848">
              <w:rPr>
                <w:sz w:val="24"/>
                <w:szCs w:val="24"/>
              </w:rPr>
              <w:t xml:space="preserve"> Podaci uglavnom služe induktivnom zaključivanju.</w:t>
            </w: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proofErr w:type="spellStart"/>
            <w:r w:rsidRPr="008369BD">
              <w:rPr>
                <w:b/>
                <w:sz w:val="24"/>
                <w:szCs w:val="24"/>
              </w:rPr>
              <w:t>Podaci</w:t>
            </w:r>
            <w:proofErr w:type="spellEnd"/>
            <w:r w:rsidRPr="008369B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369BD">
              <w:rPr>
                <w:b/>
                <w:sz w:val="24"/>
                <w:szCs w:val="24"/>
              </w:rPr>
              <w:t>kvantitativno</w:t>
            </w:r>
            <w:proofErr w:type="spellEnd"/>
            <w:r w:rsidR="00F94C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69BD">
              <w:rPr>
                <w:b/>
                <w:sz w:val="24"/>
                <w:szCs w:val="24"/>
              </w:rPr>
              <w:t>istraživanje</w:t>
            </w:r>
            <w:proofErr w:type="spellEnd"/>
            <w:r w:rsidRPr="008369B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5E7848" w:rsidRDefault="005E7848" w:rsidP="005E7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Kvanitativni p</w:t>
            </w:r>
            <w:r w:rsidR="00DF08CA">
              <w:rPr>
                <w:sz w:val="24"/>
                <w:szCs w:val="24"/>
              </w:rPr>
              <w:t>odaci o konkretnim</w:t>
            </w:r>
            <w:r>
              <w:rPr>
                <w:sz w:val="24"/>
                <w:szCs w:val="24"/>
              </w:rPr>
              <w:t xml:space="preserve"> iznosima</w:t>
            </w:r>
            <w:r w:rsidR="00DF08CA">
              <w:rPr>
                <w:sz w:val="24"/>
                <w:szCs w:val="24"/>
              </w:rPr>
              <w:t xml:space="preserve"> sredstava kapitala i sredstava</w:t>
            </w:r>
            <w:r>
              <w:rPr>
                <w:sz w:val="24"/>
                <w:szCs w:val="24"/>
              </w:rPr>
              <w:t xml:space="preserve"> tehničkih rezervi koji predstavljaju sredstva koja se ulažu na finansijka tržišta. Uglavnom se radi o cross sectional podacima i vremenskim serijama u posmatranom </w:t>
            </w:r>
            <w:proofErr w:type="spellStart"/>
            <w:r>
              <w:rPr>
                <w:sz w:val="24"/>
                <w:szCs w:val="24"/>
              </w:rPr>
              <w:t>peridou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posmatranja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takođe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potiču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uglavnom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finansijskih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revizorskih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izvještaja</w:t>
            </w:r>
            <w:proofErr w:type="spellEnd"/>
            <w:r>
              <w:rPr>
                <w:sz w:val="24"/>
                <w:szCs w:val="24"/>
              </w:rPr>
              <w:t xml:space="preserve">, i </w:t>
            </w:r>
            <w:proofErr w:type="spellStart"/>
            <w:r w:rsidR="00F94CD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zvještaja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ovlašćenog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aktuara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39B" w:rsidRDefault="00DF08CA" w:rsidP="005E7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2A1946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2A1946">
              <w:rPr>
                <w:b/>
                <w:sz w:val="24"/>
                <w:szCs w:val="24"/>
              </w:rPr>
              <w:t>Očekivani rezultati istraživanja</w:t>
            </w:r>
          </w:p>
        </w:tc>
        <w:tc>
          <w:tcPr>
            <w:tcW w:w="7529" w:type="dxa"/>
            <w:vAlign w:val="center"/>
          </w:tcPr>
          <w:p w:rsidR="003B62EE" w:rsidRDefault="003B62EE" w:rsidP="00B54FA9">
            <w:pPr>
              <w:rPr>
                <w:sz w:val="24"/>
                <w:szCs w:val="24"/>
              </w:rPr>
            </w:pPr>
          </w:p>
          <w:p w:rsidR="003B62EE" w:rsidRDefault="003B62EE" w:rsidP="00B54FA9">
            <w:pPr>
              <w:rPr>
                <w:sz w:val="24"/>
                <w:szCs w:val="24"/>
              </w:rPr>
            </w:pPr>
          </w:p>
          <w:p w:rsidR="00B1739B" w:rsidRPr="00442021" w:rsidRDefault="00442021" w:rsidP="00B54FA9">
            <w:pPr>
              <w:rPr>
                <w:sz w:val="24"/>
                <w:szCs w:val="24"/>
              </w:rPr>
            </w:pPr>
            <w:r w:rsidRPr="00442021">
              <w:rPr>
                <w:sz w:val="24"/>
                <w:szCs w:val="24"/>
              </w:rPr>
              <w:t>Očekuje se da će, usled prilično obazrivog obrasca investiranja, ne</w:t>
            </w:r>
            <w:r>
              <w:rPr>
                <w:sz w:val="24"/>
                <w:szCs w:val="24"/>
              </w:rPr>
              <w:t xml:space="preserve">postojanja </w:t>
            </w:r>
            <w:r w:rsidRPr="00442021">
              <w:rPr>
                <w:sz w:val="24"/>
                <w:szCs w:val="24"/>
              </w:rPr>
              <w:t>odgovarajućih modela upravljanja rizikom u osiguravajućim kompanijama</w:t>
            </w:r>
            <w:r>
              <w:rPr>
                <w:sz w:val="24"/>
                <w:szCs w:val="24"/>
              </w:rPr>
              <w:t xml:space="preserve">, </w:t>
            </w:r>
            <w:r w:rsidRPr="00442021">
              <w:rPr>
                <w:sz w:val="24"/>
                <w:szCs w:val="24"/>
              </w:rPr>
              <w:t>izuzetno ograničenim zakonskim okvirima</w:t>
            </w:r>
            <w:r>
              <w:rPr>
                <w:sz w:val="24"/>
                <w:szCs w:val="24"/>
              </w:rPr>
              <w:t xml:space="preserve"> i nedovoljno razvijenog finansijskog tržišta (oskudnosti odgovorajućih </w:t>
            </w:r>
            <w:r w:rsidR="00B54FA9">
              <w:rPr>
                <w:sz w:val="24"/>
                <w:szCs w:val="24"/>
              </w:rPr>
              <w:t>finansijskih instrumenata)</w:t>
            </w:r>
            <w:r>
              <w:rPr>
                <w:sz w:val="24"/>
                <w:szCs w:val="24"/>
              </w:rPr>
              <w:t xml:space="preserve"> u Crnoj Gori</w:t>
            </w:r>
            <w:r w:rsidRPr="00442021">
              <w:rPr>
                <w:sz w:val="24"/>
                <w:szCs w:val="24"/>
              </w:rPr>
              <w:t xml:space="preserve"> </w:t>
            </w:r>
            <w:r w:rsidR="00B54FA9">
              <w:rPr>
                <w:sz w:val="24"/>
                <w:szCs w:val="24"/>
              </w:rPr>
              <w:t>rezultat istraživanja pokazati da finansijski plasmani u posmatranom periodu nosu optimalni i ne predstavljaju najbolja investiciona rešenja.</w:t>
            </w: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7C078C">
            <w:pPr>
              <w:rPr>
                <w:sz w:val="24"/>
                <w:szCs w:val="24"/>
              </w:rPr>
            </w:pPr>
          </w:p>
          <w:p w:rsidR="003B62EE" w:rsidRPr="007C078C" w:rsidRDefault="003B62EE" w:rsidP="007C078C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lastRenderedPageBreak/>
              <w:t>Doprinos -prednosti u odnosuna prethodna istraživanja</w:t>
            </w:r>
          </w:p>
        </w:tc>
        <w:tc>
          <w:tcPr>
            <w:tcW w:w="7529" w:type="dxa"/>
            <w:vAlign w:val="center"/>
          </w:tcPr>
          <w:p w:rsidR="00B266BD" w:rsidRDefault="00B266BD" w:rsidP="002B735E">
            <w:pPr>
              <w:rPr>
                <w:sz w:val="24"/>
                <w:szCs w:val="24"/>
              </w:rPr>
            </w:pPr>
          </w:p>
          <w:p w:rsidR="00B1739B" w:rsidRDefault="00442021" w:rsidP="002B73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Ovaj</w:t>
            </w:r>
            <w:proofErr w:type="spellEnd"/>
            <w:r>
              <w:rPr>
                <w:sz w:val="24"/>
                <w:szCs w:val="24"/>
              </w:rPr>
              <w:t xml:space="preserve"> rad u </w:t>
            </w:r>
            <w:proofErr w:type="spellStart"/>
            <w:r>
              <w:rPr>
                <w:sz w:val="24"/>
                <w:szCs w:val="24"/>
              </w:rPr>
              <w:t>odnosu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prethodna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istraživanja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sliku</w:t>
            </w:r>
            <w:proofErr w:type="spellEnd"/>
            <w:r>
              <w:rPr>
                <w:sz w:val="24"/>
                <w:szCs w:val="24"/>
              </w:rPr>
              <w:t xml:space="preserve"> o tome </w:t>
            </w:r>
            <w:proofErr w:type="spellStart"/>
            <w:r>
              <w:rPr>
                <w:sz w:val="24"/>
                <w:szCs w:val="24"/>
              </w:rPr>
              <w:t>kako</w:t>
            </w:r>
            <w:proofErr w:type="spellEnd"/>
            <w:r>
              <w:rPr>
                <w:sz w:val="24"/>
                <w:szCs w:val="24"/>
              </w:rPr>
              <w:t xml:space="preserve"> je </w:t>
            </w:r>
            <w:proofErr w:type="spellStart"/>
            <w:r>
              <w:rPr>
                <w:sz w:val="24"/>
                <w:szCs w:val="24"/>
              </w:rPr>
              <w:t>svjet</w:t>
            </w:r>
            <w:r w:rsidR="003B62E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finansijska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uticala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investicionog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portfolija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osiguravajućih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kompanija</w:t>
            </w:r>
            <w:proofErr w:type="spellEnd"/>
            <w:r w:rsidR="003B62EE">
              <w:rPr>
                <w:sz w:val="24"/>
                <w:szCs w:val="24"/>
              </w:rPr>
              <w:t xml:space="preserve"> u </w:t>
            </w:r>
            <w:proofErr w:type="spellStart"/>
            <w:r w:rsidR="003B62EE">
              <w:rPr>
                <w:sz w:val="24"/>
                <w:szCs w:val="24"/>
              </w:rPr>
              <w:t>Crnoj</w:t>
            </w:r>
            <w:proofErr w:type="spellEnd"/>
            <w:r w:rsidR="003B62EE">
              <w:rPr>
                <w:sz w:val="24"/>
                <w:szCs w:val="24"/>
              </w:rPr>
              <w:t xml:space="preserve"> Gori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budući</w:t>
            </w:r>
            <w:proofErr w:type="spellEnd"/>
            <w:r>
              <w:rPr>
                <w:sz w:val="24"/>
                <w:szCs w:val="24"/>
              </w:rPr>
              <w:t xml:space="preserve"> da se analizira sedmogodišnji period nakon realizacije krize.</w:t>
            </w:r>
          </w:p>
          <w:p w:rsidR="00B1739B" w:rsidRDefault="00442021" w:rsidP="0044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Prednost predstavlja i </w:t>
            </w:r>
            <w:r w:rsidR="005E7848">
              <w:rPr>
                <w:sz w:val="24"/>
                <w:szCs w:val="24"/>
              </w:rPr>
              <w:t>vrem</w:t>
            </w:r>
            <w:r>
              <w:rPr>
                <w:sz w:val="24"/>
                <w:szCs w:val="24"/>
              </w:rPr>
              <w:t xml:space="preserve">enski horizont posmatranja, </w:t>
            </w:r>
            <w:r w:rsidR="005E7848">
              <w:rPr>
                <w:sz w:val="24"/>
                <w:szCs w:val="24"/>
              </w:rPr>
              <w:t>u smislu dužeg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5E7848">
              <w:rPr>
                <w:sz w:val="24"/>
                <w:szCs w:val="24"/>
              </w:rPr>
              <w:t>perioda  posmatranja</w:t>
            </w:r>
            <w:proofErr w:type="gramEnd"/>
            <w:r w:rsidR="005E7848">
              <w:rPr>
                <w:sz w:val="24"/>
                <w:szCs w:val="24"/>
              </w:rPr>
              <w:t xml:space="preserve"> u odnosu na prethodna istraživanja</w:t>
            </w:r>
            <w:r>
              <w:rPr>
                <w:sz w:val="24"/>
                <w:szCs w:val="24"/>
              </w:rPr>
              <w:t xml:space="preserve"> što daje potpuniju i realniju sliku posmatranog problema. </w:t>
            </w:r>
          </w:p>
          <w:p w:rsidR="00F94CD3" w:rsidRDefault="003B62EE" w:rsidP="003B62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Posmatrana</w:t>
            </w:r>
            <w:proofErr w:type="spellEnd"/>
            <w:r w:rsidR="00F94CD3">
              <w:rPr>
                <w:sz w:val="24"/>
                <w:szCs w:val="24"/>
              </w:rPr>
              <w:t xml:space="preserve"> </w:t>
            </w:r>
            <w:proofErr w:type="spellStart"/>
            <w:r w:rsidR="00F94CD3">
              <w:rPr>
                <w:sz w:val="24"/>
                <w:szCs w:val="24"/>
              </w:rPr>
              <w:t>problematika</w:t>
            </w:r>
            <w:proofErr w:type="spellEnd"/>
            <w:r w:rsidR="00F94CD3">
              <w:rPr>
                <w:sz w:val="24"/>
                <w:szCs w:val="24"/>
              </w:rPr>
              <w:t xml:space="preserve"> u </w:t>
            </w:r>
            <w:proofErr w:type="spellStart"/>
            <w:r w:rsidR="00F94CD3">
              <w:rPr>
                <w:sz w:val="24"/>
                <w:szCs w:val="24"/>
              </w:rPr>
              <w:t>navedenom</w:t>
            </w:r>
            <w:proofErr w:type="spellEnd"/>
            <w:r w:rsidR="00F94CD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94CD3">
              <w:rPr>
                <w:sz w:val="24"/>
                <w:szCs w:val="24"/>
              </w:rPr>
              <w:t>periodu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94CD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konkretnom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uzorku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94CD3">
              <w:rPr>
                <w:sz w:val="24"/>
                <w:szCs w:val="24"/>
              </w:rPr>
              <w:t xml:space="preserve">do </w:t>
            </w:r>
            <w:proofErr w:type="spellStart"/>
            <w:r w:rsidR="00F94CD3">
              <w:rPr>
                <w:sz w:val="24"/>
                <w:szCs w:val="24"/>
              </w:rPr>
              <w:t>sada</w:t>
            </w:r>
            <w:proofErr w:type="spellEnd"/>
            <w:r w:rsidR="00F94CD3">
              <w:rPr>
                <w:sz w:val="24"/>
                <w:szCs w:val="24"/>
              </w:rPr>
              <w:t xml:space="preserve"> </w:t>
            </w:r>
            <w:proofErr w:type="spellStart"/>
            <w:r w:rsidR="00F94CD3">
              <w:rPr>
                <w:sz w:val="24"/>
                <w:szCs w:val="24"/>
              </w:rPr>
              <w:t>nije</w:t>
            </w:r>
            <w:proofErr w:type="spellEnd"/>
            <w:r w:rsidR="00F94CD3">
              <w:rPr>
                <w:sz w:val="24"/>
                <w:szCs w:val="24"/>
              </w:rPr>
              <w:t xml:space="preserve"> </w:t>
            </w:r>
            <w:proofErr w:type="spellStart"/>
            <w:r w:rsidR="00F94CD3">
              <w:rPr>
                <w:sz w:val="24"/>
                <w:szCs w:val="24"/>
              </w:rPr>
              <w:t>obrađena</w:t>
            </w:r>
            <w:proofErr w:type="spellEnd"/>
            <w:r w:rsidR="00F94CD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</w:t>
            </w:r>
            <w:proofErr w:type="spellEnd"/>
            <w:r>
              <w:rPr>
                <w:sz w:val="24"/>
                <w:szCs w:val="24"/>
              </w:rPr>
              <w:t xml:space="preserve"> je </w:t>
            </w:r>
            <w:proofErr w:type="spellStart"/>
            <w:r>
              <w:rPr>
                <w:sz w:val="24"/>
                <w:szCs w:val="24"/>
              </w:rPr>
              <w:t>nedovoljno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obrađena</w:t>
            </w:r>
            <w:proofErr w:type="spellEnd"/>
            <w:r>
              <w:rPr>
                <w:sz w:val="24"/>
                <w:szCs w:val="24"/>
              </w:rPr>
              <w:t xml:space="preserve">  u </w:t>
            </w:r>
            <w:proofErr w:type="spellStart"/>
            <w:r>
              <w:rPr>
                <w:sz w:val="24"/>
                <w:szCs w:val="24"/>
              </w:rPr>
              <w:t>prethodnim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istraživanjima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39B" w:rsidRDefault="00442021" w:rsidP="003B62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Rezultati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istraživanja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predstavljeni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kvantitativno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smislu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3B62EE">
              <w:rPr>
                <w:sz w:val="24"/>
                <w:szCs w:val="24"/>
              </w:rPr>
              <w:t>određivanja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teorisjki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optimalnog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portfolia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odstupanja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konkretnog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investicionog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portfolia</w:t>
            </w:r>
            <w:proofErr w:type="spellEnd"/>
            <w:r>
              <w:rPr>
                <w:sz w:val="24"/>
                <w:szCs w:val="24"/>
              </w:rPr>
              <w:t xml:space="preserve"> osiguravača u posmatranom periodu od optimalnog.</w:t>
            </w: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</w:tbl>
    <w:p w:rsidR="00B5519E" w:rsidRPr="00B5519E" w:rsidRDefault="00B5519E">
      <w:pPr>
        <w:rPr>
          <w:sz w:val="24"/>
          <w:szCs w:val="24"/>
        </w:rPr>
      </w:pPr>
    </w:p>
    <w:sectPr w:rsidR="00B5519E" w:rsidRPr="00B5519E" w:rsidSect="007C078C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aparralPro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C7F"/>
    <w:multiLevelType w:val="hybridMultilevel"/>
    <w:tmpl w:val="B628B6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6999"/>
    <w:multiLevelType w:val="hybridMultilevel"/>
    <w:tmpl w:val="AE6291E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55B48"/>
    <w:multiLevelType w:val="hybridMultilevel"/>
    <w:tmpl w:val="6B0E65BC"/>
    <w:lvl w:ilvl="0" w:tplc="87788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95D91"/>
    <w:multiLevelType w:val="hybridMultilevel"/>
    <w:tmpl w:val="5ADC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47F07"/>
    <w:multiLevelType w:val="hybridMultilevel"/>
    <w:tmpl w:val="F8326028"/>
    <w:lvl w:ilvl="0" w:tplc="35B0FF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D2C01"/>
    <w:multiLevelType w:val="hybridMultilevel"/>
    <w:tmpl w:val="B6D82C4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274A0"/>
    <w:multiLevelType w:val="hybridMultilevel"/>
    <w:tmpl w:val="B1FA3274"/>
    <w:lvl w:ilvl="0" w:tplc="DE0626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02985"/>
    <w:multiLevelType w:val="hybridMultilevel"/>
    <w:tmpl w:val="D742AA26"/>
    <w:lvl w:ilvl="0" w:tplc="94E0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B7B80"/>
    <w:multiLevelType w:val="hybridMultilevel"/>
    <w:tmpl w:val="3D2412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96857"/>
    <w:multiLevelType w:val="hybridMultilevel"/>
    <w:tmpl w:val="38C67588"/>
    <w:lvl w:ilvl="0" w:tplc="E8DA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07360"/>
    <w:multiLevelType w:val="hybridMultilevel"/>
    <w:tmpl w:val="FB9E9674"/>
    <w:lvl w:ilvl="0" w:tplc="F97C93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D4A"/>
    <w:rsid w:val="00000A91"/>
    <w:rsid w:val="00002DA6"/>
    <w:rsid w:val="00012659"/>
    <w:rsid w:val="000142C7"/>
    <w:rsid w:val="00023690"/>
    <w:rsid w:val="000258EE"/>
    <w:rsid w:val="000349BF"/>
    <w:rsid w:val="00035334"/>
    <w:rsid w:val="00046FF7"/>
    <w:rsid w:val="00055908"/>
    <w:rsid w:val="00061CB8"/>
    <w:rsid w:val="000674BD"/>
    <w:rsid w:val="000A271C"/>
    <w:rsid w:val="000B6140"/>
    <w:rsid w:val="000D0EBC"/>
    <w:rsid w:val="000D167F"/>
    <w:rsid w:val="000E0EE2"/>
    <w:rsid w:val="000E3D4A"/>
    <w:rsid w:val="000E415F"/>
    <w:rsid w:val="000F4C26"/>
    <w:rsid w:val="000F7781"/>
    <w:rsid w:val="001259A5"/>
    <w:rsid w:val="0014194C"/>
    <w:rsid w:val="00151B86"/>
    <w:rsid w:val="0015353B"/>
    <w:rsid w:val="0017517B"/>
    <w:rsid w:val="0018700E"/>
    <w:rsid w:val="0019032D"/>
    <w:rsid w:val="0019518A"/>
    <w:rsid w:val="001A368A"/>
    <w:rsid w:val="001A3C9D"/>
    <w:rsid w:val="001B0C36"/>
    <w:rsid w:val="001B41B9"/>
    <w:rsid w:val="001C419D"/>
    <w:rsid w:val="001D4651"/>
    <w:rsid w:val="00204435"/>
    <w:rsid w:val="002166F8"/>
    <w:rsid w:val="002440FA"/>
    <w:rsid w:val="002516D8"/>
    <w:rsid w:val="0027601C"/>
    <w:rsid w:val="00276B84"/>
    <w:rsid w:val="002905ED"/>
    <w:rsid w:val="002A1946"/>
    <w:rsid w:val="002A233E"/>
    <w:rsid w:val="002A4D4A"/>
    <w:rsid w:val="002B328C"/>
    <w:rsid w:val="002B505C"/>
    <w:rsid w:val="002B735E"/>
    <w:rsid w:val="002D2354"/>
    <w:rsid w:val="002F334B"/>
    <w:rsid w:val="003060F6"/>
    <w:rsid w:val="00311996"/>
    <w:rsid w:val="00312966"/>
    <w:rsid w:val="00316C21"/>
    <w:rsid w:val="003327A8"/>
    <w:rsid w:val="00340DE4"/>
    <w:rsid w:val="00343748"/>
    <w:rsid w:val="00343AEA"/>
    <w:rsid w:val="00344209"/>
    <w:rsid w:val="00346C1F"/>
    <w:rsid w:val="00347C87"/>
    <w:rsid w:val="00352D43"/>
    <w:rsid w:val="00373312"/>
    <w:rsid w:val="003A5965"/>
    <w:rsid w:val="003B43A5"/>
    <w:rsid w:val="003B4F95"/>
    <w:rsid w:val="003B62EE"/>
    <w:rsid w:val="003D32C9"/>
    <w:rsid w:val="00404B19"/>
    <w:rsid w:val="00440BA7"/>
    <w:rsid w:val="00442021"/>
    <w:rsid w:val="0046496E"/>
    <w:rsid w:val="00472FCF"/>
    <w:rsid w:val="00474799"/>
    <w:rsid w:val="00476B95"/>
    <w:rsid w:val="004826FC"/>
    <w:rsid w:val="00484C7A"/>
    <w:rsid w:val="00491E39"/>
    <w:rsid w:val="004B3FB4"/>
    <w:rsid w:val="004C5496"/>
    <w:rsid w:val="004F5D28"/>
    <w:rsid w:val="00523A97"/>
    <w:rsid w:val="005427D6"/>
    <w:rsid w:val="00545D44"/>
    <w:rsid w:val="0055321C"/>
    <w:rsid w:val="0055654D"/>
    <w:rsid w:val="00557499"/>
    <w:rsid w:val="005666AE"/>
    <w:rsid w:val="005A4772"/>
    <w:rsid w:val="005A6CAF"/>
    <w:rsid w:val="005A7A4F"/>
    <w:rsid w:val="005B39CE"/>
    <w:rsid w:val="005C12CC"/>
    <w:rsid w:val="005C65B2"/>
    <w:rsid w:val="005E7848"/>
    <w:rsid w:val="005F06FB"/>
    <w:rsid w:val="005F63D5"/>
    <w:rsid w:val="00605C05"/>
    <w:rsid w:val="006152E8"/>
    <w:rsid w:val="006262D7"/>
    <w:rsid w:val="0062680A"/>
    <w:rsid w:val="006346C9"/>
    <w:rsid w:val="006420DE"/>
    <w:rsid w:val="00654DAA"/>
    <w:rsid w:val="00695229"/>
    <w:rsid w:val="00695B89"/>
    <w:rsid w:val="006978A7"/>
    <w:rsid w:val="006A1F26"/>
    <w:rsid w:val="006B5770"/>
    <w:rsid w:val="006C192C"/>
    <w:rsid w:val="006C1E4E"/>
    <w:rsid w:val="006C5C07"/>
    <w:rsid w:val="006D1094"/>
    <w:rsid w:val="006E094E"/>
    <w:rsid w:val="006F1434"/>
    <w:rsid w:val="006F6645"/>
    <w:rsid w:val="00700C5A"/>
    <w:rsid w:val="007137CC"/>
    <w:rsid w:val="00717886"/>
    <w:rsid w:val="00722C49"/>
    <w:rsid w:val="007264F0"/>
    <w:rsid w:val="00734C85"/>
    <w:rsid w:val="007400A4"/>
    <w:rsid w:val="0074799F"/>
    <w:rsid w:val="00755788"/>
    <w:rsid w:val="00756259"/>
    <w:rsid w:val="0078589D"/>
    <w:rsid w:val="00796486"/>
    <w:rsid w:val="007A685D"/>
    <w:rsid w:val="007B5DA5"/>
    <w:rsid w:val="007C078C"/>
    <w:rsid w:val="007C09BD"/>
    <w:rsid w:val="007C1882"/>
    <w:rsid w:val="007E2593"/>
    <w:rsid w:val="007F3B44"/>
    <w:rsid w:val="007F70FB"/>
    <w:rsid w:val="0080570D"/>
    <w:rsid w:val="0083016F"/>
    <w:rsid w:val="00833EF7"/>
    <w:rsid w:val="008369BD"/>
    <w:rsid w:val="00841C8B"/>
    <w:rsid w:val="00860E58"/>
    <w:rsid w:val="00871EBA"/>
    <w:rsid w:val="0087763E"/>
    <w:rsid w:val="008804AA"/>
    <w:rsid w:val="0088165B"/>
    <w:rsid w:val="00881F71"/>
    <w:rsid w:val="00882AC9"/>
    <w:rsid w:val="008A2630"/>
    <w:rsid w:val="008A5AD5"/>
    <w:rsid w:val="008C0AEB"/>
    <w:rsid w:val="008C19F8"/>
    <w:rsid w:val="008C57DE"/>
    <w:rsid w:val="008D011F"/>
    <w:rsid w:val="008D4BCF"/>
    <w:rsid w:val="008E11E5"/>
    <w:rsid w:val="008E2397"/>
    <w:rsid w:val="008F615D"/>
    <w:rsid w:val="0091174E"/>
    <w:rsid w:val="00916576"/>
    <w:rsid w:val="00916EE5"/>
    <w:rsid w:val="00917679"/>
    <w:rsid w:val="00922EA0"/>
    <w:rsid w:val="00931E86"/>
    <w:rsid w:val="00932704"/>
    <w:rsid w:val="009341CA"/>
    <w:rsid w:val="00954FD1"/>
    <w:rsid w:val="009660D9"/>
    <w:rsid w:val="009A799E"/>
    <w:rsid w:val="009B18D6"/>
    <w:rsid w:val="009C7607"/>
    <w:rsid w:val="009C7D40"/>
    <w:rsid w:val="009D4A77"/>
    <w:rsid w:val="009D716B"/>
    <w:rsid w:val="009F009D"/>
    <w:rsid w:val="009F795B"/>
    <w:rsid w:val="00A013DC"/>
    <w:rsid w:val="00A344AE"/>
    <w:rsid w:val="00A4690B"/>
    <w:rsid w:val="00A52110"/>
    <w:rsid w:val="00A53959"/>
    <w:rsid w:val="00A71D24"/>
    <w:rsid w:val="00A86411"/>
    <w:rsid w:val="00A93210"/>
    <w:rsid w:val="00AA5988"/>
    <w:rsid w:val="00AA6C46"/>
    <w:rsid w:val="00AA7025"/>
    <w:rsid w:val="00AB76DC"/>
    <w:rsid w:val="00AC025D"/>
    <w:rsid w:val="00AD41FD"/>
    <w:rsid w:val="00AE0FA6"/>
    <w:rsid w:val="00AF1102"/>
    <w:rsid w:val="00B0167B"/>
    <w:rsid w:val="00B05F12"/>
    <w:rsid w:val="00B10080"/>
    <w:rsid w:val="00B157C3"/>
    <w:rsid w:val="00B1739B"/>
    <w:rsid w:val="00B202D2"/>
    <w:rsid w:val="00B230BC"/>
    <w:rsid w:val="00B266BD"/>
    <w:rsid w:val="00B30424"/>
    <w:rsid w:val="00B50E42"/>
    <w:rsid w:val="00B54FA9"/>
    <w:rsid w:val="00B5519E"/>
    <w:rsid w:val="00B638B7"/>
    <w:rsid w:val="00B86322"/>
    <w:rsid w:val="00BA0ABC"/>
    <w:rsid w:val="00BA5BDC"/>
    <w:rsid w:val="00BC453D"/>
    <w:rsid w:val="00BE21B3"/>
    <w:rsid w:val="00C10B8F"/>
    <w:rsid w:val="00C1520E"/>
    <w:rsid w:val="00C2247A"/>
    <w:rsid w:val="00C24E53"/>
    <w:rsid w:val="00C25AAF"/>
    <w:rsid w:val="00C65587"/>
    <w:rsid w:val="00C817E4"/>
    <w:rsid w:val="00C869C8"/>
    <w:rsid w:val="00C91169"/>
    <w:rsid w:val="00C92CC1"/>
    <w:rsid w:val="00C93643"/>
    <w:rsid w:val="00CA00CC"/>
    <w:rsid w:val="00CA1DFA"/>
    <w:rsid w:val="00CA219B"/>
    <w:rsid w:val="00CA7CF7"/>
    <w:rsid w:val="00CB093A"/>
    <w:rsid w:val="00CB38E2"/>
    <w:rsid w:val="00CB3A49"/>
    <w:rsid w:val="00CC0822"/>
    <w:rsid w:val="00CC30A3"/>
    <w:rsid w:val="00CD2C5B"/>
    <w:rsid w:val="00CD6B1F"/>
    <w:rsid w:val="00CF71B7"/>
    <w:rsid w:val="00D12A86"/>
    <w:rsid w:val="00D164A5"/>
    <w:rsid w:val="00D23CC9"/>
    <w:rsid w:val="00D30820"/>
    <w:rsid w:val="00D30D53"/>
    <w:rsid w:val="00D31B7B"/>
    <w:rsid w:val="00D36452"/>
    <w:rsid w:val="00D57E3A"/>
    <w:rsid w:val="00D70ECB"/>
    <w:rsid w:val="00D7326A"/>
    <w:rsid w:val="00D84554"/>
    <w:rsid w:val="00D85477"/>
    <w:rsid w:val="00D9057A"/>
    <w:rsid w:val="00DA4C23"/>
    <w:rsid w:val="00DA5108"/>
    <w:rsid w:val="00DD3F03"/>
    <w:rsid w:val="00DF08CA"/>
    <w:rsid w:val="00DF37AA"/>
    <w:rsid w:val="00E0202B"/>
    <w:rsid w:val="00E17E23"/>
    <w:rsid w:val="00E23792"/>
    <w:rsid w:val="00E32721"/>
    <w:rsid w:val="00E336DC"/>
    <w:rsid w:val="00E5205A"/>
    <w:rsid w:val="00E70029"/>
    <w:rsid w:val="00E708CF"/>
    <w:rsid w:val="00E729B2"/>
    <w:rsid w:val="00EA2A1E"/>
    <w:rsid w:val="00EA4EEE"/>
    <w:rsid w:val="00EB0F24"/>
    <w:rsid w:val="00EB27C2"/>
    <w:rsid w:val="00EB684D"/>
    <w:rsid w:val="00ED42F7"/>
    <w:rsid w:val="00EE56BE"/>
    <w:rsid w:val="00EF5429"/>
    <w:rsid w:val="00F12133"/>
    <w:rsid w:val="00F122E2"/>
    <w:rsid w:val="00F13859"/>
    <w:rsid w:val="00F15015"/>
    <w:rsid w:val="00F15106"/>
    <w:rsid w:val="00F17600"/>
    <w:rsid w:val="00F227EF"/>
    <w:rsid w:val="00F302A4"/>
    <w:rsid w:val="00F44268"/>
    <w:rsid w:val="00F45EBC"/>
    <w:rsid w:val="00F5004D"/>
    <w:rsid w:val="00F50B0E"/>
    <w:rsid w:val="00F515AF"/>
    <w:rsid w:val="00F61E75"/>
    <w:rsid w:val="00F761C0"/>
    <w:rsid w:val="00F94CD3"/>
    <w:rsid w:val="00FA1271"/>
    <w:rsid w:val="00FA1774"/>
    <w:rsid w:val="00FA483D"/>
    <w:rsid w:val="00FA7223"/>
    <w:rsid w:val="00FC5A86"/>
    <w:rsid w:val="00FF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0E"/>
  </w:style>
  <w:style w:type="paragraph" w:styleId="Heading1">
    <w:name w:val="heading 1"/>
    <w:basedOn w:val="Normal"/>
    <w:link w:val="Heading1Char"/>
    <w:uiPriority w:val="9"/>
    <w:qFormat/>
    <w:rsid w:val="00695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6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52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A477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0A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17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6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52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A477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0A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FA1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5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3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2016-11-09T00:55:00Z</dcterms:created>
  <dcterms:modified xsi:type="dcterms:W3CDTF">2016-11-19T11:41:00Z</dcterms:modified>
</cp:coreProperties>
</file>