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b/>
          <w:b/>
          <w:bCs/>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1. Metafizika kao nauka o prvim uzrocima i počelima</w:t>
      </w:r>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pPr>
      <w:r>
        <w:rPr>
          <w:i w:val="false"/>
          <w:iCs w:val="false"/>
        </w:rPr>
        <w:t>Podsjećanje</w:t>
      </w:r>
    </w:p>
    <w:p>
      <w:pPr>
        <w:pStyle w:val="Normal"/>
        <w:spacing w:lineRule="auto" w:line="360"/>
        <w:rPr>
          <w:b/>
          <w:b/>
          <w:bCs/>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i/>
          <w:iCs/>
        </w:rPr>
      </w:pPr>
      <w:r>
        <w:rPr>
          <w:i/>
          <w:iCs/>
        </w:rPr>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r>
    </w:p>
    <w:p>
      <w:pPr>
        <w:pStyle w:val="Normal"/>
        <w:spacing w:lineRule="auto" w:line="360"/>
        <w:rPr>
          <w:i w:val="false"/>
          <w:i w:val="false"/>
          <w:iCs w:val="false"/>
        </w:rPr>
      </w:pPr>
      <w:r>
        <w:rPr/>
      </w:r>
    </w:p>
    <w:p>
      <w:pPr>
        <w:pStyle w:val="Normal"/>
        <w:spacing w:lineRule="auto" w:line="360"/>
        <w:rPr>
          <w:i w:val="false"/>
          <w:i w:val="false"/>
          <w:iCs w:val="false"/>
        </w:rPr>
      </w:pPr>
      <w:r>
        <w:rPr/>
      </w:r>
    </w:p>
    <w:p>
      <w:pPr>
        <w:pStyle w:val="Normal"/>
        <w:spacing w:lineRule="auto" w:line="360"/>
        <w:rPr/>
      </w:pPr>
      <w:r>
        <w:rPr>
          <w:i w:val="false"/>
          <w:iCs w:val="false"/>
        </w:rPr>
        <w:t>Jedno zapažanje i napomena</w:t>
      </w:r>
    </w:p>
    <w:p>
      <w:pPr>
        <w:pStyle w:val="Normal"/>
        <w:spacing w:lineRule="auto" w:line="360"/>
        <w:jc w:val="both"/>
        <w:rPr/>
      </w:pPr>
      <w:r>
        <w:rPr>
          <w:i w:val="false"/>
          <w:iCs w:val="false"/>
        </w:rPr>
        <w:t>„</w:t>
      </w:r>
      <w:r>
        <w:rPr>
          <w:i w:val="false"/>
          <w:iCs w:val="false"/>
        </w:rPr>
        <w:t>Kaže se da tačno prenošenje jednog razgovora koji je izgledao briljantan kasnije daje utisak nečeg siromašnog. Nedostaje mu prisustvo onih koji su govorili, gestovi, fizionomije, predosećanje događaja koji treba da iskrsne, kontinuirane improvizacije. Konverzacija tada više ne postoji, ona jeste skamenjena u jedinstvenoj zvučnoj dimenziji, još više prevrtljiva stoga što je ovo auditivni medijum čitanog teksta...“ M. Merlo-Ponti</w:t>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LibreOffice/6.2.1.2$Windows_X86_64 LibreOffice_project/7bcb35dc3024a62dea0caee87020152d1ee96e71</Application>
  <Pages>1</Pages>
  <Words>144</Words>
  <Characters>851</Characters>
  <CharactersWithSpaces>976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2020-03-29T19:37:47Z</dcterms:modified>
  <cp:revision>4</cp:revision>
  <dc:subject/>
  <dc:title/>
</cp:coreProperties>
</file>