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FD9A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i druga sredstva mirnog rješavanja sporova – međunarodno pregovranje</w:t>
      </w:r>
    </w:p>
    <w:p w14:paraId="7286E1F2" w14:textId="77777777"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prema Povelji UN, istraživanje i mirenje</w:t>
      </w:r>
    </w:p>
    <w:p w14:paraId="3B96FB6C" w14:textId="77777777" w:rsidR="0057718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Sredstva mirnog rješavanja sporova prema Povelji UN, arbitraža i 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>eđunarodni sud pravde</w:t>
      </w:r>
    </w:p>
    <w:p w14:paraId="2A38377A" w14:textId="77777777"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14:paraId="49B5039C" w14:textId="77777777"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14:paraId="40584BAB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Uticaj polarne sturukture i kriza na pregovaranje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promjena međunarodnih scena</w:t>
      </w:r>
    </w:p>
    <w:p w14:paraId="165BAA5A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14:paraId="55A30042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14:paraId="694DBB57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kao način ostvarivanja preventivne diplomatije</w:t>
      </w:r>
    </w:p>
    <w:p w14:paraId="6618F0DD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Ulozi, stavovi i taktike u preventivnoj diplomatiji</w:t>
      </w:r>
    </w:p>
    <w:p w14:paraId="65DD3C94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vrste multilateralnih pregovora i razlozi za buran razvoj multilateralne diplomatije</w:t>
      </w:r>
    </w:p>
    <w:p w14:paraId="7369E1FD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14:paraId="400F9A26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14:paraId="31998BBB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14:paraId="6A925C4C" w14:textId="77777777"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14:paraId="0BEBC7DF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14:paraId="6F5F7DF1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14:paraId="3D6F6EC7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14:paraId="76F9953E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14:paraId="5FDF5A44" w14:textId="77777777"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Struktura pregovaranja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učesnici u pregovaranju, koalicije</w:t>
      </w:r>
    </w:p>
    <w:p w14:paraId="1696CE87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Broj pitanja o kojima se pregovara – situacij nultog i nenultog zbira</w:t>
      </w:r>
    </w:p>
    <w:p w14:paraId="327DD322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14:paraId="20197AC6" w14:textId="77777777" w:rsidR="00AE7CC8" w:rsidRPr="009B48DE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Povezivanje više pregovora i faktor vremena u pregovorima</w:t>
      </w:r>
    </w:p>
    <w:p w14:paraId="0C87B2FB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14:paraId="4CEA11BD" w14:textId="77777777"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14:paraId="4AB74F3C" w14:textId="77777777"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14:paraId="756786E3" w14:textId="77777777"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1FAEA75B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14:paraId="0A570F53" w14:textId="77777777"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14:paraId="48F39EA5" w14:textId="77777777"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14:paraId="451A0253" w14:textId="77777777"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14:paraId="11D7F097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14:paraId="24357A71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14:paraId="32A7139F" w14:textId="77777777"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14:paraId="4EA89B0B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14:paraId="3550DE7F" w14:textId="77777777" w:rsidR="008279C6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Građenje pregovaračke strategije i pregovaračke taktike</w:t>
      </w:r>
    </w:p>
    <w:p w14:paraId="7A747E62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14:paraId="6221640B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14:paraId="3607F04F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Unutrašnje pregovaranje, kohezija pregovaračkog tima, priprema pregovora</w:t>
      </w:r>
    </w:p>
    <w:p w14:paraId="699AD945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Faze pregovaračkog procesa i ishod pregovora</w:t>
      </w:r>
    </w:p>
    <w:p w14:paraId="748E0C59" w14:textId="77777777"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14:paraId="087C9BD6" w14:textId="77777777"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14:paraId="2F730AA1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6B8A91" w14:textId="77777777" w:rsidR="00880E74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- jezik u diplomatskim dokumentima</w:t>
      </w:r>
    </w:p>
    <w:p w14:paraId="17AFD2D7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Jezik u diplomatiji i pregovaranju - diplomatska konverzacija</w:t>
      </w:r>
    </w:p>
    <w:p w14:paraId="4F3846D0" w14:textId="77777777"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Jezik u diplomatiji i pregovaranju  -  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jezik pregovar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ača, nejasnoće i dvosmislenosti</w:t>
      </w:r>
    </w:p>
    <w:p w14:paraId="3D01890E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14:paraId="7EF3C2B6" w14:textId="77777777" w:rsidR="00283DE1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nastojanje Antante da uvuče Italiju u rat na svojoj strani, istovremeno pregovaranje Italije sa Centralnim silama</w:t>
      </w:r>
    </w:p>
    <w:p w14:paraId="6881BE25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14:paraId="54687F5C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odnos sa Rusijom, značaj Carigrada i Dardanela</w:t>
      </w:r>
    </w:p>
    <w:p w14:paraId="47EAD82B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14:paraId="1773CB1B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između Izarela i Palestine u Oslu 1992 – 1993.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predistorija</w:t>
      </w:r>
    </w:p>
    <w:p w14:paraId="50438A59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probni kontakti, pozicije Izraela i Palestine</w:t>
      </w:r>
    </w:p>
    <w:p w14:paraId="4A1F535F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početak i tok pregovora</w:t>
      </w:r>
    </w:p>
    <w:p w14:paraId="2ECE3197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završetak pregovora i postizanje sporazuma</w:t>
      </w:r>
    </w:p>
    <w:p w14:paraId="37512BAC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između Izarela i Palestine u Oslu 1992 – 1993. godine – faktori koji su uticali na uspjeh pregovora</w:t>
      </w:r>
    </w:p>
    <w:p w14:paraId="400539B4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14:paraId="23838E87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14:paraId="08FF863F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14:paraId="4DCDD103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pregovaračke strane i njihove pozicije, pozicija SAD</w:t>
      </w:r>
    </w:p>
    <w:p w14:paraId="6BD84DC8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uloga štampe, simbolični gestovi</w:t>
      </w:r>
    </w:p>
    <w:p w14:paraId="642CEEDC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14:paraId="2AD45BD8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proximity talks i završetak pregovora</w:t>
      </w:r>
    </w:p>
    <w:p w14:paraId="2FD432DB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14:paraId="7AAFB6AC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početni pokušaji u ostvarivanju pregovora</w:t>
      </w:r>
    </w:p>
    <w:p w14:paraId="41FFF0C0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14:paraId="12C3D0CA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simuliranje pregovora i alibi diplomatija od strane glavnih aktera</w:t>
      </w:r>
    </w:p>
    <w:p w14:paraId="7D2DA374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Rambujeu, 1999. godine – tok pregovora</w:t>
      </w:r>
    </w:p>
    <w:p w14:paraId="5AE4A3AF" w14:textId="77777777"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14:paraId="106844DF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14:paraId="0B26DFC1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granici između SSSR-a (Rusije) i NR Kine (1986 – 1994)</w:t>
      </w:r>
    </w:p>
    <w:p w14:paraId="6D62A030" w14:textId="77777777" w:rsidR="00283DE1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Prevlaci između SR Jugoslavije i Hrvatske</w:t>
      </w:r>
    </w:p>
    <w:p w14:paraId="7BA850AA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14:paraId="032B7416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Zajednički elementi poželjnog modela pregovranja o graničnim sporovima</w:t>
      </w:r>
    </w:p>
    <w:p w14:paraId="351119E1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lastRenderedPageBreak/>
        <w:t>Pregovori o kontroli naoružanja i razoružanju</w:t>
      </w:r>
    </w:p>
    <w:p w14:paraId="6C1A94D2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disoluciji, sukcesiji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 ponovnom ujedinjenju država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uloga preventivne diplomatije i uslovi za njen uspjeh)</w:t>
      </w:r>
    </w:p>
    <w:p w14:paraId="52CC2317" w14:textId="77777777"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14:paraId="7C6B0B49" w14:textId="77777777"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9CD8DF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14:paraId="6938A579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14:paraId="3D30F138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14:paraId="19A2B827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14:paraId="127F7C99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14:paraId="3FDBB78C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14:paraId="6B1D5803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14:paraId="5FC66958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14:paraId="59C4315B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14:paraId="56A64879" w14:textId="77777777" w:rsidR="007A6662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evropskoj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integraciji – Zapadni Balkan</w:t>
      </w:r>
    </w:p>
    <w:p w14:paraId="443730AF" w14:textId="77777777"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14:paraId="1453848A" w14:textId="77777777"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14:paraId="6310693D" w14:textId="77777777"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7A97" w14:textId="77777777" w:rsidR="005D3E70" w:rsidRDefault="005D3E70" w:rsidP="00C5677F">
      <w:pPr>
        <w:spacing w:after="0" w:line="240" w:lineRule="auto"/>
      </w:pPr>
      <w:r>
        <w:separator/>
      </w:r>
    </w:p>
  </w:endnote>
  <w:endnote w:type="continuationSeparator" w:id="0">
    <w:p w14:paraId="44AF4049" w14:textId="77777777" w:rsidR="005D3E70" w:rsidRDefault="005D3E70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7197" w14:textId="77777777" w:rsidR="005D3E70" w:rsidRDefault="005D3E70" w:rsidP="00C5677F">
      <w:pPr>
        <w:spacing w:after="0" w:line="240" w:lineRule="auto"/>
      </w:pPr>
      <w:r>
        <w:separator/>
      </w:r>
    </w:p>
  </w:footnote>
  <w:footnote w:type="continuationSeparator" w:id="0">
    <w:p w14:paraId="36845561" w14:textId="77777777" w:rsidR="005D3E70" w:rsidRDefault="005D3E70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770C" w14:textId="72A424B4" w:rsidR="00C5677F" w:rsidRPr="00C5677F" w:rsidRDefault="00C5677F" w:rsidP="00190493">
    <w:pPr>
      <w:pStyle w:val="IntenseQuote"/>
      <w:ind w:left="1223"/>
      <w:rPr>
        <w:rFonts w:ascii="Times New Roman" w:hAnsi="Times New Roman" w:cs="Times New Roman"/>
        <w:color w:val="820000"/>
      </w:rPr>
    </w:pPr>
    <w:r w:rsidRPr="00C5677F">
      <w:rPr>
        <w:rFonts w:ascii="Times New Roman" w:hAnsi="Times New Roman" w:cs="Times New Roman"/>
        <w:color w:val="820000"/>
      </w:rPr>
      <w:t>Diplomatsko pregovaranje</w:t>
    </w:r>
    <w:r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Pr="00C5677F">
      <w:rPr>
        <w:rFonts w:ascii="Times New Roman" w:hAnsi="Times New Roman" w:cs="Times New Roman"/>
        <w:color w:val="820000"/>
      </w:rPr>
      <w:t>Ispitna pitanja</w:t>
    </w:r>
    <w:r w:rsidRPr="00C5677F">
      <w:rPr>
        <w:rFonts w:ascii="Times New Roman" w:hAnsi="Times New Roman" w:cs="Times New Roman"/>
        <w:color w:val="820000"/>
      </w:rPr>
      <w:ptab w:relativeTo="margin" w:alignment="right" w:leader="none"/>
    </w:r>
    <w:r w:rsidR="003F2139">
      <w:rPr>
        <w:rFonts w:ascii="Times New Roman" w:hAnsi="Times New Roman" w:cs="Times New Roman"/>
        <w:color w:val="820000"/>
      </w:rPr>
      <w:t>Zimski semestar 20</w:t>
    </w:r>
    <w:r w:rsidR="00190493">
      <w:rPr>
        <w:rFonts w:ascii="Times New Roman" w:hAnsi="Times New Roman" w:cs="Times New Roman"/>
        <w:color w:val="820000"/>
      </w:rPr>
      <w:t>20</w:t>
    </w:r>
    <w:r w:rsidR="003F2139">
      <w:rPr>
        <w:rFonts w:ascii="Times New Roman" w:hAnsi="Times New Roman" w:cs="Times New Roman"/>
        <w:color w:val="820000"/>
      </w:rPr>
      <w:t>/2</w:t>
    </w:r>
    <w:r w:rsidR="00190493">
      <w:rPr>
        <w:rFonts w:ascii="Times New Roman" w:hAnsi="Times New Roman" w:cs="Times New Roman"/>
        <w:color w:val="820000"/>
      </w:rPr>
      <w:t>1</w:t>
    </w:r>
    <w:r w:rsidRPr="00C5677F">
      <w:rPr>
        <w:rFonts w:ascii="Times New Roman" w:hAnsi="Times New Roman" w:cs="Times New Roman"/>
        <w:color w:val="82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C6E99"/>
    <w:multiLevelType w:val="hybridMultilevel"/>
    <w:tmpl w:val="653C1DB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B0"/>
    <w:rsid w:val="0016751E"/>
    <w:rsid w:val="00190493"/>
    <w:rsid w:val="002621B0"/>
    <w:rsid w:val="00281F60"/>
    <w:rsid w:val="00283DE1"/>
    <w:rsid w:val="002E4306"/>
    <w:rsid w:val="00374635"/>
    <w:rsid w:val="003F2139"/>
    <w:rsid w:val="0047707D"/>
    <w:rsid w:val="00516B9D"/>
    <w:rsid w:val="00577188"/>
    <w:rsid w:val="005D3E70"/>
    <w:rsid w:val="007672A1"/>
    <w:rsid w:val="0077115C"/>
    <w:rsid w:val="007A6662"/>
    <w:rsid w:val="007C3F38"/>
    <w:rsid w:val="008279C6"/>
    <w:rsid w:val="00880E74"/>
    <w:rsid w:val="0091019B"/>
    <w:rsid w:val="009B48DE"/>
    <w:rsid w:val="00A22B3B"/>
    <w:rsid w:val="00AE7CC8"/>
    <w:rsid w:val="00B14F33"/>
    <w:rsid w:val="00C5677F"/>
    <w:rsid w:val="00F2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2444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Perun Lakic</cp:lastModifiedBy>
  <cp:revision>12</cp:revision>
  <dcterms:created xsi:type="dcterms:W3CDTF">2016-12-18T22:14:00Z</dcterms:created>
  <dcterms:modified xsi:type="dcterms:W3CDTF">2022-01-10T12:21:00Z</dcterms:modified>
</cp:coreProperties>
</file>